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Relationships xmlns="http://schemas.openxmlformats.org/package/2006/relationships"><Relationship Target="word/document.xml" Type="http://schemas.openxmlformats.org/officeDocument/2006/relationships/officeDocument" Id="rId1"></Relationship><Relationship Target="docProps/core.xml" Type="http://schemas.openxmlformats.org/package/2006/relationships/metadata/core-properties" Id="rId2"></Relationship><Relationship Target="docProps/app.xml" Type="http://schemas.openxmlformats.org/officeDocument/2006/relationships/extended-properties" Id="rId3"></Relationship></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2E23" w:rsidRDefault="00C016BB">
      <w:pPr>
        <w:pStyle w:val="O-TITLECENTEREDB"/>
        <w:spacing w:after="0"/>
        <w:rPr>
          <w:bCs/>
          <w:szCs w:val="22"/>
        </w:rPr>
      </w:pPr>
      <w:r>
        <w:rPr>
          <w:bCs/>
          <w:szCs w:val="22"/>
          <w:highlight w:val="yellow"/>
        </w:rPr>
        <w:fldChar w:fldCharType="begin">
          <w:ffData>
            <w:name w:val=""/>
            <w:enabled/>
            <w:calcOnExit w:val="0"/>
            <w:textInput>
              <w:default w:val="[COMPANY NAME]"/>
            </w:textInput>
          </w:ffData>
        </w:fldChar>
      </w:r>
      <w:r>
        <w:rPr>
          <w:bCs/>
          <w:szCs w:val="22"/>
          <w:highlight w:val="yellow"/>
        </w:rPr>
        <w:instrText xml:space="preserve"> FORMTEXT </w:instrText>
      </w:r>
      <w:r>
        <w:rPr>
          <w:bCs/>
          <w:szCs w:val="22"/>
          <w:highlight w:val="yellow"/>
        </w:rPr>
      </w:r>
      <w:r>
        <w:rPr>
          <w:bCs/>
          <w:szCs w:val="22"/>
          <w:highlight w:val="yellow"/>
        </w:rPr>
        <w:fldChar w:fldCharType="separate"/>
      </w:r>
      <w:r>
        <w:rPr>
          <w:bCs/>
          <w:noProof/>
          <w:szCs w:val="22"/>
          <w:highlight w:val="yellow"/>
        </w:rPr>
        <w:t>[COMPANY NAME]</w:t>
      </w:r>
      <w:r>
        <w:rPr>
          <w:bCs/>
          <w:szCs w:val="22"/>
          <w:highlight w:val="yellow"/>
        </w:rPr>
        <w:fldChar w:fldCharType="end"/>
      </w:r>
    </w:p>
    <w:p w:rsidR="000460E6" w:rsidRDefault="00DA1C9E">
      <w:pPr>
        <w:pStyle w:val="O-TITLECENTEREDB"/>
        <w:spacing w:after="0"/>
        <w:rPr>
          <w:u w:val="single"/>
        </w:rPr>
      </w:pPr>
      <w:r>
        <w:rPr>
          <w:bCs/>
          <w:caps w:val="0"/>
          <w:szCs w:val="22"/>
        </w:rPr>
        <w:t xml:space="preserve"> </w:t>
      </w:r>
      <w:r w:rsidR="00C016BB">
        <w:rPr>
          <w:bCs/>
          <w:szCs w:val="22"/>
          <w:highlight w:val="yellow"/>
        </w:rPr>
        <w:fldChar w:fldCharType="begin">
          <w:ffData>
            <w:name w:val=""/>
            <w:enabled/>
            <w:calcOnExit w:val="0"/>
            <w:textInput>
              <w:default w:val="[YEAR]"/>
            </w:textInput>
          </w:ffData>
        </w:fldChar>
      </w:r>
      <w:r w:rsidR="00C016BB">
        <w:rPr>
          <w:bCs/>
          <w:szCs w:val="22"/>
          <w:highlight w:val="yellow"/>
        </w:rPr>
        <w:instrText xml:space="preserve"> FORMTEXT </w:instrText>
      </w:r>
      <w:r w:rsidR="00C016BB">
        <w:rPr>
          <w:bCs/>
          <w:szCs w:val="22"/>
          <w:highlight w:val="yellow"/>
        </w:rPr>
      </w:r>
      <w:r w:rsidR="00C016BB">
        <w:rPr>
          <w:bCs/>
          <w:szCs w:val="22"/>
          <w:highlight w:val="yellow"/>
        </w:rPr>
        <w:fldChar w:fldCharType="separate"/>
      </w:r>
      <w:r w:rsidR="00C016BB">
        <w:rPr>
          <w:bCs/>
          <w:noProof/>
          <w:szCs w:val="22"/>
          <w:highlight w:val="yellow"/>
        </w:rPr>
        <w:t>[YEAR]</w:t>
      </w:r>
      <w:r w:rsidR="00C016BB">
        <w:rPr>
          <w:bCs/>
          <w:szCs w:val="22"/>
          <w:highlight w:val="yellow"/>
        </w:rPr>
        <w:fldChar w:fldCharType="end"/>
      </w:r>
      <w:r w:rsidR="00C016BB">
        <w:rPr>
          <w:bCs/>
          <w:szCs w:val="22"/>
        </w:rPr>
        <w:t xml:space="preserve"> </w:t>
      </w:r>
      <w:r w:rsidR="00534F66">
        <w:rPr>
          <w:noProof/>
        </w:rPr>
        <w:t>Stock Plan</w:t>
      </w:r>
    </w:p>
    <w:p w:rsidR="000460E6" w:rsidRDefault="00534F66">
      <w:pPr>
        <w:pStyle w:val="O-TITLECENTEREDB"/>
        <w:rPr>
          <w:b w:val="0"/>
          <w:smallCaps/>
        </w:rPr>
      </w:pPr>
      <w:r>
        <w:rPr>
          <w:smallCaps/>
        </w:rPr>
        <w:t>Summary of Key Provisions</w:t>
      </w:r>
    </w:p>
    <w:p w:rsidR="000460E6" w:rsidRDefault="000460E6">
      <w:pPr>
        <w:jc w:val="center"/>
        <w:rPr>
          <w:b/>
          <w:smallCaps/>
        </w:rPr>
      </w:pPr>
    </w:p>
    <w:tbl>
      <w:tblPr>
        <w:tblW w:w="9630" w:type="dxa"/>
        <w:tblLayout w:type="fixed"/>
        <w:tblLook w:val="0000" w:firstRow="0" w:lastRow="0" w:firstColumn="0" w:lastColumn="0" w:noHBand="0" w:noVBand="0"/>
      </w:tblPr>
      <w:tblGrid>
        <w:gridCol w:w="3510"/>
        <w:gridCol w:w="6120"/>
      </w:tblGrid>
      <w:tr w:rsidR="000460E6">
        <w:tc>
          <w:tcPr>
            <w:tcW w:w="3510" w:type="dxa"/>
          </w:tcPr>
          <w:p w:rsidR="000460E6" w:rsidRDefault="00534F66">
            <w:pPr>
              <w:rPr>
                <w:b/>
                <w:smallCaps/>
              </w:rPr>
            </w:pPr>
            <w:r>
              <w:rPr>
                <w:b/>
                <w:smallCaps/>
              </w:rPr>
              <w:t>Share Reserve</w:t>
            </w:r>
          </w:p>
        </w:tc>
        <w:tc>
          <w:tcPr>
            <w:tcW w:w="6120" w:type="dxa"/>
          </w:tcPr>
          <w:p w:rsidR="000460E6" w:rsidRDefault="00C016BB" w:rsidP="00C016BB">
            <w:pPr>
              <w:numPr>
                <w:ilvl w:val="0"/>
                <w:numId w:val="2"/>
              </w:numPr>
              <w:spacing w:after="240"/>
            </w:pPr>
            <w:r>
              <w:rPr>
                <w:bCs/>
                <w:szCs w:val="22"/>
                <w:highlight w:val="yellow"/>
              </w:rPr>
              <w:fldChar w:fldCharType="begin">
                <w:ffData>
                  <w:name w:val=""/>
                  <w:enabled/>
                  <w:calcOnExit w:val="0"/>
                  <w:textInput>
                    <w:default w:val="[_________]"/>
                  </w:textInput>
                </w:ffData>
              </w:fldChar>
            </w:r>
            <w:r>
              <w:rPr>
                <w:bCs/>
                <w:szCs w:val="22"/>
                <w:highlight w:val="yellow"/>
              </w:rPr>
              <w:instrText xml:space="preserve"> FORMTEXT </w:instrText>
            </w:r>
            <w:r>
              <w:rPr>
                <w:bCs/>
                <w:szCs w:val="22"/>
                <w:highlight w:val="yellow"/>
              </w:rPr>
            </w:r>
            <w:r>
              <w:rPr>
                <w:bCs/>
                <w:szCs w:val="22"/>
                <w:highlight w:val="yellow"/>
              </w:rPr>
              <w:fldChar w:fldCharType="separate"/>
            </w:r>
            <w:r>
              <w:rPr>
                <w:bCs/>
                <w:noProof/>
                <w:szCs w:val="22"/>
                <w:highlight w:val="yellow"/>
              </w:rPr>
              <w:t>[_________]</w:t>
            </w:r>
            <w:r>
              <w:rPr>
                <w:bCs/>
                <w:szCs w:val="22"/>
                <w:highlight w:val="yellow"/>
              </w:rPr>
              <w:fldChar w:fldCharType="end"/>
            </w:r>
            <w:r>
              <w:rPr>
                <w:bCs/>
                <w:szCs w:val="22"/>
              </w:rPr>
              <w:t xml:space="preserve"> </w:t>
            </w:r>
            <w:r w:rsidR="00534F66" w:rsidRPr="009002EA">
              <w:t>shares</w:t>
            </w:r>
            <w:r w:rsidR="00534F66">
              <w:t xml:space="preserve"> </w:t>
            </w:r>
            <w:r w:rsidR="00534F66" w:rsidRPr="00534F66">
              <w:t>of common stock.</w:t>
            </w:r>
          </w:p>
        </w:tc>
      </w:tr>
      <w:tr w:rsidR="000460E6">
        <w:tc>
          <w:tcPr>
            <w:tcW w:w="3510" w:type="dxa"/>
          </w:tcPr>
          <w:p w:rsidR="000460E6" w:rsidRDefault="00534F66">
            <w:pPr>
              <w:rPr>
                <w:b/>
                <w:smallCaps/>
              </w:rPr>
            </w:pPr>
            <w:r>
              <w:rPr>
                <w:b/>
                <w:smallCaps/>
              </w:rPr>
              <w:t>Eligibility</w:t>
            </w:r>
          </w:p>
        </w:tc>
        <w:tc>
          <w:tcPr>
            <w:tcW w:w="6120" w:type="dxa"/>
          </w:tcPr>
          <w:p w:rsidR="000460E6" w:rsidRDefault="00534F66">
            <w:pPr>
              <w:numPr>
                <w:ilvl w:val="0"/>
                <w:numId w:val="2"/>
              </w:numPr>
            </w:pPr>
            <w:r>
              <w:t>Employees, consultants and advisors of the Company or any parent, subsidiary or affiliate of the Company; provided that incentive stock options (“</w:t>
            </w:r>
            <w:r>
              <w:rPr>
                <w:u w:val="single"/>
              </w:rPr>
              <w:t>ISOs</w:t>
            </w:r>
            <w:r>
              <w:t>”) may only be granted to employees of the Company or any parent or subsidiary of the Company.</w:t>
            </w:r>
          </w:p>
          <w:p w:rsidR="000460E6" w:rsidRDefault="00534F66">
            <w:pPr>
              <w:numPr>
                <w:ilvl w:val="0"/>
                <w:numId w:val="2"/>
              </w:numPr>
              <w:spacing w:after="240"/>
            </w:pPr>
            <w:r>
              <w:t>Directors of the Company.</w:t>
            </w:r>
          </w:p>
        </w:tc>
      </w:tr>
      <w:tr w:rsidR="000460E6">
        <w:tc>
          <w:tcPr>
            <w:tcW w:w="3510" w:type="dxa"/>
          </w:tcPr>
          <w:p w:rsidR="000460E6" w:rsidRDefault="00534F66">
            <w:pPr>
              <w:rPr>
                <w:b/>
                <w:smallCaps/>
              </w:rPr>
            </w:pPr>
            <w:r>
              <w:rPr>
                <w:b/>
                <w:smallCaps/>
              </w:rPr>
              <w:t>Types of Awards Authorized</w:t>
            </w:r>
          </w:p>
        </w:tc>
        <w:tc>
          <w:tcPr>
            <w:tcW w:w="6120" w:type="dxa"/>
          </w:tcPr>
          <w:p w:rsidR="000460E6" w:rsidRDefault="00532E23" w:rsidP="00532E23">
            <w:pPr>
              <w:numPr>
                <w:ilvl w:val="0"/>
                <w:numId w:val="2"/>
              </w:numPr>
              <w:spacing w:after="240"/>
            </w:pPr>
            <w:r>
              <w:t xml:space="preserve">ISOs, </w:t>
            </w:r>
            <w:r w:rsidR="00534F66">
              <w:t>nonstatutory stock options (“</w:t>
            </w:r>
            <w:r w:rsidR="00534F66">
              <w:rPr>
                <w:u w:val="single"/>
              </w:rPr>
              <w:t>NSOs</w:t>
            </w:r>
            <w:r w:rsidR="00534F66">
              <w:t>”), and restricted stock.</w:t>
            </w:r>
          </w:p>
        </w:tc>
      </w:tr>
      <w:tr w:rsidR="000460E6">
        <w:tc>
          <w:tcPr>
            <w:tcW w:w="3510" w:type="dxa"/>
          </w:tcPr>
          <w:p w:rsidR="000460E6" w:rsidRDefault="00534F66">
            <w:pPr>
              <w:rPr>
                <w:b/>
                <w:smallCaps/>
              </w:rPr>
            </w:pPr>
            <w:r>
              <w:rPr>
                <w:b/>
                <w:smallCaps/>
              </w:rPr>
              <w:t>Exercise or Purchase Price</w:t>
            </w:r>
          </w:p>
        </w:tc>
        <w:tc>
          <w:tcPr>
            <w:tcW w:w="6120" w:type="dxa"/>
          </w:tcPr>
          <w:p w:rsidR="000460E6" w:rsidRDefault="00534F66">
            <w:pPr>
              <w:rPr>
                <w:bCs/>
                <w:u w:val="single"/>
              </w:rPr>
            </w:pPr>
            <w:r>
              <w:rPr>
                <w:u w:val="single"/>
              </w:rPr>
              <w:t>ISOs/NSOs</w:t>
            </w:r>
            <w:r>
              <w:t>:</w:t>
            </w:r>
          </w:p>
          <w:p w:rsidR="000460E6" w:rsidRDefault="00534F66">
            <w:pPr>
              <w:numPr>
                <w:ilvl w:val="0"/>
                <w:numId w:val="2"/>
              </w:numPr>
            </w:pPr>
            <w:r>
              <w:t xml:space="preserve">Generally, 100% of fair market value (except ISOs granted to 10% </w:t>
            </w:r>
            <w:r w:rsidR="00532E23">
              <w:t xml:space="preserve">shareholders </w:t>
            </w:r>
            <w:r>
              <w:t>must have an exercise price equal to 110% of fair market value).</w:t>
            </w:r>
          </w:p>
          <w:p w:rsidR="000460E6" w:rsidRDefault="000460E6"/>
          <w:p w:rsidR="000460E6" w:rsidRDefault="00534F66">
            <w:pPr>
              <w:rPr>
                <w:bCs/>
                <w:u w:val="single"/>
              </w:rPr>
            </w:pPr>
            <w:r>
              <w:rPr>
                <w:u w:val="single"/>
              </w:rPr>
              <w:t>Restricted Stock</w:t>
            </w:r>
            <w:r>
              <w:t>:</w:t>
            </w:r>
          </w:p>
          <w:p w:rsidR="000460E6" w:rsidRDefault="00534F66">
            <w:pPr>
              <w:keepNext/>
              <w:keepLines/>
              <w:numPr>
                <w:ilvl w:val="0"/>
                <w:numId w:val="2"/>
              </w:numPr>
              <w:spacing w:after="240"/>
            </w:pPr>
            <w:r>
              <w:t>To be determined by the plan administrator.</w:t>
            </w:r>
          </w:p>
          <w:p w:rsidR="000460E6" w:rsidRDefault="00534F66">
            <w:pPr>
              <w:keepNext/>
              <w:keepLines/>
              <w:spacing w:after="240"/>
              <w:ind w:left="360"/>
            </w:pPr>
            <w:r>
              <w:rPr>
                <w:i/>
                <w:iCs/>
              </w:rPr>
              <w:t>Note that, due to certain U.S. tax issues related to the treatment of awards as nonqualified deferred compensation, all options should be issued with an exercise price that is at least 100% of the fair market value unless discussed in advance with Orrick.</w:t>
            </w:r>
          </w:p>
        </w:tc>
      </w:tr>
      <w:tr w:rsidR="000460E6">
        <w:tc>
          <w:tcPr>
            <w:tcW w:w="3510" w:type="dxa"/>
          </w:tcPr>
          <w:p w:rsidR="000460E6" w:rsidRDefault="00534F66">
            <w:pPr>
              <w:rPr>
                <w:b/>
                <w:smallCaps/>
              </w:rPr>
            </w:pPr>
            <w:r>
              <w:br w:type="page"/>
            </w:r>
            <w:r>
              <w:rPr>
                <w:b/>
                <w:smallCaps/>
              </w:rPr>
              <w:t>Vesting</w:t>
            </w:r>
          </w:p>
        </w:tc>
        <w:tc>
          <w:tcPr>
            <w:tcW w:w="6120" w:type="dxa"/>
          </w:tcPr>
          <w:p w:rsidR="000460E6" w:rsidRDefault="00534F66">
            <w:pPr>
              <w:keepNext/>
              <w:keepLines/>
              <w:numPr>
                <w:ilvl w:val="0"/>
                <w:numId w:val="2"/>
              </w:numPr>
              <w:spacing w:after="240"/>
            </w:pPr>
            <w:r>
              <w:t xml:space="preserve">Vesting of all awards to be determined by the Board on a grant-by-grant basis; typical vesting would be </w:t>
            </w:r>
            <w:r w:rsidR="00C016BB" w:rsidRPr="00C016BB">
              <w:rPr>
                <w:highlight w:val="yellow"/>
              </w:rPr>
              <w:t>[</w:t>
            </w:r>
            <w:r w:rsidRPr="00C016BB">
              <w:rPr>
                <w:highlight w:val="yellow"/>
              </w:rPr>
              <w:t>over 4 years such that 1/4</w:t>
            </w:r>
            <w:r w:rsidRPr="00C016BB">
              <w:rPr>
                <w:highlight w:val="yellow"/>
                <w:vertAlign w:val="superscript"/>
              </w:rPr>
              <w:t>th</w:t>
            </w:r>
            <w:r w:rsidRPr="00C016BB">
              <w:rPr>
                <w:highlight w:val="yellow"/>
              </w:rPr>
              <w:t xml:space="preserve"> of the shares subject to an award will vest on the 1-year anniversary of the vesting commencement date (i.e., start date of employment or date of grant for refresh grants), and 1/48</w:t>
            </w:r>
            <w:r w:rsidRPr="00C016BB">
              <w:rPr>
                <w:highlight w:val="yellow"/>
                <w:vertAlign w:val="superscript"/>
              </w:rPr>
              <w:t>th</w:t>
            </w:r>
            <w:r w:rsidRPr="00C016BB">
              <w:rPr>
                <w:highlight w:val="yellow"/>
              </w:rPr>
              <w:t xml:space="preserve"> of the total number of shares subject to the award will vest on each monthly anniversary thereafter</w:t>
            </w:r>
            <w:r w:rsidR="00C016BB" w:rsidRPr="00C016BB">
              <w:rPr>
                <w:highlight w:val="yellow"/>
              </w:rPr>
              <w:t>]</w:t>
            </w:r>
            <w:r>
              <w:t>.</w:t>
            </w:r>
          </w:p>
          <w:p w:rsidR="000460E6" w:rsidRDefault="00534F66">
            <w:pPr>
              <w:keepNext/>
              <w:keepLines/>
              <w:numPr>
                <w:ilvl w:val="0"/>
                <w:numId w:val="2"/>
              </w:numPr>
              <w:spacing w:after="240"/>
            </w:pPr>
            <w:r>
              <w:t xml:space="preserve">The plan administrator (i.e., Board or a designated Committee) has discretion to suspend vesting during a leave of absence.  Absent action by the plan administrator or to the extent otherwise required by law, vesting will continue during any paid leave of absence and will be suspended during any unpaid </w:t>
            </w:r>
            <w:r>
              <w:lastRenderedPageBreak/>
              <w:t>leave of absence.</w:t>
            </w:r>
          </w:p>
        </w:tc>
      </w:tr>
      <w:tr w:rsidR="000460E6">
        <w:tc>
          <w:tcPr>
            <w:tcW w:w="3510" w:type="dxa"/>
          </w:tcPr>
          <w:p w:rsidR="000460E6" w:rsidRDefault="00534F66">
            <w:pPr>
              <w:keepNext/>
              <w:keepLines/>
              <w:rPr>
                <w:b/>
                <w:smallCaps/>
              </w:rPr>
            </w:pPr>
            <w:r>
              <w:rPr>
                <w:b/>
                <w:smallCaps/>
              </w:rPr>
              <w:lastRenderedPageBreak/>
              <w:t>Exercisability</w:t>
            </w:r>
          </w:p>
        </w:tc>
        <w:tc>
          <w:tcPr>
            <w:tcW w:w="6120" w:type="dxa"/>
          </w:tcPr>
          <w:p w:rsidR="000460E6" w:rsidRDefault="00534F66">
            <w:pPr>
              <w:keepNext/>
              <w:keepLines/>
              <w:numPr>
                <w:ilvl w:val="0"/>
                <w:numId w:val="2"/>
              </w:numPr>
            </w:pPr>
            <w:r>
              <w:t>Options:  Options generally become exercisable as the underlying shares vest.</w:t>
            </w:r>
          </w:p>
          <w:p w:rsidR="000460E6" w:rsidRDefault="00534F66" w:rsidP="00C016BB">
            <w:pPr>
              <w:keepNext/>
              <w:keepLines/>
              <w:numPr>
                <w:ilvl w:val="0"/>
                <w:numId w:val="2"/>
              </w:numPr>
              <w:spacing w:after="240"/>
            </w:pPr>
            <w:r>
              <w:t>Restricted Stock:  Shares are purchased and/or issued for services rendered and outstanding on the date of grant, but until vested are subject to a right of repurchase by the Company (if shares are purchased) or automatic forfeiture (if shares are issued at no cost for services rendered) upon termination of service.</w:t>
            </w:r>
          </w:p>
        </w:tc>
      </w:tr>
      <w:tr w:rsidR="000460E6">
        <w:tc>
          <w:tcPr>
            <w:tcW w:w="3510" w:type="dxa"/>
          </w:tcPr>
          <w:p w:rsidR="000460E6" w:rsidRDefault="00534F66">
            <w:pPr>
              <w:keepNext/>
              <w:keepLines/>
              <w:rPr>
                <w:b/>
                <w:smallCaps/>
              </w:rPr>
            </w:pPr>
            <w:r>
              <w:rPr>
                <w:b/>
                <w:smallCaps/>
              </w:rPr>
              <w:t>Forms of Payment</w:t>
            </w:r>
          </w:p>
        </w:tc>
        <w:tc>
          <w:tcPr>
            <w:tcW w:w="6120" w:type="dxa"/>
          </w:tcPr>
          <w:p w:rsidR="000460E6" w:rsidRDefault="00534F66">
            <w:pPr>
              <w:keepNext/>
              <w:keepLines/>
              <w:numPr>
                <w:ilvl w:val="0"/>
                <w:numId w:val="2"/>
              </w:numPr>
            </w:pPr>
            <w:r>
              <w:t>Cash or check.</w:t>
            </w:r>
          </w:p>
          <w:p w:rsidR="000460E6" w:rsidRDefault="00534F66">
            <w:pPr>
              <w:keepNext/>
              <w:keepLines/>
              <w:numPr>
                <w:ilvl w:val="0"/>
                <w:numId w:val="2"/>
              </w:numPr>
              <w:spacing w:after="240"/>
            </w:pPr>
            <w:r>
              <w:t>Cashless exercise (following an IPO).</w:t>
            </w:r>
          </w:p>
        </w:tc>
      </w:tr>
      <w:tr w:rsidR="000460E6">
        <w:tc>
          <w:tcPr>
            <w:tcW w:w="3510" w:type="dxa"/>
          </w:tcPr>
          <w:p w:rsidR="000460E6" w:rsidRDefault="00534F66">
            <w:pPr>
              <w:rPr>
                <w:b/>
                <w:smallCaps/>
              </w:rPr>
            </w:pPr>
            <w:r>
              <w:rPr>
                <w:b/>
                <w:smallCaps/>
              </w:rPr>
              <w:t>M&amp;A Transactions</w:t>
            </w:r>
          </w:p>
        </w:tc>
        <w:tc>
          <w:tcPr>
            <w:tcW w:w="6120" w:type="dxa"/>
          </w:tcPr>
          <w:p w:rsidR="000460E6" w:rsidRDefault="00534F66">
            <w:pPr>
              <w:numPr>
                <w:ilvl w:val="0"/>
                <w:numId w:val="2"/>
              </w:numPr>
            </w:pPr>
            <w:r>
              <w:t>Maximum flexibility to treat awards in any manner that the parties agree to.</w:t>
            </w:r>
          </w:p>
          <w:p w:rsidR="000460E6" w:rsidRDefault="00534F66">
            <w:pPr>
              <w:numPr>
                <w:ilvl w:val="0"/>
                <w:numId w:val="2"/>
              </w:numPr>
            </w:pPr>
            <w:r>
              <w:t>Generally, if the acquiring corporation does not assume or cash out outstanding options, all outstanding options will terminate on the effective date of a change of control.</w:t>
            </w:r>
          </w:p>
          <w:p w:rsidR="000460E6" w:rsidRDefault="00534F66">
            <w:pPr>
              <w:keepNext/>
              <w:keepLines/>
              <w:numPr>
                <w:ilvl w:val="0"/>
                <w:numId w:val="2"/>
              </w:numPr>
              <w:spacing w:after="240"/>
            </w:pPr>
            <w:r>
              <w:t>Individual award agreements may contain special vesting provisions.</w:t>
            </w:r>
          </w:p>
        </w:tc>
      </w:tr>
      <w:tr w:rsidR="000460E6">
        <w:tc>
          <w:tcPr>
            <w:tcW w:w="3510" w:type="dxa"/>
          </w:tcPr>
          <w:p w:rsidR="000460E6" w:rsidRDefault="00534F66">
            <w:pPr>
              <w:keepNext/>
              <w:keepLines/>
              <w:rPr>
                <w:b/>
                <w:smallCaps/>
              </w:rPr>
            </w:pPr>
            <w:r>
              <w:rPr>
                <w:b/>
                <w:smallCaps/>
              </w:rPr>
              <w:t>Post-Termination Exercise Periods for Options</w:t>
            </w:r>
          </w:p>
        </w:tc>
        <w:tc>
          <w:tcPr>
            <w:tcW w:w="6120" w:type="dxa"/>
          </w:tcPr>
          <w:p w:rsidR="000460E6" w:rsidRDefault="00534F66">
            <w:pPr>
              <w:keepNext/>
              <w:keepLines/>
              <w:numPr>
                <w:ilvl w:val="0"/>
                <w:numId w:val="2"/>
              </w:numPr>
              <w:ind w:left="684"/>
            </w:pPr>
            <w:r>
              <w:t>An option must be exercised (to the extent that the option was vested and previously unexercised) within the following periods following a termination of service with the Company:</w:t>
            </w:r>
          </w:p>
          <w:p w:rsidR="000460E6" w:rsidRDefault="00534F66" w:rsidP="00C016BB">
            <w:pPr>
              <w:keepNext/>
              <w:keepLines/>
              <w:numPr>
                <w:ilvl w:val="0"/>
                <w:numId w:val="2"/>
              </w:numPr>
              <w:ind w:left="684"/>
            </w:pPr>
            <w:r>
              <w:t xml:space="preserve">Generally: </w:t>
            </w:r>
            <w:r w:rsidR="00C016BB">
              <w:t>[</w:t>
            </w:r>
            <w:r w:rsidR="00C016BB" w:rsidRPr="00C016BB">
              <w:rPr>
                <w:highlight w:val="yellow"/>
              </w:rPr>
              <w:t>3 years following termination of service for any reason (other than for Cause)</w:t>
            </w:r>
            <w:r w:rsidR="00C016BB">
              <w:t xml:space="preserve">].  Note that </w:t>
            </w:r>
            <w:r>
              <w:t xml:space="preserve">ISOs must </w:t>
            </w:r>
            <w:r w:rsidRPr="00C016BB">
              <w:rPr>
                <w:u w:val="single"/>
              </w:rPr>
              <w:t>in fact</w:t>
            </w:r>
            <w:r>
              <w:t xml:space="preserve"> be exercised withi</w:t>
            </w:r>
            <w:r w:rsidR="00C016BB">
              <w:t>n 3 months to retain ISO status</w:t>
            </w:r>
            <w:r>
              <w:t>.</w:t>
            </w:r>
          </w:p>
          <w:p w:rsidR="000460E6" w:rsidRDefault="00534F66">
            <w:pPr>
              <w:keepNext/>
              <w:keepLines/>
              <w:numPr>
                <w:ilvl w:val="0"/>
                <w:numId w:val="2"/>
              </w:numPr>
              <w:ind w:left="684"/>
            </w:pPr>
            <w:r>
              <w:t>Cause:  option expires immediately upon a termination for “cause.”</w:t>
            </w:r>
          </w:p>
          <w:p w:rsidR="000460E6" w:rsidRDefault="00534F66">
            <w:pPr>
              <w:keepNext/>
              <w:keepLines/>
              <w:ind w:left="324"/>
            </w:pPr>
            <w:r>
              <w:t xml:space="preserve"> </w:t>
            </w:r>
          </w:p>
        </w:tc>
      </w:tr>
      <w:tr w:rsidR="000460E6">
        <w:tc>
          <w:tcPr>
            <w:tcW w:w="3510" w:type="dxa"/>
          </w:tcPr>
          <w:p w:rsidR="000460E6" w:rsidRDefault="00534F66">
            <w:pPr>
              <w:rPr>
                <w:b/>
                <w:smallCaps/>
              </w:rPr>
            </w:pPr>
            <w:r>
              <w:rPr>
                <w:b/>
                <w:smallCaps/>
              </w:rPr>
              <w:t>Term of Options</w:t>
            </w:r>
          </w:p>
        </w:tc>
        <w:tc>
          <w:tcPr>
            <w:tcW w:w="6120" w:type="dxa"/>
          </w:tcPr>
          <w:p w:rsidR="000460E6" w:rsidRDefault="00534F66">
            <w:pPr>
              <w:numPr>
                <w:ilvl w:val="0"/>
                <w:numId w:val="2"/>
              </w:numPr>
              <w:spacing w:after="240"/>
            </w:pPr>
            <w:r>
              <w:rPr>
                <w:bCs/>
              </w:rPr>
              <w:t>10</w:t>
            </w:r>
            <w:r>
              <w:t xml:space="preserve"> years (5 years for ISOs granted to 10% shareholders).</w:t>
            </w:r>
          </w:p>
        </w:tc>
      </w:tr>
      <w:tr w:rsidR="000460E6">
        <w:tc>
          <w:tcPr>
            <w:tcW w:w="3510" w:type="dxa"/>
          </w:tcPr>
          <w:p w:rsidR="000460E6" w:rsidRDefault="00534F66">
            <w:pPr>
              <w:keepNext/>
              <w:keepLines/>
              <w:rPr>
                <w:b/>
                <w:smallCaps/>
              </w:rPr>
            </w:pPr>
            <w:r>
              <w:rPr>
                <w:b/>
                <w:smallCaps/>
              </w:rPr>
              <w:t>Right of First Refusal</w:t>
            </w:r>
          </w:p>
        </w:tc>
        <w:tc>
          <w:tcPr>
            <w:tcW w:w="6120" w:type="dxa"/>
          </w:tcPr>
          <w:p w:rsidR="000460E6" w:rsidRDefault="00534F66">
            <w:pPr>
              <w:keepNext/>
              <w:keepLines/>
              <w:numPr>
                <w:ilvl w:val="0"/>
                <w:numId w:val="2"/>
              </w:numPr>
              <w:spacing w:after="240"/>
            </w:pPr>
            <w:r>
              <w:t>Prior to an IPO, the Company has a right of first refusal on any proposed transfer of shares acquired pursuant to the plan.</w:t>
            </w:r>
          </w:p>
        </w:tc>
      </w:tr>
      <w:tr w:rsidR="000460E6">
        <w:tc>
          <w:tcPr>
            <w:tcW w:w="3510" w:type="dxa"/>
          </w:tcPr>
          <w:p w:rsidR="000460E6" w:rsidRDefault="00534F66">
            <w:pPr>
              <w:rPr>
                <w:b/>
                <w:smallCaps/>
              </w:rPr>
            </w:pPr>
            <w:r>
              <w:rPr>
                <w:b/>
                <w:smallCaps/>
              </w:rPr>
              <w:t>Repurchase Rights</w:t>
            </w:r>
          </w:p>
        </w:tc>
        <w:tc>
          <w:tcPr>
            <w:tcW w:w="6120" w:type="dxa"/>
          </w:tcPr>
          <w:p w:rsidR="000460E6" w:rsidRDefault="00534F66">
            <w:pPr>
              <w:numPr>
                <w:ilvl w:val="0"/>
                <w:numId w:val="2"/>
              </w:numPr>
              <w:spacing w:after="240"/>
            </w:pPr>
            <w:r>
              <w:t>The Company may repurchase any unvested shares acquired pursuant to the plan following a termination of service at the original purchase price of the shares.</w:t>
            </w:r>
          </w:p>
        </w:tc>
      </w:tr>
      <w:tr w:rsidR="000460E6">
        <w:tc>
          <w:tcPr>
            <w:tcW w:w="3510" w:type="dxa"/>
          </w:tcPr>
          <w:p w:rsidR="000460E6" w:rsidRDefault="00534F66">
            <w:pPr>
              <w:rPr>
                <w:b/>
                <w:smallCaps/>
              </w:rPr>
            </w:pPr>
            <w:r>
              <w:rPr>
                <w:b/>
                <w:smallCaps/>
              </w:rPr>
              <w:t>Transferability of Options</w:t>
            </w:r>
          </w:p>
        </w:tc>
        <w:tc>
          <w:tcPr>
            <w:tcW w:w="6120" w:type="dxa"/>
          </w:tcPr>
          <w:p w:rsidR="000460E6" w:rsidRDefault="00534F66">
            <w:pPr>
              <w:numPr>
                <w:ilvl w:val="0"/>
                <w:numId w:val="2"/>
              </w:numPr>
            </w:pPr>
            <w:r>
              <w:t xml:space="preserve">Generally, options are not transferable except by will </w:t>
            </w:r>
            <w:r>
              <w:lastRenderedPageBreak/>
              <w:t>or the laws of descent and distribution.</w:t>
            </w:r>
          </w:p>
          <w:p w:rsidR="000460E6" w:rsidRDefault="00534F66">
            <w:pPr>
              <w:numPr>
                <w:ilvl w:val="0"/>
                <w:numId w:val="2"/>
              </w:numPr>
              <w:spacing w:after="240"/>
            </w:pPr>
            <w:r>
              <w:t>The plan administrator may, in its discretion, permit participants to make limited transfers of NSOs.</w:t>
            </w:r>
          </w:p>
        </w:tc>
      </w:tr>
      <w:tr w:rsidR="000460E6">
        <w:tc>
          <w:tcPr>
            <w:tcW w:w="3510" w:type="dxa"/>
          </w:tcPr>
          <w:p w:rsidR="000460E6" w:rsidRDefault="00534F66">
            <w:pPr>
              <w:rPr>
                <w:b/>
                <w:smallCaps/>
              </w:rPr>
            </w:pPr>
            <w:r>
              <w:rPr>
                <w:b/>
                <w:smallCaps/>
              </w:rPr>
              <w:lastRenderedPageBreak/>
              <w:t>Share Transfer Restrictions</w:t>
            </w:r>
          </w:p>
          <w:p w:rsidR="000460E6" w:rsidRDefault="000460E6">
            <w:pPr>
              <w:rPr>
                <w:b/>
                <w:smallCaps/>
              </w:rPr>
            </w:pPr>
          </w:p>
        </w:tc>
        <w:tc>
          <w:tcPr>
            <w:tcW w:w="6120" w:type="dxa"/>
          </w:tcPr>
          <w:p w:rsidR="000460E6" w:rsidRDefault="00534F66">
            <w:pPr>
              <w:numPr>
                <w:ilvl w:val="0"/>
                <w:numId w:val="2"/>
              </w:numPr>
            </w:pPr>
            <w:r>
              <w:t>Company approval generally required before any shares may be transferred.</w:t>
            </w:r>
          </w:p>
          <w:p w:rsidR="000460E6" w:rsidRDefault="000460E6">
            <w:pPr>
              <w:ind w:left="720"/>
            </w:pPr>
          </w:p>
        </w:tc>
      </w:tr>
      <w:tr w:rsidR="000460E6">
        <w:tc>
          <w:tcPr>
            <w:tcW w:w="3510" w:type="dxa"/>
          </w:tcPr>
          <w:p w:rsidR="000460E6" w:rsidRDefault="00534F66">
            <w:pPr>
              <w:rPr>
                <w:rFonts w:ascii="Times New Roman Bold" w:hAnsi="Times New Roman Bold"/>
                <w:b/>
                <w:smallCaps/>
              </w:rPr>
            </w:pPr>
            <w:r>
              <w:rPr>
                <w:rFonts w:ascii="Times New Roman Bold" w:hAnsi="Times New Roman Bold"/>
                <w:b/>
                <w:smallCaps/>
              </w:rPr>
              <w:t>Securities/Tax Law Compliance</w:t>
            </w:r>
          </w:p>
        </w:tc>
        <w:tc>
          <w:tcPr>
            <w:tcW w:w="6120" w:type="dxa"/>
          </w:tcPr>
          <w:p w:rsidR="000460E6" w:rsidRDefault="00534F66">
            <w:pPr>
              <w:numPr>
                <w:ilvl w:val="0"/>
                <w:numId w:val="2"/>
              </w:numPr>
            </w:pPr>
            <w:r>
              <w:t>State securities laws must be reviewed to ensure compliance in all U.S. states in which awards will be granted under the plan.</w:t>
            </w:r>
          </w:p>
          <w:p w:rsidR="000460E6" w:rsidRDefault="00534F66">
            <w:pPr>
              <w:numPr>
                <w:ilvl w:val="0"/>
                <w:numId w:val="2"/>
              </w:numPr>
              <w:spacing w:after="240"/>
            </w:pPr>
            <w:r>
              <w:t>Local rules must be reviewed for any awards made outside of the United States.</w:t>
            </w:r>
          </w:p>
        </w:tc>
      </w:tr>
      <w:tr w:rsidR="000460E6">
        <w:tc>
          <w:tcPr>
            <w:tcW w:w="3510" w:type="dxa"/>
          </w:tcPr>
          <w:p w:rsidR="000460E6" w:rsidRDefault="00534F66">
            <w:pPr>
              <w:rPr>
                <w:b/>
                <w:smallCaps/>
              </w:rPr>
            </w:pPr>
            <w:r>
              <w:rPr>
                <w:b/>
                <w:smallCaps/>
              </w:rPr>
              <w:t>Effective Date</w:t>
            </w:r>
          </w:p>
        </w:tc>
        <w:tc>
          <w:tcPr>
            <w:tcW w:w="6120" w:type="dxa"/>
          </w:tcPr>
          <w:p w:rsidR="000460E6" w:rsidRDefault="00534F66" w:rsidP="00534F66">
            <w:pPr>
              <w:numPr>
                <w:ilvl w:val="0"/>
                <w:numId w:val="2"/>
              </w:numPr>
              <w:spacing w:after="240"/>
            </w:pPr>
            <w:r w:rsidRPr="00534F66">
              <w:rPr>
                <w:bCs/>
                <w:szCs w:val="22"/>
                <w:highlight w:val="yellow"/>
              </w:rPr>
              <w:fldChar w:fldCharType="begin">
                <w:ffData>
                  <w:name w:val=""/>
                  <w:enabled/>
                  <w:calcOnExit w:val="0"/>
                  <w:textInput>
                    <w:default w:val="[__________]"/>
                  </w:textInput>
                </w:ffData>
              </w:fldChar>
            </w:r>
            <w:r w:rsidRPr="00534F66">
              <w:rPr>
                <w:bCs/>
                <w:szCs w:val="22"/>
                <w:highlight w:val="yellow"/>
              </w:rPr>
              <w:instrText xml:space="preserve"> FORMTEXT </w:instrText>
            </w:r>
            <w:r w:rsidRPr="00534F66">
              <w:rPr>
                <w:bCs/>
                <w:szCs w:val="22"/>
                <w:highlight w:val="yellow"/>
              </w:rPr>
            </w:r>
            <w:r w:rsidRPr="00534F66">
              <w:rPr>
                <w:bCs/>
                <w:szCs w:val="22"/>
                <w:highlight w:val="yellow"/>
              </w:rPr>
              <w:fldChar w:fldCharType="separate"/>
            </w:r>
            <w:r w:rsidRPr="00534F66">
              <w:rPr>
                <w:bCs/>
                <w:noProof/>
                <w:szCs w:val="22"/>
                <w:highlight w:val="yellow"/>
              </w:rPr>
              <w:t>[__________]</w:t>
            </w:r>
            <w:r w:rsidRPr="00534F66">
              <w:rPr>
                <w:bCs/>
                <w:szCs w:val="22"/>
                <w:highlight w:val="yellow"/>
              </w:rPr>
              <w:fldChar w:fldCharType="end"/>
            </w:r>
            <w:r w:rsidRPr="00534F66">
              <w:t xml:space="preserve"> (the date the board will approve the plan).  </w:t>
            </w:r>
          </w:p>
        </w:tc>
      </w:tr>
      <w:tr w:rsidR="000460E6">
        <w:tc>
          <w:tcPr>
            <w:tcW w:w="3510" w:type="dxa"/>
          </w:tcPr>
          <w:p w:rsidR="000460E6" w:rsidRDefault="00534F66">
            <w:pPr>
              <w:rPr>
                <w:b/>
                <w:smallCaps/>
              </w:rPr>
            </w:pPr>
            <w:r>
              <w:rPr>
                <w:b/>
                <w:smallCaps/>
              </w:rPr>
              <w:t>Shareholder Approval Date</w:t>
            </w:r>
          </w:p>
        </w:tc>
        <w:tc>
          <w:tcPr>
            <w:tcW w:w="6120" w:type="dxa"/>
          </w:tcPr>
          <w:p w:rsidR="000460E6" w:rsidRPr="00534F66" w:rsidRDefault="00534F66" w:rsidP="000304A5">
            <w:pPr>
              <w:numPr>
                <w:ilvl w:val="0"/>
                <w:numId w:val="2"/>
              </w:numPr>
              <w:spacing w:after="240"/>
            </w:pPr>
            <w:r w:rsidRPr="00534F66">
              <w:rPr>
                <w:bCs/>
                <w:szCs w:val="22"/>
                <w:highlight w:val="yellow"/>
              </w:rPr>
              <w:fldChar w:fldCharType="begin">
                <w:ffData>
                  <w:name w:val=""/>
                  <w:enabled/>
                  <w:calcOnExit w:val="0"/>
                  <w:textInput>
                    <w:default w:val="[__________]"/>
                  </w:textInput>
                </w:ffData>
              </w:fldChar>
            </w:r>
            <w:r w:rsidRPr="00534F66">
              <w:rPr>
                <w:bCs/>
                <w:szCs w:val="22"/>
                <w:highlight w:val="yellow"/>
              </w:rPr>
              <w:instrText xml:space="preserve"> FORMTEXT </w:instrText>
            </w:r>
            <w:r w:rsidRPr="00534F66">
              <w:rPr>
                <w:bCs/>
                <w:szCs w:val="22"/>
                <w:highlight w:val="yellow"/>
              </w:rPr>
            </w:r>
            <w:r w:rsidRPr="00534F66">
              <w:rPr>
                <w:bCs/>
                <w:szCs w:val="22"/>
                <w:highlight w:val="yellow"/>
              </w:rPr>
              <w:fldChar w:fldCharType="separate"/>
            </w:r>
            <w:r w:rsidRPr="00534F66">
              <w:rPr>
                <w:bCs/>
                <w:noProof/>
                <w:szCs w:val="22"/>
                <w:highlight w:val="yellow"/>
              </w:rPr>
              <w:t>[__________]</w:t>
            </w:r>
            <w:r w:rsidRPr="00534F66">
              <w:rPr>
                <w:bCs/>
                <w:szCs w:val="22"/>
                <w:highlight w:val="yellow"/>
              </w:rPr>
              <w:fldChar w:fldCharType="end"/>
            </w:r>
            <w:r>
              <w:t xml:space="preserve"> (Note that </w:t>
            </w:r>
            <w:r w:rsidR="000304A5">
              <w:t>sh</w:t>
            </w:r>
            <w:bookmarkStart w:id="0" w:name="_GoBack"/>
            <w:bookmarkEnd w:id="0"/>
            <w:r w:rsidR="000304A5">
              <w:t>areholder</w:t>
            </w:r>
            <w:r w:rsidRPr="00534F66">
              <w:t xml:space="preserve"> approval required within 12 months of Board ap</w:t>
            </w:r>
            <w:r>
              <w:t>proval).</w:t>
            </w:r>
          </w:p>
        </w:tc>
      </w:tr>
    </w:tbl>
    <w:p w:rsidR="000460E6" w:rsidRDefault="000460E6">
      <w:pPr>
        <w:pStyle w:val="BodyText"/>
      </w:pPr>
    </w:p>
    <w:sectPr w:rsidR="000460E6">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gNumType w:start="1"/>
      <w:cols w:space="720"/>
      <w:formProt w:val="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60E6" w:rsidRDefault="00534F66">
      <w:r>
        <w:separator/>
      </w:r>
    </w:p>
  </w:endnote>
  <w:endnote w:type="continuationSeparator" w:id="0">
    <w:p w:rsidR="000460E6" w:rsidRDefault="00534F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20002A87" w:usb1="00000000" w:usb2="00000000" w:usb3="00000000" w:csb0="000001FF" w:csb1="00000000"/>
  </w:font>
  <w:font w:name="Times New Roman Bold">
    <w:altName w:val="Times New Roman"/>
    <w:panose1 w:val="02020803070505020304"/>
    <w:charset w:val="00"/>
    <w:family w:val="roman"/>
    <w:notTrueType/>
    <w:pitch w:val="default"/>
    <w:sig w:usb0="01053AFF" w:usb1="0000008D" w:usb2="00000000" w:usb3="00000000" w:csb0="006609FF" w:csb1="00BD5CC0"/>
  </w:font>
  <w:font w:name="Tahoma">
    <w:altName w:val="Arial Black"/>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0E6" w:rsidRDefault="00534F66">
    <w:pPr>
      <w:pStyle w:val="Footer"/>
    </w:pPr>
    <w:r>
      <w:rPr>
        <w:vanish/>
        <w:color w:val="FF0000"/>
      </w:rPr>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703B" w:rsidRDefault="00534F66">
    <w:pPr>
      <w:pStyle w:val="Footer"/>
    </w:pPr>
    <w:r>
      <w:tab/>
      <w:t>-</w:t>
    </w:r>
    <w:r>
      <w:fldChar w:fldCharType="begin"/>
    </w:r>
    <w:r>
      <w:instrText xml:space="preserve"> PAGE \* MERGEFORMAT \* MERGEFORMAT </w:instrText>
    </w:r>
    <w:r>
      <w:fldChar w:fldCharType="separate"/>
    </w:r>
    <w:r w:rsidR="00C016BB">
      <w:rPr>
        <w:noProof/>
      </w:rPr>
      <w:t>3</w:t>
    </w:r>
    <w:r>
      <w:rPr>
        <w:noProof/>
      </w:rPr>
      <w:fldChar w:fldCharType="end"/>
    </w:r>
    <w:r>
      <w:t>-</w:t>
    </w:r>
    <w:r>
      <w:tab/>
    </w:r>
  </w:p>
  <w:p w:rsidR="0028703B" w:rsidRDefault="0028703B">
    <w:pPr>
      <w:pStyle w:val="Footer"/>
    </w:pPr>
    <w:r>
      <w:rPr>
        <w:noProof/>
      </w:rPr>
      <w:pict>
        <v:shapetype id="_x0000_t202" coordsize="21600,21600" o:spt="202" path="m,l,21600r21600,l21600,xe">
          <v:stroke joinstyle="miter"/>
          <v:path gradientshapeok="t" o:connecttype="rect"/>
        </v:shapetype>
        <v:shape id="zzmpTrailer_1078_2" o:spid="_x0000_s4113" type="#_x0000_t202" style="position:absolute;margin-left:0;margin-top:0;width:201.6pt;height:2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6kPwrgIAAKkFAAAOAAAAZHJzL2Uyb0RvYy54bWysVFtvmzAUfp+0/2D5nXIpSQMqqdoQpknd RWr3AxwwwZqxme0Eumn/fccm5NK9TNt4sA728Xcu3+dzeze0HO2p0kyKDIdXAUZUlLJiYpvhL8+F t8BIGyIqwqWgGX6hGt8t37657buURrKRvKIKAYjQad9luDGmS31flw1tib6SHRVwWEvVEgO/autX ivSA3nI/CoK530tVdUqWVGvYzcdDvHT4dU1L86muNTWIZxhyM25Vbt3Y1V/eknSrSNew8pAG+Yss WsIEBD1C5cQQtFPsN6iWlUpqWZurUra+rGtWUlcDVBMGr6p5akhHXS3QHN0d26T/H2z5cf9ZIVZl OMJIkBYoeqaDQQ9yQJHtTt/pFJyeOnAzA2wDy65S3T3K8qtGQq4aIrb0XinZN5RUkF1ob/pnV0cc bUE2/QdZQRiyM9IBDbVqbeugGQjQgaWXIzM2lRI2o9k8uI7gqISzaBYHgaPOJ+l0u1PavKOyRdbI sALmHTrZP2pjsyHp5GKDCVkwzh37XFxsgOO4A7Hhqj2zWTgyfyRBsl6sF7EXR/O1Fwd57t0Xq9ib F+HNLL/OV6s8/GnjhnHasKqiwoaZhBXGf0bcQeKjJI7S0pKzysLZlLTablZcoT0BYRfucz2Hk5Ob f5mGawLU8qqkMIqDhyjxivnixouLeOYlN8HCC8LkIZkHcRLnxWVJj0zQfy8J9RlOZtFsFNMp6Ve1 AdMnss9qI2nLDIwOztoML45OJLUSXIvKUWsI46N91gqb/qkVQPdEtBOs1eioVjNsBkCxKt7I6gWk qyQoC0QI8w6MRqrvGPUwOzKsv+2Iohjx9wLkbwfNZKjJ2EwGESVczbDBaDRXZhxIu06xbQPI0wO7 hydSMKfeUxaHhwXzwBVxmF124Jz/O6/ThF3+AgAA//8DAFBLAwQUAAYACAAAACEAXEFmwNkAAAAE AQAADwAAAGRycy9kb3ducmV2LnhtbEyPMU/DMBCFd6T+B+sqsSBqJ6AKQpyqqmBho2Vhu8ZHEmGf o9hNQn89Lgssp3d6p/e+Kzezs2KkIXSeNWQrBYK49qbjRsP74eX2AUSIyAatZ9LwTQE21eKqxML4 id9o3MdGpBAOBWpoY+wLKUPdksOw8j1x8j794DCmdWikGXBK4c7KXKm1dNhxamixp11L9df+5DSs 5+f+5vWR8ulc25E/zlkWKdP6ejlvn0BEmuPfMVzwEzpUienoT2yCsBrSI/F3Ju9e3eUgjhehQFal /A9f/QAAAP//AwBQSwECLQAUAAYACAAAACEAtoM4kv4AAADhAQAAEwAAAAAAAAAAAAAAAAAAAAAA W0NvbnRlbnRfVHlwZXNdLnhtbFBLAQItABQABgAIAAAAIQA4/SH/1gAAAJQBAAALAAAAAAAAAAAA AAAAAC8BAABfcmVscy8ucmVsc1BLAQItABQABgAIAAAAIQCs6kPwrgIAAKkFAAAOAAAAAAAAAAAA AAAAAC4CAABkcnMvZTJvRG9jLnhtbFBLAQItABQABgAIAAAAIQBcQWbA2QAAAAQBAAAPAAAAAAAA AAAAAAAAAAgFAABkcnMvZG93bnJldi54bWxQSwUGAAAAAAQABADzAAAADgYAAAAA " filled="f" stroked="f">
          <v:textbox style="mso-fit-shape-to-text:t" inset="0,0,0,0">
            <w:txbxContent>
              <w:p w:rsidR="0028703B" w:rsidRDefault="0028703B">
                <w:pPr>
                  <w:pStyle w:val="MacPacTrailer"/>
                </w:pPr>
                <w:r>
                  <w:t>OHSUSA:764393702.1</w:t>
                </w:r>
              </w:p>
              <w:p w:rsidR="0028703B" w:rsidRDefault="0028703B">
                <w:pPr>
                  <w:pStyle w:val="MacPacTrailer"/>
                </w:pPr>
              </w:p>
            </w:txbxContent>
          </v:textbox>
          <w10:wrap anchorx="margin"/>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703B" w:rsidRDefault="0028703B">
    <w:pPr>
      <w:pStyle w:val="Footer"/>
    </w:pPr>
    <w:r>
      <w:rPr>
        <w:noProof/>
      </w:rPr>
      <w:pict>
        <v:shapetype id="_x0000_t202" coordsize="21600,21600" o:spt="202" path="m,l,21600r21600,l21600,xe">
          <v:stroke joinstyle="miter"/>
          <v:path gradientshapeok="t" o:connecttype="rect"/>
        </v:shapetype>
        <v:shape id="zzmpTrailer_1078_1" o:spid="_x0000_s4114" type="#_x0000_t202" style="position:absolute;margin-left:0;margin-top:0;width:201.6pt;height:20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vnxorwIAALAFAAAOAAAAZHJzL2Uyb0RvYy54bWysVF1vmzAUfZ+0/2D5nWIoSQMqqdoQpknd h9TuBzhggjWwme0Eumr/fdcmJGmnSdM2HpA/ro/vuef4Xt8MbYP2TGkuRYqDC4IRE4Usudim+Mtj 7i0w0oaKkjZSsBQ/MY1vlm/fXPddwkJZy6ZkCgGI0Enfpbg2pkt8Xxc1a6m+kB0TsFlJ1VIDU7X1 S0V7QG8bPyRk7vdSlZ2SBdMaVrNxEy8dflWxwnyqKs0MalIMuRn3V+6/sX9/eU2TraJdzYtDGvQv smgpF3DpESqjhqKd4r9AtbxQUsvKXBSy9WVV8YI5DsAmIK/YPNS0Y44LFEd3xzLp/wdbfNx/VoiX oB1GgrYg0SMbDLqTAwpsdfpOJxD00EGYGWDZRlqmuruXxVeNhFzVVGzZrVKyrxktITt30j87OuJo C7LpP8gSrqE7Ix3QUKnWAkIxEKCDSk9HZWwqBSyGszm5DGGrgL1wFhHipPNpMp3ulDbvmGyRHaRY gfIOne7vtQEeEDqF2MuEzHnTOPUb8WIBAscVuBuO2j2bhRPzOSbxerFeRF4UztdeRLLMu81XkTfP g6tZdpmtVlnww94bREnNy5IJe81krCD6M+EOFh8tcbSWlg0vLZxNSavtZtUotKdg7Nx9Vi1I/izM f5mG2wYurygFYUTuwtjL54srL8qjmRdfkYVHgvgunpMojrL8JaV7Lti/U0J9iuNZOBvN9FtuoPRJ 7DNuNGm5gdbR8DbFi2MQTawF16J00hrKm3F8Vgqb/qkUULFJaGdY69HRrWbYDIeXAWDWzBtZPoGD lQSDgReh7cGgluo7Rj20kBTrbzuqGEbNewGvwPabaaCmwWYaUFHA0RQbjMbhyox9adcpvq0BeXpn t/BScu5MfMoCGNgJtAXH5dDCbN85n7uoU6Nd/gQAAP//AwBQSwMEFAAGAAgAAAAhAFxBZsDZAAAA BAEAAA8AAABkcnMvZG93bnJldi54bWxMjzFPwzAQhXek/gfrKrEgaiegCkKcqqpgYaNlYbvGRxJh n6PYTUJ/PS4LLKd3eqf3vis3s7NipCF0njVkKwWCuPam40bD++Hl9gFEiMgGrWfS8E0BNtXiqsTC +InfaNzHRqQQDgVqaGPsCylD3ZLDsPI9cfI+/eAwpnVopBlwSuHOylyptXTYcWposaddS/XX/uQ0 rOfn/ub1kfLpXNuRP85ZFinT+no5b59ARJrj3zFc8BM6VInp6E9sgrAa0iPxdybvXt3lII4XoUBW pfwPX/0AAAD//wMAUEsBAi0AFAAGAAgAAAAhALaDOJL+AAAA4QEAABMAAAAAAAAAAAAAAAAAAAAA AFtDb250ZW50X1R5cGVzXS54bWxQSwECLQAUAAYACAAAACEAOP0h/9YAAACUAQAACwAAAAAAAAAA AAAAAAAvAQAAX3JlbHMvLnJlbHNQSwECLQAUAAYACAAAACEAiL58aK8CAACwBQAADgAAAAAAAAAA AAAAAAAuAgAAZHJzL2Uyb0RvYy54bWxQSwECLQAUAAYACAAAACEAXEFmwNkAAAAEAQAADwAAAAAA AAAAAAAAAAAJBQAAZHJzL2Rvd25yZXYueG1sUEsFBgAAAAAEAAQA8wAAAA8GAAAAAA== " filled="f" stroked="f">
          <v:textbox style="mso-fit-shape-to-text:t" inset="0,0,0,0">
            <w:txbxContent>
              <w:p w:rsidR="0028703B" w:rsidRDefault="0028703B">
                <w:pPr>
                  <w:pStyle w:val="MacPacTrailer"/>
                </w:pPr>
                <w:r>
                  <w:t>OHSUSA:764393702.1</w:t>
                </w:r>
              </w:p>
              <w:p w:rsidR="0028703B" w:rsidRDefault="0028703B">
                <w:pPr>
                  <w:pStyle w:val="MacPacTrailer"/>
                </w:pPr>
              </w:p>
            </w:txbxContent>
          </v:textbox>
          <w10:wrap anchorx="margin"/>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60E6" w:rsidRDefault="00534F66">
      <w:r>
        <w:separator/>
      </w:r>
    </w:p>
  </w:footnote>
  <w:footnote w:type="continuationSeparator" w:id="0">
    <w:p w:rsidR="000460E6" w:rsidRDefault="00534F6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16BB" w:rsidRDefault="00C016B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16BB" w:rsidRDefault="00C016B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16BB" w:rsidRDefault="00C016B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5208E9"/>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
    <w:nsid w:val="1D1447AD"/>
    <w:multiLevelType w:val="singleLevel"/>
    <w:tmpl w:val="F2542A62"/>
    <w:lvl w:ilvl="0">
      <w:start w:val="1"/>
      <w:numFmt w:val="bullet"/>
      <w:pStyle w:val="O-Bullet"/>
      <w:lvlText w:val=""/>
      <w:lvlJc w:val="left"/>
      <w:pPr>
        <w:tabs>
          <w:tab w:val="num" w:pos="360"/>
        </w:tabs>
        <w:ind w:left="360" w:hanging="360"/>
      </w:pPr>
      <w:rPr>
        <w:rFonts w:ascii="Symbol" w:hAnsi="Symbol"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4115"/>
    <o:shapelayout v:ext="edit">
      <o:idmap v:ext="edit" data="4"/>
    </o:shapelayout>
  </w:hdrShapeDefaults>
  <w:footnotePr>
    <w:footnote w:id="-1"/>
    <w:footnote w:id="0"/>
  </w:footnotePr>
  <w:endnotePr>
    <w:endnote w:id="-1"/>
    <w:endnote w:id="0"/>
  </w:endnotePr>
  <w:compat>
    <w:compatSetting w:name="compatibilityMode" w:uri="http://schemas.microsoft.com/office/word" w:val="12"/>
  </w:compat>
  <w:rsids>
    <w:rsidRoot w:val="000460E6"/>
    <w:rsid w:val="000304A5"/>
    <w:rsid w:val="000460E6"/>
    <w:rsid w:val="00064AA0"/>
    <w:rsid w:val="0010123A"/>
    <w:rsid w:val="00180562"/>
    <w:rsid w:val="0028703B"/>
    <w:rsid w:val="003A0349"/>
    <w:rsid w:val="004F3460"/>
    <w:rsid w:val="00532E23"/>
    <w:rsid w:val="00534F66"/>
    <w:rsid w:val="009002EA"/>
    <w:rsid w:val="00C016BB"/>
    <w:rsid w:val="00C376C6"/>
    <w:rsid w:val="00DA1C9E"/>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11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er"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sinessSignature">
    <w:name w:val="Business Signature"/>
    <w:basedOn w:val="Normal"/>
    <w:uiPriority w:val="99"/>
    <w:pPr>
      <w:tabs>
        <w:tab w:val="left" w:pos="403"/>
        <w:tab w:val="right" w:pos="4320"/>
      </w:tabs>
    </w:pPr>
    <w:rPr>
      <w:szCs w:val="20"/>
    </w:rPr>
  </w:style>
  <w:style w:type="paragraph" w:styleId="Footer">
    <w:name w:val="footer"/>
    <w:basedOn w:val="Normal"/>
    <w:link w:val="FooterChar"/>
    <w:uiPriority w:val="99"/>
    <w:pPr>
      <w:tabs>
        <w:tab w:val="center" w:pos="4680"/>
        <w:tab w:val="right" w:pos="9360"/>
      </w:tabs>
    </w:pPr>
    <w:rPr>
      <w:szCs w:val="20"/>
    </w:rPr>
  </w:style>
  <w:style w:type="character" w:customStyle="1" w:styleId="FooterChar">
    <w:name w:val="Footer Char"/>
    <w:basedOn w:val="DefaultParagraphFont"/>
    <w:link w:val="Footer"/>
    <w:uiPriority w:val="99"/>
    <w:locked/>
    <w:rPr>
      <w:rFonts w:cs="Times New Roman"/>
      <w:sz w:val="24"/>
      <w:lang w:val="en-US" w:eastAsia="en-US" w:bidi="ar-SA"/>
    </w:rPr>
  </w:style>
  <w:style w:type="paragraph" w:customStyle="1" w:styleId="O-BodyTextDS">
    <w:name w:val="O-Body Text (DS)"/>
    <w:aliases w:val="28"/>
    <w:basedOn w:val="Normal"/>
    <w:uiPriority w:val="99"/>
    <w:pPr>
      <w:spacing w:line="480" w:lineRule="auto"/>
    </w:pPr>
    <w:rPr>
      <w:szCs w:val="20"/>
    </w:rPr>
  </w:style>
  <w:style w:type="paragraph" w:customStyle="1" w:styleId="DeliveryPhrase">
    <w:name w:val="Delivery Phrase"/>
    <w:basedOn w:val="Normal"/>
    <w:next w:val="Normal"/>
    <w:uiPriority w:val="99"/>
    <w:pPr>
      <w:spacing w:after="240"/>
    </w:pPr>
    <w:rPr>
      <w:b/>
      <w:caps/>
      <w:szCs w:val="20"/>
    </w:rPr>
  </w:style>
  <w:style w:type="paragraph" w:customStyle="1" w:styleId="DocumentTitle">
    <w:name w:val="Document Title"/>
    <w:basedOn w:val="Normal"/>
    <w:next w:val="BodyText"/>
    <w:uiPriority w:val="99"/>
    <w:pPr>
      <w:spacing w:after="480"/>
      <w:jc w:val="center"/>
    </w:pPr>
    <w:rPr>
      <w:b/>
      <w:caps/>
    </w:rPr>
  </w:style>
  <w:style w:type="paragraph" w:customStyle="1" w:styleId="O-BodyText5">
    <w:name w:val="O-Body Text .5&quot;"/>
    <w:aliases w:val="S2"/>
    <w:basedOn w:val="Normal"/>
    <w:uiPriority w:val="99"/>
    <w:pPr>
      <w:spacing w:after="240"/>
      <w:ind w:firstLine="720"/>
    </w:pPr>
    <w:rPr>
      <w:szCs w:val="20"/>
    </w:rPr>
  </w:style>
  <w:style w:type="paragraph" w:styleId="BodyText">
    <w:name w:val="Body Text"/>
    <w:basedOn w:val="Normal"/>
    <w:link w:val="BodyTextChar"/>
    <w:uiPriority w:val="99"/>
    <w:pPr>
      <w:spacing w:after="240" w:line="480" w:lineRule="auto"/>
      <w:ind w:firstLine="1440"/>
    </w:pPr>
    <w:rPr>
      <w:szCs w:val="20"/>
    </w:rPr>
  </w:style>
  <w:style w:type="character" w:customStyle="1" w:styleId="BodyTextChar">
    <w:name w:val="Body Text Char"/>
    <w:basedOn w:val="DefaultParagraphFont"/>
    <w:link w:val="BodyText"/>
    <w:uiPriority w:val="99"/>
    <w:semiHidden/>
    <w:locked/>
    <w:rPr>
      <w:rFonts w:cs="Times New Roman"/>
      <w:sz w:val="24"/>
      <w:szCs w:val="24"/>
    </w:rPr>
  </w:style>
  <w:style w:type="paragraph" w:styleId="Header">
    <w:name w:val="header"/>
    <w:basedOn w:val="Normal"/>
    <w:link w:val="HeaderChar"/>
    <w:uiPriority w:val="99"/>
    <w:pPr>
      <w:tabs>
        <w:tab w:val="center" w:pos="4320"/>
        <w:tab w:val="right" w:pos="8640"/>
      </w:tabs>
    </w:pPr>
    <w:rPr>
      <w:szCs w:val="20"/>
    </w:rPr>
  </w:style>
  <w:style w:type="character" w:customStyle="1" w:styleId="HeaderChar">
    <w:name w:val="Header Char"/>
    <w:basedOn w:val="DefaultParagraphFont"/>
    <w:link w:val="Header"/>
    <w:uiPriority w:val="99"/>
    <w:semiHidden/>
    <w:locked/>
    <w:rPr>
      <w:rFonts w:cs="Times New Roman"/>
      <w:sz w:val="24"/>
      <w:szCs w:val="24"/>
    </w:rPr>
  </w:style>
  <w:style w:type="paragraph" w:customStyle="1" w:styleId="O-BodyText1">
    <w:name w:val="O-Body Text 1&quot;"/>
    <w:aliases w:val="S3"/>
    <w:basedOn w:val="Normal"/>
    <w:uiPriority w:val="99"/>
    <w:pPr>
      <w:spacing w:after="240"/>
      <w:ind w:firstLine="1440"/>
    </w:pPr>
    <w:rPr>
      <w:szCs w:val="20"/>
    </w:rPr>
  </w:style>
  <w:style w:type="paragraph" w:customStyle="1" w:styleId="O-BodyText">
    <w:name w:val="O-Body Text"/>
    <w:aliases w:val="S1"/>
    <w:basedOn w:val="Normal"/>
    <w:uiPriority w:val="99"/>
    <w:pPr>
      <w:spacing w:after="240"/>
    </w:pPr>
    <w:rPr>
      <w:szCs w:val="20"/>
    </w:rPr>
  </w:style>
  <w:style w:type="paragraph" w:customStyle="1" w:styleId="O-Bullet">
    <w:name w:val="O-Bullet"/>
    <w:aliases w:val="S4"/>
    <w:basedOn w:val="Normal"/>
    <w:uiPriority w:val="99"/>
    <w:pPr>
      <w:numPr>
        <w:numId w:val="1"/>
      </w:numPr>
      <w:spacing w:after="240"/>
    </w:pPr>
    <w:rPr>
      <w:szCs w:val="20"/>
    </w:rPr>
  </w:style>
  <w:style w:type="paragraph" w:customStyle="1" w:styleId="O-Indent5">
    <w:name w:val="O-Indent .5&quot;"/>
    <w:aliases w:val="S5"/>
    <w:basedOn w:val="Normal"/>
    <w:uiPriority w:val="99"/>
    <w:pPr>
      <w:spacing w:after="240"/>
      <w:ind w:left="720"/>
    </w:pPr>
    <w:rPr>
      <w:szCs w:val="20"/>
    </w:rPr>
  </w:style>
  <w:style w:type="paragraph" w:customStyle="1" w:styleId="O-Indent1">
    <w:name w:val="O-Indent 1&quot;"/>
    <w:aliases w:val="S6"/>
    <w:basedOn w:val="Normal"/>
    <w:uiPriority w:val="99"/>
    <w:pPr>
      <w:spacing w:after="240"/>
      <w:ind w:left="1440"/>
    </w:pPr>
    <w:rPr>
      <w:szCs w:val="20"/>
    </w:rPr>
  </w:style>
  <w:style w:type="paragraph" w:customStyle="1" w:styleId="O-IndentedQuote">
    <w:name w:val="O-Indented Quote"/>
    <w:aliases w:val="S7"/>
    <w:basedOn w:val="Normal"/>
    <w:uiPriority w:val="99"/>
    <w:pPr>
      <w:spacing w:after="240"/>
      <w:ind w:left="1440" w:right="1440"/>
    </w:pPr>
    <w:rPr>
      <w:szCs w:val="20"/>
    </w:rPr>
  </w:style>
  <w:style w:type="paragraph" w:customStyle="1" w:styleId="O-Signature">
    <w:name w:val="O-Signature"/>
    <w:aliases w:val="S12"/>
    <w:basedOn w:val="Normal"/>
    <w:next w:val="Normal"/>
    <w:uiPriority w:val="99"/>
    <w:pPr>
      <w:keepNext/>
      <w:keepLines/>
      <w:spacing w:after="240"/>
      <w:ind w:left="5040"/>
    </w:pPr>
    <w:rPr>
      <w:szCs w:val="20"/>
    </w:rPr>
  </w:style>
  <w:style w:type="paragraph" w:customStyle="1" w:styleId="O-TITLECENTEREDB">
    <w:name w:val="O-TITLE CENTERED (B)"/>
    <w:aliases w:val="S10"/>
    <w:basedOn w:val="Normal"/>
    <w:next w:val="Normal"/>
    <w:uiPriority w:val="99"/>
    <w:pPr>
      <w:keepNext/>
      <w:keepLines/>
      <w:spacing w:after="240"/>
      <w:jc w:val="center"/>
    </w:pPr>
    <w:rPr>
      <w:rFonts w:hAnsi="Times New Roman Bold"/>
      <w:b/>
      <w:caps/>
      <w:szCs w:val="20"/>
    </w:rPr>
  </w:style>
  <w:style w:type="paragraph" w:customStyle="1" w:styleId="O-TITLECENTEREDU">
    <w:name w:val="O-TITLE CENTERED (U)"/>
    <w:aliases w:val="S8"/>
    <w:basedOn w:val="Normal"/>
    <w:next w:val="Normal"/>
    <w:uiPriority w:val="99"/>
    <w:pPr>
      <w:keepNext/>
      <w:keepLines/>
      <w:spacing w:after="240"/>
      <w:jc w:val="center"/>
    </w:pPr>
    <w:rPr>
      <w:caps/>
      <w:szCs w:val="20"/>
      <w:u w:val="single"/>
    </w:rPr>
  </w:style>
  <w:style w:type="paragraph" w:customStyle="1" w:styleId="O-TitleLeftBold">
    <w:name w:val="O-Title Left Bold"/>
    <w:aliases w:val="S11"/>
    <w:basedOn w:val="Normal"/>
    <w:next w:val="Normal"/>
    <w:uiPriority w:val="99"/>
    <w:pPr>
      <w:keepNext/>
      <w:keepLines/>
      <w:spacing w:after="240"/>
    </w:pPr>
    <w:rPr>
      <w:b/>
      <w:szCs w:val="20"/>
    </w:rPr>
  </w:style>
  <w:style w:type="paragraph" w:customStyle="1" w:styleId="O-TitleLeftUnderlined">
    <w:name w:val="O-Title Left Underlined"/>
    <w:aliases w:val="S9"/>
    <w:basedOn w:val="Normal"/>
    <w:next w:val="Normal"/>
    <w:uiPriority w:val="99"/>
    <w:pPr>
      <w:keepNext/>
      <w:keepLines/>
      <w:spacing w:after="240"/>
    </w:pPr>
    <w:rPr>
      <w:szCs w:val="20"/>
      <w:u w:val="single"/>
    </w:rPr>
  </w:style>
  <w:style w:type="paragraph" w:customStyle="1" w:styleId="O-TitleO-CtrBldULowerCaps">
    <w:name w:val="O-Title O-(Ctr) (Bld) (U) (Lower Caps)"/>
    <w:aliases w:val="s22"/>
    <w:basedOn w:val="Normal"/>
    <w:next w:val="Normal"/>
    <w:uiPriority w:val="99"/>
    <w:pPr>
      <w:keepNext/>
      <w:spacing w:after="240"/>
      <w:jc w:val="center"/>
    </w:pPr>
    <w:rPr>
      <w:b/>
      <w:bCs/>
      <w:szCs w:val="20"/>
      <w:u w:val="single"/>
    </w:rPr>
  </w:style>
  <w:style w:type="paragraph" w:customStyle="1" w:styleId="MacPacTrailer">
    <w:name w:val="MacPac Trailer"/>
    <w:rsid w:val="0028703B"/>
    <w:pPr>
      <w:widowControl w:val="0"/>
      <w:spacing w:after="0" w:line="200" w:lineRule="exact"/>
    </w:pPr>
    <w:rPr>
      <w:sz w:val="16"/>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styleId="PlaceholderText">
    <w:name w:val="Placeholder Text"/>
    <w:basedOn w:val="DefaultParagraphFont"/>
    <w:uiPriority w:val="99"/>
    <w:semiHidden/>
    <w:rsid w:val="00534F66"/>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RelyOnCSS/>
</w:webSettings>
</file>

<file path=word/_rels/document.xml.rels><?xml version="1.0" encoding="UTF-8" ?><Relationships xmlns="http://schemas.openxmlformats.org/package/2006/relationships"><Relationship Target="header1.xml" Type="http://schemas.openxmlformats.org/officeDocument/2006/relationships/header" Id="rId8"></Relationship><Relationship Target="footer3.xml" Type="http://schemas.openxmlformats.org/officeDocument/2006/relationships/footer" Id="rId13"></Relationship><Relationship Target="stylesWithEffects.xml" Type="http://schemas.microsoft.com/office/2007/relationships/stylesWithEffects" Id="rId3"></Relationship><Relationship Target="endnotes.xml" Type="http://schemas.openxmlformats.org/officeDocument/2006/relationships/endnotes" Id="rId7"></Relationship><Relationship Target="header3.xml" Type="http://schemas.openxmlformats.org/officeDocument/2006/relationships/header" Id="rId12"></Relationship><Relationship Target="styles.xml" Type="http://schemas.openxmlformats.org/officeDocument/2006/relationships/styles" Id="rId2"></Relationship><Relationship Target="numbering.xml" Type="http://schemas.openxmlformats.org/officeDocument/2006/relationships/numbering" Id="rId1"></Relationship><Relationship Target="footnotes.xml" Type="http://schemas.openxmlformats.org/officeDocument/2006/relationships/footnotes" Id="rId6"></Relationship><Relationship Target="footer2.xml" Type="http://schemas.openxmlformats.org/officeDocument/2006/relationships/footer" Id="rId11"></Relationship><Relationship Target="webSettings.xml" Type="http://schemas.openxmlformats.org/officeDocument/2006/relationships/webSettings" Id="rId5"></Relationship><Relationship Target="theme/theme1.xml" Type="http://schemas.openxmlformats.org/officeDocument/2006/relationships/theme" Id="rId15"></Relationship><Relationship Target="footer1.xml" Type="http://schemas.openxmlformats.org/officeDocument/2006/relationships/footer" Id="rId10"></Relationship><Relationship Target="settings.xml" Type="http://schemas.openxmlformats.org/officeDocument/2006/relationships/settings" Id="rId4"></Relationship><Relationship Target="header2.xml" Type="http://schemas.openxmlformats.org/officeDocument/2006/relationships/header" Id="rId9"></Relationship><Relationship Target="fontTable.xml" Type="http://schemas.openxmlformats.org/officeDocument/2006/relationships/fontTable" Id="rId14"></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itlesOfParts>
    <vt:vector size="1" baseType="lpstr">
      <vt:lpstr/>
    </vt:vector>
  </TitlesOfPart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