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5276"/>
          <w:sz w:val="72"/>
          <w:szCs w:val="72"/>
        </w:rPr>
        <w:t xml:space="preserve">MONOKO</w:t>
      </w:r>
    </w:p>
    <w:p>
      <w:pPr>
        <w:spacing w:after="100"/>
        <w:jc w:val="center"/>
      </w:pPr>
      <w:r>
        <w:rPr>
          <w:rFonts w:ascii="Arial" w:cs="Arial" w:eastAsia="Arial" w:hAnsi="Arial"/>
          <w:color w:val="555555"/>
          <w:sz w:val="36"/>
          <w:szCs w:val="36"/>
        </w:rPr>
        <w:t xml:space="preserve">Curriculum Universel d’Apprentissage</w:t>
      </w:r>
    </w:p>
    <w:p>
      <w:pPr>
        <w:spacing w:after="400"/>
        <w:jc w:val="center"/>
      </w:pPr>
      <w:r>
        <w:rPr>
          <w:rFonts w:ascii="Arial" w:cs="Arial" w:eastAsia="Arial" w:hAnsi="Arial"/>
          <w:color w:val="7F8C8D"/>
          <w:sz w:val="24"/>
          <w:szCs w:val="24"/>
        </w:rPr>
        <w:t xml:space="preserve">Programme structuré pour l’apprentissage des langues africaines</w:t>
      </w:r>
    </w:p>
    <w:p>
      <w:pPr>
        <w:spacing w:after="80"/>
      </w:pPr>
    </w:p>
    <w:p>
      <w:pPr>
        <w:spacing w:after="80"/>
      </w:pPr>
    </w:p>
    <w:p>
      <w:pPr>
        <w:spacing w:after="100"/>
        <w:jc w:val="center"/>
      </w:pPr>
      <w:r>
        <w:rPr>
          <w:rFonts w:ascii="Arial" w:cs="Arial" w:eastAsia="Arial" w:hAnsi="Arial"/>
          <w:b/>
          <w:bCs/>
          <w:color w:val="1A5276"/>
          <w:sz w:val="22"/>
          <w:szCs w:val="22"/>
        </w:rPr>
        <w:t xml:space="preserve">6 niveaux • 28 modules • Examens intégrés • Pratique de prononciation</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777777"/>
          <w:sz w:val="20"/>
          <w:szCs w:val="20"/>
        </w:rPr>
        <w:t xml:space="preserve">Ce curriculum est universel : il s’applique à toutes les langues disponibles sur Monoko (Lingala, Yoruba, Bamileke, etc.).</w:t>
      </w:r>
    </w:p>
    <w:p>
      <w:pPr>
        <w:spacing w:before="200"/>
        <w:jc w:val="center"/>
      </w:pPr>
      <w:r>
        <w:rPr>
          <w:rFonts w:ascii="Arial" w:cs="Arial" w:eastAsia="Arial" w:hAnsi="Arial"/>
          <w:color w:val="7F8C8D"/>
          <w:sz w:val="20"/>
          <w:szCs w:val="20"/>
        </w:rPr>
        <w:t xml:space="preserve">Avril 2026</w:t>
      </w:r>
    </w:p>
    <w:p>
      <w:r>
        <w:br w:type="page"/>
      </w:r>
    </w:p>
    <w:p>
      <w:pPr>
        <w:pStyle w:val="Heading1"/>
      </w:pPr>
      <w:r>
        <w:rPr>
          <w:rFonts w:ascii="Arial" w:cs="Arial" w:eastAsia="Arial" w:hAnsi="Arial"/>
          <w:b/>
          <w:bCs/>
          <w:color w:val="1A5276"/>
          <w:sz w:val="32"/>
          <w:szCs w:val="32"/>
        </w:rPr>
        <w:t xml:space="preserve">Vue d’ensemble du programme</w:t>
      </w:r>
    </w:p>
    <w:p>
      <w:pPr>
        <w:spacing w:after="120"/>
      </w:pPr>
      <w:r>
        <w:rPr>
          <w:rFonts w:ascii="Arial" w:cs="Arial" w:eastAsia="Arial" w:hAnsi="Arial"/>
          <w:sz w:val="22"/>
          <w:szCs w:val="22"/>
        </w:rPr>
        <w:t xml:space="preserve">Le curriculum Monoko suit une progression inspirée du CEFR (Cadre européen commun de référence pour les langues), adaptée aux spécificités des langues africaines tonales à tradition orale.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CEFR</w:t>
            </w:r>
          </w:p>
        </w:tc>
        <w:tc>
          <w:tcPr>
            <w:tcW w:type="dxa" w:w="18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Niveau 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Fondations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A1 Débutant</w:t>
            </w:r>
          </w:p>
        </w:tc>
        <w:tc>
          <w:tcPr>
            <w:tcW w:type="dxa" w:w="1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Niveau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 quotidienne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A2 Élémentaire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Niveau 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B1 Intermédiaire</w:t>
            </w:r>
          </w:p>
        </w:tc>
        <w:tc>
          <w:tcPr>
            <w:tcW w:type="dxa" w:w="1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Niveau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Approfondissement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B1+</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Niveau 5</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Maîtrise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B2</w:t>
            </w:r>
          </w:p>
        </w:tc>
        <w:tc>
          <w:tcPr>
            <w:tcW w:type="dxa" w:w="1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Niveau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Culture vivante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r>
    </w:tbl>
    <w:p>
      <w:pPr>
        <w:spacing w:after="80"/>
      </w:pPr>
    </w:p>
    <w:p>
      <w:pPr>
        <w:spacing w:after="120"/>
      </w:pPr>
      <w:r>
        <w:rPr>
          <w:rFonts w:ascii="Arial" w:cs="Arial" w:eastAsia="Arial" w:hAnsi="Arial"/>
          <w:sz w:val="22"/>
          <w:szCs w:val="22"/>
        </w:rPr>
        <w:t xml:space="preserve">Chaque module se termine par un examen composé de trois parties : écrit, écoute et expression orale. L’apprenant doit obtenir 70% pour débloquer le niveau suivant. Chaque leçon intègre un exercice de prononciation évalué par intelligence artificielle.</w:t>
      </w:r>
    </w:p>
    <w:p>
      <w:r>
        <w:br w:type="page"/>
      </w:r>
    </w:p>
    <w:p>
      <w:pPr>
        <w:pStyle w:val="Heading1"/>
      </w:pPr>
      <w:r>
        <w:rPr>
          <w:rFonts w:ascii="Arial" w:cs="Arial" w:eastAsia="Arial" w:hAnsi="Arial"/>
          <w:b/>
          <w:bCs/>
          <w:color w:val="1A5276"/>
          <w:sz w:val="32"/>
          <w:szCs w:val="32"/>
        </w:rPr>
        <w:t xml:space="preserve">Niveau 1 — Fondations (A1 Débutant)</w:t>
      </w:r>
    </w:p>
    <w:p>
      <w:pPr>
        <w:spacing w:after="120"/>
      </w:pPr>
      <w:r>
        <w:rPr>
          <w:rFonts w:ascii="Arial" w:cs="Arial" w:eastAsia="Arial" w:hAnsi="Arial"/>
          <w:sz w:val="22"/>
          <w:szCs w:val="22"/>
        </w:rPr>
        <w:t xml:space="preserve">Objectif : Survivre aux interactions sociales de base. Comprendre le système sonore de la langue.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6"/>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5276"/>
                <w:sz w:val="24"/>
                <w:szCs w:val="24"/>
              </w:rPr>
              <w:t xml:space="preserve">Module 1.1 — Sons et alphabet</w:t>
            </w:r>
          </w:p>
          <w:p>
            <w:pPr>
              <w:spacing w:after="60"/>
            </w:pPr>
            <w:r>
              <w:rPr>
                <w:rFonts w:ascii="Arial" w:cs="Arial" w:eastAsia="Arial" w:hAnsi="Arial"/>
                <w:color w:val="555555"/>
                <w:sz w:val="20"/>
                <w:szCs w:val="20"/>
              </w:rPr>
              <w:t xml:space="preserve">Le système sonore de la langue cible : voyelles (ouvertes/fermées, nasales), consonnes (prénasalisées, labio-vélaires), système tonal (haut, bas, montant, descendant), structure syllabique. Paires minimales démontrant les contrastes de ton. Ce module est principalement audio.</w:t>
            </w:r>
          </w:p>
          <w:p>
            <w:r>
              <w:rPr>
                <w:rFonts w:ascii="Arial" w:cs="Arial" w:eastAsia="Arial" w:hAnsi="Arial"/>
                <w:i/>
                <w:iCs/>
                <w:color w:val="7F8C8D"/>
                <w:sz w:val="18"/>
                <w:szCs w:val="18"/>
              </w:rPr>
              <w:t xml:space="preserve">Cible : 20–30 éléments audio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6"/>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5276"/>
                <w:sz w:val="24"/>
                <w:szCs w:val="24"/>
              </w:rPr>
              <w:t xml:space="preserve">Module 1.2 — Salutations et politesse</w:t>
            </w:r>
          </w:p>
          <w:p>
            <w:pPr>
              <w:spacing w:after="60"/>
            </w:pPr>
            <w:r>
              <w:rPr>
                <w:rFonts w:ascii="Arial" w:cs="Arial" w:eastAsia="Arial" w:hAnsi="Arial"/>
                <w:color w:val="555555"/>
                <w:sz w:val="20"/>
                <w:szCs w:val="20"/>
              </w:rPr>
              <w:t xml:space="preserve">Dire bonjour (formel/informel, selon le moment de la journée), dire au revoir, s’il vous plaît, merci, excusez-moi, pardon. Demander « comment allez-vous ? » et répondre. Saluer une personne âgée avec respect. Souhaiter une bonne journée, bonne nuit, bon voyage.</w:t>
            </w:r>
          </w:p>
          <w:p>
            <w:r>
              <w:rPr>
                <w:rFonts w:ascii="Arial" w:cs="Arial" w:eastAsia="Arial" w:hAnsi="Arial"/>
                <w:i/>
                <w:iCs/>
                <w:color w:val="7F8C8D"/>
                <w:sz w:val="18"/>
                <w:szCs w:val="18"/>
              </w:rPr>
              <w:t xml:space="preserve">Cible : 20–30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6"/>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5276"/>
                <w:sz w:val="24"/>
                <w:szCs w:val="24"/>
              </w:rPr>
              <w:t xml:space="preserve">Module 1.3 — Présentation personnelle</w:t>
            </w:r>
          </w:p>
          <w:p>
            <w:pPr>
              <w:spacing w:after="60"/>
            </w:pPr>
            <w:r>
              <w:rPr>
                <w:rFonts w:ascii="Arial" w:cs="Arial" w:eastAsia="Arial" w:hAnsi="Arial"/>
                <w:color w:val="555555"/>
                <w:sz w:val="20"/>
                <w:szCs w:val="20"/>
              </w:rPr>
              <w:t xml:space="preserve">Dire son nom, demander le nom de quelqu’un, dire d’où l’on vient, dire son âge, dire quelle(s) langue(s) on parle, dire qu’on apprend la langue cible, dire qu’on ne comprend pas. Pronoms personnels (je, tu, il/elle, nous, vous, ils/elles). Formes possessives (mon, ton, son).</w:t>
            </w:r>
          </w:p>
          <w:p>
            <w:r>
              <w:rPr>
                <w:rFonts w:ascii="Arial" w:cs="Arial" w:eastAsia="Arial" w:hAnsi="Arial"/>
                <w:i/>
                <w:iCs/>
                <w:color w:val="7F8C8D"/>
                <w:sz w:val="18"/>
                <w:szCs w:val="18"/>
              </w:rPr>
              <w:t xml:space="preserve">Cible : 25–35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6"/>
              <w:left w:val="single" w:color="CCCCCC" w:sz="1"/>
              <w:bottom w:val="single" w:color="CCCCCC" w:sz="1"/>
              <w:right w:val="single" w:color="CCCCCC" w:sz="1"/>
            </w:tcBorders>
            <w:shd w:fill="D6EAF8" w:val="clear"/>
            <w:tcMar>
              <w:top w:type="dxa" w:w="120"/>
              <w:left w:type="dxa" w:w="200"/>
              <w:bottom w:type="dxa" w:w="120"/>
              <w:right w:type="dxa" w:w="200"/>
            </w:tcMar>
          </w:tcPr>
          <w:p>
            <w:pPr>
              <w:spacing w:after="80"/>
            </w:pPr>
            <w:r>
              <w:rPr>
                <w:rFonts w:ascii="Arial" w:cs="Arial" w:eastAsia="Arial" w:hAnsi="Arial"/>
                <w:b/>
                <w:bCs/>
                <w:color w:val="1A5276"/>
                <w:sz w:val="24"/>
                <w:szCs w:val="24"/>
              </w:rPr>
              <w:t xml:space="preserve">Module 1.4 — Chiffres, jours et temps</w:t>
            </w:r>
          </w:p>
          <w:p>
            <w:pPr>
              <w:spacing w:after="60"/>
            </w:pPr>
            <w:r>
              <w:rPr>
                <w:rFonts w:ascii="Arial" w:cs="Arial" w:eastAsia="Arial" w:hAnsi="Arial"/>
                <w:color w:val="555555"/>
                <w:sz w:val="20"/>
                <w:szCs w:val="20"/>
              </w:rPr>
              <w:t xml:space="preserve">Nombres 1–100, jours de la semaine, mois de l’année, aujourd’hui/hier/demain, dire l’heure, matin/après-midi/soir, saisons.</w:t>
            </w:r>
          </w:p>
          <w:p>
            <w:r>
              <w:rPr>
                <w:rFonts w:ascii="Arial" w:cs="Arial" w:eastAsia="Arial" w:hAnsi="Arial"/>
                <w:i/>
                <w:iCs/>
                <w:color w:val="7F8C8D"/>
                <w:sz w:val="18"/>
                <w:szCs w:val="18"/>
              </w:rPr>
              <w:t xml:space="preserve">Cible : 50–60 éléments</w:t>
            </w:r>
          </w:p>
        </w:tc>
      </w:tr>
    </w:tbl>
    <w:p>
      <w:pPr>
        <w:spacing w:after="80"/>
      </w:pPr>
    </w:p>
    <w:p>
      <w:pPr>
        <w:spacing w:after="80" w:before="160"/>
      </w:pPr>
      <w:r>
        <w:rPr>
          <w:rFonts w:ascii="Arial" w:cs="Arial" w:eastAsia="Arial" w:hAnsi="Arial"/>
          <w:b/>
          <w:bCs/>
          <w:color w:val="C0392B"/>
          <w:sz w:val="22"/>
          <w:szCs w:val="22"/>
        </w:rPr>
        <w:t xml:space="preserve">Examen du Niveau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Associer 10 salutations à leur signification. Traduire 15 phrases de base (dans les deux sens). Compléter des séquences de nombres.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10 extraits audio et sélectionner le bon sens. Écouter quelqu’un se présenter et répondre à 5 questions.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présenter en 5+ phrases (prononciation évaluée). Répondre à 5 questions audio (salutations, questions personnelles).</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Niveau 2 — Vie quotidienne (A2 Élémentaire)</w:t>
      </w:r>
    </w:p>
    <w:p>
      <w:pPr>
        <w:spacing w:after="120"/>
      </w:pPr>
      <w:r>
        <w:rPr>
          <w:rFonts w:ascii="Arial" w:cs="Arial" w:eastAsia="Arial" w:hAnsi="Arial"/>
          <w:sz w:val="22"/>
          <w:szCs w:val="22"/>
        </w:rPr>
        <w:t xml:space="preserve">Objectif : Gérer les situations de la vie courante. Construire des phrases simples.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6"/>
              <w:left w:val="single" w:color="CCCCCC" w:sz="1"/>
              <w:bottom w:val="single" w:color="CCCCCC" w:sz="1"/>
              <w:right w:val="single" w:color="CCCCCC" w:sz="1"/>
            </w:tcBorders>
            <w:shd w:fill="D5F5E3"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Module 2.1 — La famille et les relations</w:t>
            </w:r>
          </w:p>
          <w:p>
            <w:pPr>
              <w:spacing w:after="60"/>
            </w:pPr>
            <w:r>
              <w:rPr>
                <w:rFonts w:ascii="Arial" w:cs="Arial" w:eastAsia="Arial" w:hAnsi="Arial"/>
                <w:color w:val="555555"/>
                <w:sz w:val="20"/>
                <w:szCs w:val="20"/>
              </w:rPr>
              <w:t xml:space="preserve">Famille immédiate (père, mère, frère, sœur, enfant), famille élargie (oncle, tante, grand-père, grand-mère, cousin/e), époux/épouse. Décrire sa famille, demander des nouvelles de la famille de quelqu’un. Constructions possessives avec la famille.</w:t>
            </w:r>
          </w:p>
          <w:p>
            <w:r>
              <w:rPr>
                <w:rFonts w:ascii="Arial" w:cs="Arial" w:eastAsia="Arial" w:hAnsi="Arial"/>
                <w:i/>
                <w:iCs/>
                <w:color w:val="7F8C8D"/>
                <w:sz w:val="18"/>
                <w:szCs w:val="18"/>
              </w:rPr>
              <w:t xml:space="preserve">Cible : 30–40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6"/>
              <w:left w:val="single" w:color="CCCCCC" w:sz="1"/>
              <w:bottom w:val="single" w:color="CCCCCC" w:sz="1"/>
              <w:right w:val="single" w:color="CCCCCC" w:sz="1"/>
            </w:tcBorders>
            <w:shd w:fill="D5F5E3"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Module 2.2 — La maison et les objets</w:t>
            </w:r>
          </w:p>
          <w:p>
            <w:pPr>
              <w:spacing w:after="60"/>
            </w:pPr>
            <w:r>
              <w:rPr>
                <w:rFonts w:ascii="Arial" w:cs="Arial" w:eastAsia="Arial" w:hAnsi="Arial"/>
                <w:color w:val="555555"/>
                <w:sz w:val="20"/>
                <w:szCs w:val="20"/>
              </w:rPr>
              <w:t xml:space="preserve">Pièces (chambre, cuisine, salon), meubles (lit, table, chaise, armoire), objets ménagers (assiette, marmite, clé, porte). Prépositions (sur, sous, dans, à côté, devant, derrière). Actions domestiques (cuisiner, nettoyer, dormir, laver). « Où est le/la… ? »</w:t>
            </w:r>
          </w:p>
          <w:p>
            <w:r>
              <w:rPr>
                <w:rFonts w:ascii="Arial" w:cs="Arial" w:eastAsia="Arial" w:hAnsi="Arial"/>
                <w:i/>
                <w:iCs/>
                <w:color w:val="7F8C8D"/>
                <w:sz w:val="18"/>
                <w:szCs w:val="18"/>
              </w:rPr>
              <w:t xml:space="preserve">Cible : 40–50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6"/>
              <w:left w:val="single" w:color="CCCCCC" w:sz="1"/>
              <w:bottom w:val="single" w:color="CCCCCC" w:sz="1"/>
              <w:right w:val="single" w:color="CCCCCC" w:sz="1"/>
            </w:tcBorders>
            <w:shd w:fill="D5F5E3"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Module 2.3 — Manger et boire</w:t>
            </w:r>
          </w:p>
          <w:p>
            <w:pPr>
              <w:spacing w:after="60"/>
            </w:pPr>
            <w:r>
              <w:rPr>
                <w:rFonts w:ascii="Arial" w:cs="Arial" w:eastAsia="Arial" w:hAnsi="Arial"/>
                <w:color w:val="555555"/>
                <w:sz w:val="20"/>
                <w:szCs w:val="20"/>
              </w:rPr>
              <w:t xml:space="preserve">Aliments courants (riz, poisson, poulet, manioc, plantain, haricots, pain, légumes, fruits), boissons (eau, jus, thé, café, bière, vin de palme). Repas (petit-déjeuner, déjeuner, dîner). Verbes de cuisine (cuisiner, frire, bouillir, griller, couper). Au marché : « je veux… », « combien ? », « c’est trop cher ». Faim, soif, goûts.</w:t>
            </w:r>
          </w:p>
          <w:p>
            <w:r>
              <w:rPr>
                <w:rFonts w:ascii="Arial" w:cs="Arial" w:eastAsia="Arial" w:hAnsi="Arial"/>
                <w:i/>
                <w:iCs/>
                <w:color w:val="7F8C8D"/>
                <w:sz w:val="18"/>
                <w:szCs w:val="18"/>
              </w:rPr>
              <w:t xml:space="preserve">Cible : 45–55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6"/>
              <w:left w:val="single" w:color="CCCCCC" w:sz="1"/>
              <w:bottom w:val="single" w:color="CCCCCC" w:sz="1"/>
              <w:right w:val="single" w:color="CCCCCC" w:sz="1"/>
            </w:tcBorders>
            <w:shd w:fill="D5F5E3"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Module 2.4 — Le corps et la santé</w:t>
            </w:r>
          </w:p>
          <w:p>
            <w:pPr>
              <w:spacing w:after="60"/>
            </w:pPr>
            <w:r>
              <w:rPr>
                <w:rFonts w:ascii="Arial" w:cs="Arial" w:eastAsia="Arial" w:hAnsi="Arial"/>
                <w:color w:val="555555"/>
                <w:sz w:val="20"/>
                <w:szCs w:val="20"/>
              </w:rPr>
              <w:t xml:space="preserve">Parties du corps de la tête aux pieds. Symptômes courants (« je suis malade », « j’ai mal à la tête », « j’ai de la fièvre »). Aller chez le médecin. Vocabulaire médical de base. États physiques (fatigué, fort, faible).</w:t>
            </w:r>
          </w:p>
          <w:p>
            <w:r>
              <w:rPr>
                <w:rFonts w:ascii="Arial" w:cs="Arial" w:eastAsia="Arial" w:hAnsi="Arial"/>
                <w:i/>
                <w:iCs/>
                <w:color w:val="7F8C8D"/>
                <w:sz w:val="18"/>
                <w:szCs w:val="18"/>
              </w:rPr>
              <w:t xml:space="preserve">Cible : 40–50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6"/>
              <w:left w:val="single" w:color="CCCCCC" w:sz="1"/>
              <w:bottom w:val="single" w:color="CCCCCC" w:sz="1"/>
              <w:right w:val="single" w:color="CCCCCC" w:sz="1"/>
            </w:tcBorders>
            <w:shd w:fill="D5F5E3" w:val="clear"/>
            <w:tcMar>
              <w:top w:type="dxa" w:w="120"/>
              <w:left w:type="dxa" w:w="200"/>
              <w:bottom w:type="dxa" w:w="120"/>
              <w:right w:type="dxa" w:w="200"/>
            </w:tcMar>
          </w:tcPr>
          <w:p>
            <w:pPr>
              <w:spacing w:after="80"/>
            </w:pPr>
            <w:r>
              <w:rPr>
                <w:rFonts w:ascii="Arial" w:cs="Arial" w:eastAsia="Arial" w:hAnsi="Arial"/>
                <w:b/>
                <w:bCs/>
                <w:color w:val="1E8449"/>
                <w:sz w:val="24"/>
                <w:szCs w:val="24"/>
              </w:rPr>
              <w:t xml:space="preserve">Module 2.5 — Construction de phrases 1</w:t>
            </w:r>
          </w:p>
          <w:p>
            <w:pPr>
              <w:spacing w:after="60"/>
            </w:pPr>
            <w:r>
              <w:rPr>
                <w:rFonts w:ascii="Arial" w:cs="Arial" w:eastAsia="Arial" w:hAnsi="Arial"/>
                <w:color w:val="555555"/>
                <w:sz w:val="20"/>
                <w:szCs w:val="20"/>
              </w:rPr>
              <w:t xml:space="preserve">Phrases affirmatives (Sujet + marqueur de temps + verbe + complément). Phrases négatives. Questions oui/non. Mots interrogatifs (qui ? quoi ? où ? quand ? pourquoi ? comment ? combien ?). Règles d’ordre des mots.</w:t>
            </w:r>
          </w:p>
          <w:p>
            <w:r>
              <w:rPr>
                <w:rFonts w:ascii="Arial" w:cs="Arial" w:eastAsia="Arial" w:hAnsi="Arial"/>
                <w:i/>
                <w:iCs/>
                <w:color w:val="7F8C8D"/>
                <w:sz w:val="18"/>
                <w:szCs w:val="18"/>
              </w:rPr>
              <w:t xml:space="preserve">Cible : 30–40 éléments avec exemples</w:t>
            </w:r>
          </w:p>
        </w:tc>
      </w:tr>
    </w:tbl>
    <w:p>
      <w:pPr>
        <w:spacing w:after="80"/>
      </w:pPr>
    </w:p>
    <w:p>
      <w:pPr>
        <w:spacing w:after="80" w:before="160"/>
      </w:pPr>
      <w:r>
        <w:rPr>
          <w:rFonts w:ascii="Arial" w:cs="Arial" w:eastAsia="Arial" w:hAnsi="Arial"/>
          <w:b/>
          <w:bCs/>
          <w:color w:val="C0392B"/>
          <w:sz w:val="22"/>
          <w:szCs w:val="22"/>
        </w:rPr>
        <w:t xml:space="preserve">Examen du Niveau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Décrire sa famille en 8+ phrases. Traduire 15 phrases sur la vie quotidienne. Identifier les parties du corps sur un schéma. Compléter des phrases avec les bonnes prépositions.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quelqu’un décrire sa maison et identifier les pièces. Écouter un dialogue au marché et répondre à des questions sur les achats et les prix.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Jeu de rôle : acheter 3 articles au marché (dialogue parlé évalué). Décrire ce qu’on a mangé aujourd’hui. Décrire un membre de sa famille.</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Niveau 3 — Communication (B1 Intermédiaire)</w:t>
      </w:r>
    </w:p>
    <w:p>
      <w:pPr>
        <w:spacing w:after="120"/>
      </w:pPr>
      <w:r>
        <w:rPr>
          <w:rFonts w:ascii="Arial" w:cs="Arial" w:eastAsia="Arial" w:hAnsi="Arial"/>
          <w:sz w:val="22"/>
          <w:szCs w:val="22"/>
        </w:rPr>
        <w:t xml:space="preserve">Objectif : Tenir de vraies conversations. Maîtriser le système verbal.</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3.1 — Déplacements et directions</w:t>
            </w:r>
          </w:p>
          <w:p>
            <w:pPr>
              <w:spacing w:after="60"/>
            </w:pPr>
            <w:r>
              <w:rPr>
                <w:rFonts w:ascii="Arial" w:cs="Arial" w:eastAsia="Arial" w:hAnsi="Arial"/>
                <w:color w:val="555555"/>
                <w:sz w:val="20"/>
                <w:szCs w:val="20"/>
              </w:rPr>
              <w:t xml:space="preserve">Moyens de transport (voiture, bus, taxi, moto, vélo, bateau, avion, à pied). Donner des directions (tourner à droite/gauche, tout droit, arrêtez). Demander son chemin. Vocabulaire de voyage (route, pont, carrefour, gare). Distance et durée.</w:t>
            </w:r>
          </w:p>
          <w:p>
            <w:r>
              <w:rPr>
                <w:rFonts w:ascii="Arial" w:cs="Arial" w:eastAsia="Arial" w:hAnsi="Arial"/>
                <w:i/>
                <w:iCs/>
                <w:color w:val="7F8C8D"/>
                <w:sz w:val="18"/>
                <w:szCs w:val="18"/>
              </w:rPr>
              <w:t xml:space="preserve">Cible : 35–45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3.2 — Le travail et les métiers</w:t>
            </w:r>
          </w:p>
          <w:p>
            <w:pPr>
              <w:spacing w:after="60"/>
            </w:pPr>
            <w:r>
              <w:rPr>
                <w:rFonts w:ascii="Arial" w:cs="Arial" w:eastAsia="Arial" w:hAnsi="Arial"/>
                <w:color w:val="555555"/>
                <w:sz w:val="20"/>
                <w:szCs w:val="20"/>
              </w:rPr>
              <w:t xml:space="preserve">Professions courantes (enseignant, médecin, cultivateur, commerçant, chauffeur, policier, cuisinier, tailleur, charpentier, mécanicien, musicien). Demander le métier de quelqu’un. Décrire son travail. Vocabulaire du lieu de travail.</w:t>
            </w:r>
          </w:p>
          <w:p>
            <w:r>
              <w:rPr>
                <w:rFonts w:ascii="Arial" w:cs="Arial" w:eastAsia="Arial" w:hAnsi="Arial"/>
                <w:i/>
                <w:iCs/>
                <w:color w:val="7F8C8D"/>
                <w:sz w:val="18"/>
                <w:szCs w:val="18"/>
              </w:rPr>
              <w:t xml:space="preserve">Cible : 30–40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3.3 — Conjugaison : présent et passé</w:t>
            </w:r>
          </w:p>
          <w:p>
            <w:pPr>
              <w:spacing w:after="60"/>
            </w:pPr>
            <w:r>
              <w:rPr>
                <w:rFonts w:ascii="Arial" w:cs="Arial" w:eastAsia="Arial" w:hAnsi="Arial"/>
                <w:color w:val="555555"/>
                <w:sz w:val="20"/>
                <w:szCs w:val="20"/>
              </w:rPr>
              <w:t xml:space="preserve">Formation du présent et ses marqueurs. Présent continu (action en cours). Présent habituel. Passé récent. Passé lointain/accompli. Verbes irréguliers courants. Pratique : 15–20 verbes fréquents conjugués avec exemples.</w:t>
            </w:r>
          </w:p>
          <w:p>
            <w:r>
              <w:rPr>
                <w:rFonts w:ascii="Arial" w:cs="Arial" w:eastAsia="Arial" w:hAnsi="Arial"/>
                <w:i/>
                <w:iCs/>
                <w:color w:val="7F8C8D"/>
                <w:sz w:val="18"/>
                <w:szCs w:val="18"/>
              </w:rPr>
              <w:t xml:space="preserve">Cible : 50–60 éléments (tableaux de conjugaison + phrases)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3.4 — Conjugaison : futur et impératif</w:t>
            </w:r>
          </w:p>
          <w:p>
            <w:pPr>
              <w:spacing w:after="60"/>
            </w:pPr>
            <w:r>
              <w:rPr>
                <w:rFonts w:ascii="Arial" w:cs="Arial" w:eastAsia="Arial" w:hAnsi="Arial"/>
                <w:color w:val="555555"/>
                <w:sz w:val="20"/>
                <w:szCs w:val="20"/>
              </w:rPr>
              <w:t xml:space="preserve">Futur proche et futur lointain. Impératif/ordres (positif et négatif). Requêtes et suggestions (« peux-tu… ? », « allons… »). Conditionnel (« si… alors… »). Pratique : mêmes 15–20 verbes conjugués au futur et à l’impératif.</w:t>
            </w:r>
          </w:p>
          <w:p>
            <w:r>
              <w:rPr>
                <w:rFonts w:ascii="Arial" w:cs="Arial" w:eastAsia="Arial" w:hAnsi="Arial"/>
                <w:i/>
                <w:iCs/>
                <w:color w:val="7F8C8D"/>
                <w:sz w:val="18"/>
                <w:szCs w:val="18"/>
              </w:rPr>
              <w:t xml:space="preserve">Cible : 40–50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3.5 — Sentiments et émotions</w:t>
            </w:r>
          </w:p>
          <w:p>
            <w:pPr>
              <w:spacing w:after="60"/>
            </w:pPr>
            <w:r>
              <w:rPr>
                <w:rFonts w:ascii="Arial" w:cs="Arial" w:eastAsia="Arial" w:hAnsi="Arial"/>
                <w:color w:val="555555"/>
                <w:sz w:val="20"/>
                <w:szCs w:val="20"/>
              </w:rPr>
              <w:t xml:space="preserve">Émotions (content, triste, en colère, effrayé, surpris, inquiet, honteux, fier, jaloux, fatigué, ennuyé). États physiques (faim, soif, chaud, froid, malade). Exprimer ses goûts (j’aime, je n’aime pas, je déteste). Accord et désaccord. Certitude et doute. Compliments.</w:t>
            </w:r>
          </w:p>
          <w:p>
            <w:r>
              <w:rPr>
                <w:rFonts w:ascii="Arial" w:cs="Arial" w:eastAsia="Arial" w:hAnsi="Arial"/>
                <w:i/>
                <w:iCs/>
                <w:color w:val="7F8C8D"/>
                <w:sz w:val="18"/>
                <w:szCs w:val="18"/>
              </w:rPr>
              <w:t xml:space="preserve">Cible : 35–45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6"/>
              <w:left w:val="single" w:color="CCCCCC" w:sz="1"/>
              <w:bottom w:val="single" w:color="CCCCCC" w:sz="1"/>
              <w:right w:val="single" w:color="CCCCCC" w:sz="1"/>
            </w:tcBorders>
            <w:shd w:fill="FDEBD0" w:val="clear"/>
            <w:tcMar>
              <w:top w:type="dxa" w:w="120"/>
              <w:left w:type="dxa" w:w="200"/>
              <w:bottom w:type="dxa" w:w="120"/>
              <w:right w:type="dxa" w:w="200"/>
            </w:tcMar>
          </w:tcPr>
          <w:p>
            <w:pPr>
              <w:spacing w:after="80"/>
            </w:pPr>
            <w:r>
              <w:rPr>
                <w:rFonts w:ascii="Arial" w:cs="Arial" w:eastAsia="Arial" w:hAnsi="Arial"/>
                <w:b/>
                <w:bCs/>
                <w:color w:val="E67E22"/>
                <w:sz w:val="24"/>
                <w:szCs w:val="24"/>
              </w:rPr>
              <w:t xml:space="preserve">Module 3.6 — Construction de phrases 2</w:t>
            </w:r>
          </w:p>
          <w:p>
            <w:pPr>
              <w:spacing w:after="60"/>
            </w:pPr>
            <w:r>
              <w:rPr>
                <w:rFonts w:ascii="Arial" w:cs="Arial" w:eastAsia="Arial" w:hAnsi="Arial"/>
                <w:color w:val="555555"/>
                <w:sz w:val="20"/>
                <w:szCs w:val="20"/>
              </w:rPr>
              <w:t xml:space="preserve">Conjonctions (et, mais, parce que, donc, si, quand, pendant que, bien que). Propositions relatives (« la personne qui… »). Comparatifs et superlatifs (plus que, moins que, le plus, autant que). Adverbes de fréquence (toujours, parfois, jamais, souvent, rarement). Probabilité. Relier des phrases en paragraphes.</w:t>
            </w:r>
          </w:p>
          <w:p>
            <w:r>
              <w:rPr>
                <w:rFonts w:ascii="Arial" w:cs="Arial" w:eastAsia="Arial" w:hAnsi="Arial"/>
                <w:i/>
                <w:iCs/>
                <w:color w:val="7F8C8D"/>
                <w:sz w:val="18"/>
                <w:szCs w:val="18"/>
              </w:rPr>
              <w:t xml:space="preserve">Cible : 35–45 éléments</w:t>
            </w:r>
          </w:p>
        </w:tc>
      </w:tr>
    </w:tbl>
    <w:p>
      <w:pPr>
        <w:spacing w:after="80"/>
      </w:pPr>
    </w:p>
    <w:p>
      <w:pPr>
        <w:spacing w:after="80" w:before="160"/>
      </w:pPr>
      <w:r>
        <w:rPr>
          <w:rFonts w:ascii="Arial" w:cs="Arial" w:eastAsia="Arial" w:hAnsi="Arial"/>
          <w:b/>
          <w:bCs/>
          <w:color w:val="C0392B"/>
          <w:sz w:val="22"/>
          <w:szCs w:val="22"/>
        </w:rPr>
        <w:t xml:space="preserve">Examen du Niveau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Décrire sa journée type en utilisant les bons temps. Conjuguer 10 verbes à travers 3 temps. Traduire 10 phrases complexes avec conjonctions. Donner des directions d’un point A à un point 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un dialogue de 2 minutes et le résumer. Écouter quelqu’un décrire son métier et répondre à des questions. Identifier le temps utilisé dans 10 phrases parlées.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Décrire comment on se sent et pourquoi (1 minute). Donner des directions vers un lieu. Raconter ce qu’on a fait hier et ce qu’on fera demain.</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Niveau 4 — Approfondissement (B1+)</w:t>
      </w:r>
    </w:p>
    <w:p>
      <w:pPr>
        <w:spacing w:after="120"/>
      </w:pPr>
      <w:r>
        <w:rPr>
          <w:rFonts w:ascii="Arial" w:cs="Arial" w:eastAsia="Arial" w:hAnsi="Arial"/>
          <w:sz w:val="22"/>
          <w:szCs w:val="22"/>
        </w:rPr>
        <w:t xml:space="preserve">Objectif : Développer la fluidité et la compréhension culturelle.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6"/>
              <w:left w:val="single" w:color="CCCCCC" w:sz="1"/>
              <w:bottom w:val="single" w:color="CCCCCC" w:sz="1"/>
              <w:right w:val="single" w:color="CCCCCC" w:sz="1"/>
            </w:tcBorders>
            <w:shd w:fill="E8DAEF" w:val="clear"/>
            <w:tcMar>
              <w:top w:type="dxa" w:w="120"/>
              <w:left w:type="dxa" w:w="200"/>
              <w:bottom w:type="dxa" w:w="120"/>
              <w:right w:type="dxa" w:w="200"/>
            </w:tcMar>
          </w:tcPr>
          <w:p>
            <w:pPr>
              <w:spacing w:after="80"/>
            </w:pPr>
            <w:r>
              <w:rPr>
                <w:rFonts w:ascii="Arial" w:cs="Arial" w:eastAsia="Arial" w:hAnsi="Arial"/>
                <w:b/>
                <w:bCs/>
                <w:color w:val="6C3483"/>
                <w:sz w:val="24"/>
                <w:szCs w:val="24"/>
              </w:rPr>
              <w:t xml:space="preserve">Module 4.1 — Le marché et l’argent</w:t>
            </w:r>
          </w:p>
          <w:p>
            <w:pPr>
              <w:spacing w:after="60"/>
            </w:pPr>
            <w:r>
              <w:rPr>
                <w:rFonts w:ascii="Arial" w:cs="Arial" w:eastAsia="Arial" w:hAnsi="Arial"/>
                <w:color w:val="555555"/>
                <w:sz w:val="20"/>
                <w:szCs w:val="20"/>
              </w:rPr>
              <w:t xml:space="preserve">Dialogues avancés au marché (négociation, quantités, qualité). Vocabulaire financier (prix, monnaie, cher, bon marché, remise, dette, épargne). Scénarios d’achat et de vente. Expressions commerciales idiomatiques.</w:t>
            </w:r>
          </w:p>
          <w:p>
            <w:r>
              <w:rPr>
                <w:rFonts w:ascii="Arial" w:cs="Arial" w:eastAsia="Arial" w:hAnsi="Arial"/>
                <w:i/>
                <w:iCs/>
                <w:color w:val="7F8C8D"/>
                <w:sz w:val="18"/>
                <w:szCs w:val="18"/>
              </w:rPr>
              <w:t xml:space="preserve">Cible : 30–40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6"/>
              <w:left w:val="single" w:color="CCCCCC" w:sz="1"/>
              <w:bottom w:val="single" w:color="CCCCCC" w:sz="1"/>
              <w:right w:val="single" w:color="CCCCCC" w:sz="1"/>
            </w:tcBorders>
            <w:shd w:fill="E8DAEF" w:val="clear"/>
            <w:tcMar>
              <w:top w:type="dxa" w:w="120"/>
              <w:left w:type="dxa" w:w="200"/>
              <w:bottom w:type="dxa" w:w="120"/>
              <w:right w:type="dxa" w:w="200"/>
            </w:tcMar>
          </w:tcPr>
          <w:p>
            <w:pPr>
              <w:spacing w:after="80"/>
            </w:pPr>
            <w:r>
              <w:rPr>
                <w:rFonts w:ascii="Arial" w:cs="Arial" w:eastAsia="Arial" w:hAnsi="Arial"/>
                <w:b/>
                <w:bCs/>
                <w:color w:val="6C3483"/>
                <w:sz w:val="24"/>
                <w:szCs w:val="24"/>
              </w:rPr>
              <w:t xml:space="preserve">Module 4.2 — La nature et les animaux</w:t>
            </w:r>
          </w:p>
          <w:p>
            <w:pPr>
              <w:spacing w:after="60"/>
            </w:pPr>
            <w:r>
              <w:rPr>
                <w:rFonts w:ascii="Arial" w:cs="Arial" w:eastAsia="Arial" w:hAnsi="Arial"/>
                <w:color w:val="555555"/>
                <w:sz w:val="20"/>
                <w:szCs w:val="20"/>
              </w:rPr>
              <w:t xml:space="preserve">Animaux domestiques (chien, chat, poule, chèvre, vache, cochon) et sauvages (lion, éléphant, singe, serpent, crocodile, oiseau, poisson, insecte). Nature (arbre, fleur, rivière, montagne, forêt, pluie, soleil, lune, étoiles, ciel). Météo et descriptions environnementales.</w:t>
            </w:r>
          </w:p>
          <w:p>
            <w:r>
              <w:rPr>
                <w:rFonts w:ascii="Arial" w:cs="Arial" w:eastAsia="Arial" w:hAnsi="Arial"/>
                <w:i/>
                <w:iCs/>
                <w:color w:val="7F8C8D"/>
                <w:sz w:val="18"/>
                <w:szCs w:val="18"/>
              </w:rPr>
              <w:t xml:space="preserve">Cible : 45–55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6"/>
              <w:left w:val="single" w:color="CCCCCC" w:sz="1"/>
              <w:bottom w:val="single" w:color="CCCCCC" w:sz="1"/>
              <w:right w:val="single" w:color="CCCCCC" w:sz="1"/>
            </w:tcBorders>
            <w:shd w:fill="E8DAEF" w:val="clear"/>
            <w:tcMar>
              <w:top w:type="dxa" w:w="120"/>
              <w:left w:type="dxa" w:w="200"/>
              <w:bottom w:type="dxa" w:w="120"/>
              <w:right w:type="dxa" w:w="200"/>
            </w:tcMar>
          </w:tcPr>
          <w:p>
            <w:pPr>
              <w:spacing w:after="80"/>
            </w:pPr>
            <w:r>
              <w:rPr>
                <w:rFonts w:ascii="Arial" w:cs="Arial" w:eastAsia="Arial" w:hAnsi="Arial"/>
                <w:b/>
                <w:bCs/>
                <w:color w:val="6C3483"/>
                <w:sz w:val="24"/>
                <w:szCs w:val="24"/>
              </w:rPr>
              <w:t xml:space="preserve">Module 4.3 — Proverbes et expressions idiomatiques</w:t>
            </w:r>
          </w:p>
          <w:p>
            <w:pPr>
              <w:spacing w:after="60"/>
            </w:pPr>
            <w:r>
              <w:rPr>
                <w:rFonts w:ascii="Arial" w:cs="Arial" w:eastAsia="Arial" w:hAnsi="Arial"/>
                <w:color w:val="555555"/>
                <w:sz w:val="20"/>
                <w:szCs w:val="20"/>
              </w:rPr>
              <w:t xml:space="preserve">15–20 proverbes courants avec traduction littérale et signification. Expressions idiomatiques du quotidien. Langage figuré. Quand et comment utiliser les proverbes en conversation. Contexte culturel derrière les expressions clés.</w:t>
            </w:r>
          </w:p>
          <w:p>
            <w:r>
              <w:rPr>
                <w:rFonts w:ascii="Arial" w:cs="Arial" w:eastAsia="Arial" w:hAnsi="Arial"/>
                <w:i/>
                <w:iCs/>
                <w:color w:val="7F8C8D"/>
                <w:sz w:val="18"/>
                <w:szCs w:val="18"/>
              </w:rPr>
              <w:t xml:space="preserve">Cible : 25–35 éléments — Nécessite l’apport des professeurs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6"/>
              <w:left w:val="single" w:color="CCCCCC" w:sz="1"/>
              <w:bottom w:val="single" w:color="CCCCCC" w:sz="1"/>
              <w:right w:val="single" w:color="CCCCCC" w:sz="1"/>
            </w:tcBorders>
            <w:shd w:fill="E8DAEF" w:val="clear"/>
            <w:tcMar>
              <w:top w:type="dxa" w:w="120"/>
              <w:left w:type="dxa" w:w="200"/>
              <w:bottom w:type="dxa" w:w="120"/>
              <w:right w:type="dxa" w:w="200"/>
            </w:tcMar>
          </w:tcPr>
          <w:p>
            <w:pPr>
              <w:spacing w:after="80"/>
            </w:pPr>
            <w:r>
              <w:rPr>
                <w:rFonts w:ascii="Arial" w:cs="Arial" w:eastAsia="Arial" w:hAnsi="Arial"/>
                <w:b/>
                <w:bCs/>
                <w:color w:val="6C3483"/>
                <w:sz w:val="24"/>
                <w:szCs w:val="24"/>
              </w:rPr>
              <w:t xml:space="preserve">Module 4.4 — Raconter une histoire</w:t>
            </w:r>
          </w:p>
          <w:p>
            <w:pPr>
              <w:spacing w:after="60"/>
            </w:pPr>
            <w:r>
              <w:rPr>
                <w:rFonts w:ascii="Arial" w:cs="Arial" w:eastAsia="Arial" w:hAnsi="Arial"/>
                <w:color w:val="555555"/>
                <w:sz w:val="20"/>
                <w:szCs w:val="20"/>
              </w:rPr>
              <w:t xml:space="preserve">Mots de séquence (d’abord, ensuite, après, finalement, soudain, pendant ce temps). Temps du passé en contexte narratif. Décrire des personnes et des lieux en détail. Dialogue dans les histoires (discours rapporté). Formules traditionnelles d’ouverture et de fermeture. Pratique : raconter un conte ou une anecdote personnelle.</w:t>
            </w:r>
          </w:p>
          <w:p>
            <w:r>
              <w:rPr>
                <w:rFonts w:ascii="Arial" w:cs="Arial" w:eastAsia="Arial" w:hAnsi="Arial"/>
                <w:i/>
                <w:iCs/>
                <w:color w:val="7F8C8D"/>
                <w:sz w:val="18"/>
                <w:szCs w:val="18"/>
              </w:rPr>
              <w:t xml:space="preserve">Cible : 25–35 éléments + 2–3 histoires modèles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3483" w:sz="6"/>
              <w:left w:val="single" w:color="CCCCCC" w:sz="1"/>
              <w:bottom w:val="single" w:color="CCCCCC" w:sz="1"/>
              <w:right w:val="single" w:color="CCCCCC" w:sz="1"/>
            </w:tcBorders>
            <w:shd w:fill="E8DAEF" w:val="clear"/>
            <w:tcMar>
              <w:top w:type="dxa" w:w="120"/>
              <w:left w:type="dxa" w:w="200"/>
              <w:bottom w:type="dxa" w:w="120"/>
              <w:right w:type="dxa" w:w="200"/>
            </w:tcMar>
          </w:tcPr>
          <w:p>
            <w:pPr>
              <w:spacing w:after="80"/>
            </w:pPr>
            <w:r>
              <w:rPr>
                <w:rFonts w:ascii="Arial" w:cs="Arial" w:eastAsia="Arial" w:hAnsi="Arial"/>
                <w:b/>
                <w:bCs/>
                <w:color w:val="6C3483"/>
                <w:sz w:val="24"/>
                <w:szCs w:val="24"/>
              </w:rPr>
              <w:t xml:space="preserve">Module 4.5 — La ville et les lieux</w:t>
            </w:r>
          </w:p>
          <w:p>
            <w:pPr>
              <w:spacing w:after="60"/>
            </w:pPr>
            <w:r>
              <w:rPr>
                <w:rFonts w:ascii="Arial" w:cs="Arial" w:eastAsia="Arial" w:hAnsi="Arial"/>
                <w:color w:val="555555"/>
                <w:sz w:val="20"/>
                <w:szCs w:val="20"/>
              </w:rPr>
              <w:t xml:space="preserve">Lieux urbains (église, mosquée, école, hôpital, marché, stade). Vocabulaire de quartier (rue, carrefour, quartier). Décrire où l’on vit. Vie urbaine vs rurale. Termes géographiques. Vêtements et apparence (pour décrire des personnes).</w:t>
            </w:r>
          </w:p>
          <w:p>
            <w:r>
              <w:rPr>
                <w:rFonts w:ascii="Arial" w:cs="Arial" w:eastAsia="Arial" w:hAnsi="Arial"/>
                <w:i/>
                <w:iCs/>
                <w:color w:val="7F8C8D"/>
                <w:sz w:val="18"/>
                <w:szCs w:val="18"/>
              </w:rPr>
              <w:t xml:space="preserve">Cible : 40–50 éléments</w:t>
            </w:r>
          </w:p>
        </w:tc>
      </w:tr>
    </w:tbl>
    <w:p>
      <w:pPr>
        <w:spacing w:after="80"/>
      </w:pPr>
    </w:p>
    <w:p>
      <w:pPr>
        <w:spacing w:after="80" w:before="160"/>
      </w:pPr>
      <w:r>
        <w:rPr>
          <w:rFonts w:ascii="Arial" w:cs="Arial" w:eastAsia="Arial" w:hAnsi="Arial"/>
          <w:b/>
          <w:bCs/>
          <w:color w:val="C0392B"/>
          <w:sz w:val="22"/>
          <w:szCs w:val="22"/>
        </w:rPr>
        <w:t xml:space="preserve">Examen du Niveau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6C348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Écrire un dialogue de 15+ échanges au marché avec négociation. Expliquer le sens de 5 proverbes. Décrire un animal sans le nommer (l’autre devine).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un conte (3 minutes) et répondre à des questions de compréhension. Écouter un bulletin météo et le résumer.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Raconter une histoire de 2 minutes sur un souvenir. Utiliser 3 proverbes correctement en contexte. Décrire son quartier.</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Niveau 5 — Maîtrise (B2)</w:t>
      </w:r>
    </w:p>
    <w:p>
      <w:pPr>
        <w:spacing w:after="120"/>
      </w:pPr>
      <w:r>
        <w:rPr>
          <w:rFonts w:ascii="Arial" w:cs="Arial" w:eastAsia="Arial" w:hAnsi="Arial"/>
          <w:sz w:val="22"/>
          <w:szCs w:val="22"/>
        </w:rPr>
        <w:t xml:space="preserve">Objectif : Gérer la nuance, les registres et le discours étendu.</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8F77" w:sz="6"/>
              <w:left w:val="single" w:color="CCCCCC" w:sz="1"/>
              <w:bottom w:val="single" w:color="CCCCCC" w:sz="1"/>
              <w:right w:val="single" w:color="CCCCCC" w:sz="1"/>
            </w:tcBorders>
            <w:shd w:fill="D1F2EB" w:val="clear"/>
            <w:tcMar>
              <w:top w:type="dxa" w:w="120"/>
              <w:left w:type="dxa" w:w="200"/>
              <w:bottom w:type="dxa" w:w="120"/>
              <w:right w:type="dxa" w:w="200"/>
            </w:tcMar>
          </w:tcPr>
          <w:p>
            <w:pPr>
              <w:spacing w:after="80"/>
            </w:pPr>
            <w:r>
              <w:rPr>
                <w:rFonts w:ascii="Arial" w:cs="Arial" w:eastAsia="Arial" w:hAnsi="Arial"/>
                <w:b/>
                <w:bCs/>
                <w:color w:val="148F77"/>
                <w:sz w:val="24"/>
                <w:szCs w:val="24"/>
              </w:rPr>
              <w:t xml:space="preserve">Module 5.1 — Registres : formel vs informel</w:t>
            </w:r>
          </w:p>
          <w:p>
            <w:pPr>
              <w:spacing w:after="60"/>
            </w:pPr>
            <w:r>
              <w:rPr>
                <w:rFonts w:ascii="Arial" w:cs="Arial" w:eastAsia="Arial" w:hAnsi="Arial"/>
                <w:color w:val="555555"/>
                <w:sz w:val="20"/>
                <w:szCs w:val="20"/>
              </w:rPr>
              <w:t xml:space="preserve">Salutations et formes d’adresse formelles vs informelles. Langage respectueux pour les aînés et les autorités. Registre professionnel. Argot des jeunes et parler décontracté. Variations régionales. Alternance codique avec le français/anglais.</w:t>
            </w:r>
          </w:p>
          <w:p>
            <w:r>
              <w:rPr>
                <w:rFonts w:ascii="Arial" w:cs="Arial" w:eastAsia="Arial" w:hAnsi="Arial"/>
                <w:i/>
                <w:iCs/>
                <w:color w:val="7F8C8D"/>
                <w:sz w:val="18"/>
                <w:szCs w:val="18"/>
              </w:rPr>
              <w:t xml:space="preserve">Cible : 25–35 éléments avec exemples formel/informel appariés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8F77" w:sz="6"/>
              <w:left w:val="single" w:color="CCCCCC" w:sz="1"/>
              <w:bottom w:val="single" w:color="CCCCCC" w:sz="1"/>
              <w:right w:val="single" w:color="CCCCCC" w:sz="1"/>
            </w:tcBorders>
            <w:shd w:fill="D1F2EB" w:val="clear"/>
            <w:tcMar>
              <w:top w:type="dxa" w:w="120"/>
              <w:left w:type="dxa" w:w="200"/>
              <w:bottom w:type="dxa" w:w="120"/>
              <w:right w:type="dxa" w:w="200"/>
            </w:tcMar>
          </w:tcPr>
          <w:p>
            <w:pPr>
              <w:spacing w:after="80"/>
            </w:pPr>
            <w:r>
              <w:rPr>
                <w:rFonts w:ascii="Arial" w:cs="Arial" w:eastAsia="Arial" w:hAnsi="Arial"/>
                <w:b/>
                <w:bCs/>
                <w:color w:val="148F77"/>
                <w:sz w:val="24"/>
                <w:szCs w:val="24"/>
              </w:rPr>
              <w:t xml:space="preserve">Module 5.2 — Débats et opinions</w:t>
            </w:r>
          </w:p>
          <w:p>
            <w:pPr>
              <w:spacing w:after="60"/>
            </w:pPr>
            <w:r>
              <w:rPr>
                <w:rFonts w:ascii="Arial" w:cs="Arial" w:eastAsia="Arial" w:hAnsi="Arial"/>
                <w:color w:val="555555"/>
                <w:sz w:val="20"/>
                <w:szCs w:val="20"/>
              </w:rPr>
              <w:t xml:space="preserve">Exprimer des opinions fortes (« je crois que… », « à mon avis… »). Accord partiel (« tu as raison, mais… »). Désaccord poli. Présenter des arguments (premièrement, deuxièmement, d’autre part). Cause et effet. Persuasion.</w:t>
            </w:r>
          </w:p>
          <w:p>
            <w:r>
              <w:rPr>
                <w:rFonts w:ascii="Arial" w:cs="Arial" w:eastAsia="Arial" w:hAnsi="Arial"/>
                <w:i/>
                <w:iCs/>
                <w:color w:val="7F8C8D"/>
                <w:sz w:val="18"/>
                <w:szCs w:val="18"/>
              </w:rPr>
              <w:t xml:space="preserve">Cible : 30–40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8F77" w:sz="6"/>
              <w:left w:val="single" w:color="CCCCCC" w:sz="1"/>
              <w:bottom w:val="single" w:color="CCCCCC" w:sz="1"/>
              <w:right w:val="single" w:color="CCCCCC" w:sz="1"/>
            </w:tcBorders>
            <w:shd w:fill="D1F2EB" w:val="clear"/>
            <w:tcMar>
              <w:top w:type="dxa" w:w="120"/>
              <w:left w:type="dxa" w:w="200"/>
              <w:bottom w:type="dxa" w:w="120"/>
              <w:right w:type="dxa" w:w="200"/>
            </w:tcMar>
          </w:tcPr>
          <w:p>
            <w:pPr>
              <w:spacing w:after="80"/>
            </w:pPr>
            <w:r>
              <w:rPr>
                <w:rFonts w:ascii="Arial" w:cs="Arial" w:eastAsia="Arial" w:hAnsi="Arial"/>
                <w:b/>
                <w:bCs/>
                <w:color w:val="148F77"/>
                <w:sz w:val="24"/>
                <w:szCs w:val="24"/>
              </w:rPr>
              <w:t xml:space="preserve">Module 5.3 — Médias et actualités</w:t>
            </w:r>
          </w:p>
          <w:p>
            <w:pPr>
              <w:spacing w:after="60"/>
            </w:pPr>
            <w:r>
              <w:rPr>
                <w:rFonts w:ascii="Arial" w:cs="Arial" w:eastAsia="Arial" w:hAnsi="Arial"/>
                <w:color w:val="555555"/>
                <w:sz w:val="20"/>
                <w:szCs w:val="20"/>
              </w:rPr>
              <w:t xml:space="preserve">Vocabulaire de l’actualité (événement, guerre, paix, élection, gouvernement, loi). Compréhension de bulletins radio (extraits audio adaptés). Analyse de paroles de chansons. Langage des réseaux sociaux. Compréhension écrite de textes adaptés.</w:t>
            </w:r>
          </w:p>
          <w:p>
            <w:r>
              <w:rPr>
                <w:rFonts w:ascii="Arial" w:cs="Arial" w:eastAsia="Arial" w:hAnsi="Arial"/>
                <w:i/>
                <w:iCs/>
                <w:color w:val="7F8C8D"/>
                <w:sz w:val="18"/>
                <w:szCs w:val="18"/>
              </w:rPr>
              <w:t xml:space="preserve">Cible : 25–35 éléments + 3–5 textes/audio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8F77" w:sz="6"/>
              <w:left w:val="single" w:color="CCCCCC" w:sz="1"/>
              <w:bottom w:val="single" w:color="CCCCCC" w:sz="1"/>
              <w:right w:val="single" w:color="CCCCCC" w:sz="1"/>
            </w:tcBorders>
            <w:shd w:fill="D1F2EB" w:val="clear"/>
            <w:tcMar>
              <w:top w:type="dxa" w:w="120"/>
              <w:left w:type="dxa" w:w="200"/>
              <w:bottom w:type="dxa" w:w="120"/>
              <w:right w:type="dxa" w:w="200"/>
            </w:tcMar>
          </w:tcPr>
          <w:p>
            <w:pPr>
              <w:spacing w:after="80"/>
            </w:pPr>
            <w:r>
              <w:rPr>
                <w:rFonts w:ascii="Arial" w:cs="Arial" w:eastAsia="Arial" w:hAnsi="Arial"/>
                <w:b/>
                <w:bCs/>
                <w:color w:val="148F77"/>
                <w:sz w:val="24"/>
                <w:szCs w:val="24"/>
              </w:rPr>
              <w:t xml:space="preserve">Module 5.4 — Écriture et composition</w:t>
            </w:r>
          </w:p>
          <w:p>
            <w:pPr>
              <w:spacing w:after="60"/>
            </w:pPr>
            <w:r>
              <w:rPr>
                <w:rFonts w:ascii="Arial" w:cs="Arial" w:eastAsia="Arial" w:hAnsi="Arial"/>
                <w:color w:val="555555"/>
                <w:sz w:val="20"/>
                <w:szCs w:val="20"/>
              </w:rPr>
              <w:t xml:space="preserve">Écrire une lettre personnelle/un message. Écrire une lettre formelle. Abréviations et conventions écrites courantes. Règles orthographiques. Structure de paragraphe et cohérence. Rédaction de courts essais.</w:t>
            </w:r>
          </w:p>
          <w:p>
            <w:r>
              <w:rPr>
                <w:rFonts w:ascii="Arial" w:cs="Arial" w:eastAsia="Arial" w:hAnsi="Arial"/>
                <w:i/>
                <w:iCs/>
                <w:color w:val="7F8C8D"/>
                <w:sz w:val="18"/>
                <w:szCs w:val="18"/>
              </w:rPr>
              <w:t xml:space="preserve">Cible : 20–30 éléments + modèles de rédaction</w:t>
            </w:r>
          </w:p>
        </w:tc>
      </w:tr>
    </w:tbl>
    <w:p>
      <w:pPr>
        <w:spacing w:after="80"/>
      </w:pPr>
    </w:p>
    <w:p>
      <w:pPr>
        <w:spacing w:after="80" w:before="160"/>
      </w:pPr>
      <w:r>
        <w:rPr>
          <w:rFonts w:ascii="Arial" w:cs="Arial" w:eastAsia="Arial" w:hAnsi="Arial"/>
          <w:b/>
          <w:bCs/>
          <w:color w:val="C0392B"/>
          <w:sz w:val="22"/>
          <w:szCs w:val="22"/>
        </w:rPr>
        <w:t xml:space="preserve">Examen du Niveau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Écrire une lettre formelle. Lire un article adapté et le résumer dans la langue cible. Réécrire 5 phrases informelles en registre formel.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un extrait radio de 3 minutes et répondre à des questions. Écouter un débat entre deux personnes et identifier la position de chacun.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Débattre d’un sujet simple pendant 3 minutes (fluidité, grammaire, prononciation évaluées). Expliquer un événement d’actualité.</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Niveau 6 — Culture vivante (B2+)</w:t>
      </w:r>
    </w:p>
    <w:p>
      <w:pPr>
        <w:spacing w:after="120"/>
      </w:pPr>
      <w:r>
        <w:rPr>
          <w:rFonts w:ascii="Arial" w:cs="Arial" w:eastAsia="Arial" w:hAnsi="Arial"/>
          <w:sz w:val="22"/>
          <w:szCs w:val="22"/>
        </w:rPr>
        <w:t xml:space="preserve">Objectif : Connexion culturelle profonde. Compréhension quasi-native.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CCCCC" w:sz="1"/>
              <w:bottom w:val="single" w:color="CCCCCC" w:sz="1"/>
              <w:right w:val="single" w:color="CCCCCC" w:sz="1"/>
            </w:tcBorders>
            <w:shd w:fill="FADBD8" w:val="clear"/>
            <w:tcMar>
              <w:top w:type="dxa" w:w="120"/>
              <w:left w:type="dxa" w:w="200"/>
              <w:bottom w:type="dxa" w:w="120"/>
              <w:right w:type="dxa" w:w="200"/>
            </w:tcMar>
          </w:tcPr>
          <w:p>
            <w:pPr>
              <w:spacing w:after="80"/>
            </w:pPr>
            <w:r>
              <w:rPr>
                <w:rFonts w:ascii="Arial" w:cs="Arial" w:eastAsia="Arial" w:hAnsi="Arial"/>
                <w:b/>
                <w:bCs/>
                <w:color w:val="C0392B"/>
                <w:sz w:val="24"/>
                <w:szCs w:val="24"/>
              </w:rPr>
              <w:t xml:space="preserve">Module 6.1 — Musique et arts</w:t>
            </w:r>
          </w:p>
          <w:p>
            <w:pPr>
              <w:spacing w:after="60"/>
            </w:pPr>
            <w:r>
              <w:rPr>
                <w:rFonts w:ascii="Arial" w:cs="Arial" w:eastAsia="Arial" w:hAnsi="Arial"/>
                <w:color w:val="555555"/>
                <w:sz w:val="20"/>
                <w:szCs w:val="20"/>
              </w:rPr>
              <w:t xml:space="preserve">Principaux genres musicaux et leur importance culturelle. Comprendre et discuter des paroles de chansons (thèmes, métaphores). Vocabulaire de la danse et contexte culturel. Traditions artistiques (sculpture, tissage). Discuter de ce qu’on apprécie dans une chanson ou un spectacle.</w:t>
            </w:r>
          </w:p>
          <w:p>
            <w:r>
              <w:rPr>
                <w:rFonts w:ascii="Arial" w:cs="Arial" w:eastAsia="Arial" w:hAnsi="Arial"/>
                <w:i/>
                <w:iCs/>
                <w:color w:val="7F8C8D"/>
                <w:sz w:val="18"/>
                <w:szCs w:val="18"/>
              </w:rPr>
              <w:t xml:space="preserve">Cible : 20–30 éléments + 3–5 extraits de chansons analysés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CCCCC" w:sz="1"/>
              <w:bottom w:val="single" w:color="CCCCCC" w:sz="1"/>
              <w:right w:val="single" w:color="CCCCCC" w:sz="1"/>
            </w:tcBorders>
            <w:shd w:fill="FADBD8" w:val="clear"/>
            <w:tcMar>
              <w:top w:type="dxa" w:w="120"/>
              <w:left w:type="dxa" w:w="200"/>
              <w:bottom w:type="dxa" w:w="120"/>
              <w:right w:type="dxa" w:w="200"/>
            </w:tcMar>
          </w:tcPr>
          <w:p>
            <w:pPr>
              <w:spacing w:after="80"/>
            </w:pPr>
            <w:r>
              <w:rPr>
                <w:rFonts w:ascii="Arial" w:cs="Arial" w:eastAsia="Arial" w:hAnsi="Arial"/>
                <w:b/>
                <w:bCs/>
                <w:color w:val="C0392B"/>
                <w:sz w:val="24"/>
                <w:szCs w:val="24"/>
              </w:rPr>
              <w:t xml:space="preserve">Module 6.2 — Cuisine et gastronomie</w:t>
            </w:r>
          </w:p>
          <w:p>
            <w:pPr>
              <w:spacing w:after="60"/>
            </w:pPr>
            <w:r>
              <w:rPr>
                <w:rFonts w:ascii="Arial" w:cs="Arial" w:eastAsia="Arial" w:hAnsi="Arial"/>
                <w:color w:val="555555"/>
                <w:sz w:val="20"/>
                <w:szCs w:val="20"/>
              </w:rPr>
              <w:t xml:space="preserve">Recettes traditionnelles avec instructions étape par étape. Spécialités régionales et leur importance culturelle. Techniques de cuisine et vocabulaire de la cuisine. Proverbes et expressions liés à la nourriture. Décrire les goûts et textures en détail. Recevoir des invités et étiquette alimentaire.</w:t>
            </w:r>
          </w:p>
          <w:p>
            <w:r>
              <w:rPr>
                <w:rFonts w:ascii="Arial" w:cs="Arial" w:eastAsia="Arial" w:hAnsi="Arial"/>
                <w:i/>
                <w:iCs/>
                <w:color w:val="7F8C8D"/>
                <w:sz w:val="18"/>
                <w:szCs w:val="18"/>
              </w:rPr>
              <w:t xml:space="preserve">Cible : 25–35 éléments + 3–5 recettes complètes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CCCCC" w:sz="1"/>
              <w:bottom w:val="single" w:color="CCCCCC" w:sz="1"/>
              <w:right w:val="single" w:color="CCCCCC" w:sz="1"/>
            </w:tcBorders>
            <w:shd w:fill="FADBD8" w:val="clear"/>
            <w:tcMar>
              <w:top w:type="dxa" w:w="120"/>
              <w:left w:type="dxa" w:w="200"/>
              <w:bottom w:type="dxa" w:w="120"/>
              <w:right w:type="dxa" w:w="200"/>
            </w:tcMar>
          </w:tcPr>
          <w:p>
            <w:pPr>
              <w:spacing w:after="80"/>
            </w:pPr>
            <w:r>
              <w:rPr>
                <w:rFonts w:ascii="Arial" w:cs="Arial" w:eastAsia="Arial" w:hAnsi="Arial"/>
                <w:b/>
                <w:bCs/>
                <w:color w:val="C0392B"/>
                <w:sz w:val="24"/>
                <w:szCs w:val="24"/>
              </w:rPr>
              <w:t xml:space="preserve">Module 6.3 — Traditions et cérémonies</w:t>
            </w:r>
          </w:p>
          <w:p>
            <w:pPr>
              <w:spacing w:after="60"/>
            </w:pPr>
            <w:r>
              <w:rPr>
                <w:rFonts w:ascii="Arial" w:cs="Arial" w:eastAsia="Arial" w:hAnsi="Arial"/>
                <w:color w:val="555555"/>
                <w:sz w:val="20"/>
                <w:szCs w:val="20"/>
              </w:rPr>
              <w:t xml:space="preserve">Coutumes de mariage et vocabulaire. Cérémonies de baptême/présentation. Funérailles et deuil. Expressions religieuses et spirituelles. Célébrations et festivals traditionnels. Rites de passage.</w:t>
            </w:r>
          </w:p>
          <w:p>
            <w:r>
              <w:rPr>
                <w:rFonts w:ascii="Arial" w:cs="Arial" w:eastAsia="Arial" w:hAnsi="Arial"/>
                <w:i/>
                <w:iCs/>
                <w:color w:val="7F8C8D"/>
                <w:sz w:val="18"/>
                <w:szCs w:val="18"/>
              </w:rPr>
              <w:t xml:space="preserve">Cible : 25–35 éléments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CCCCC" w:sz="1"/>
              <w:bottom w:val="single" w:color="CCCCCC" w:sz="1"/>
              <w:right w:val="single" w:color="CCCCCC" w:sz="1"/>
            </w:tcBorders>
            <w:shd w:fill="FADBD8" w:val="clear"/>
            <w:tcMar>
              <w:top w:type="dxa" w:w="120"/>
              <w:left w:type="dxa" w:w="200"/>
              <w:bottom w:type="dxa" w:w="120"/>
              <w:right w:type="dxa" w:w="200"/>
            </w:tcMar>
          </w:tcPr>
          <w:p>
            <w:pPr>
              <w:spacing w:after="80"/>
            </w:pPr>
            <w:r>
              <w:rPr>
                <w:rFonts w:ascii="Arial" w:cs="Arial" w:eastAsia="Arial" w:hAnsi="Arial"/>
                <w:b/>
                <w:bCs/>
                <w:color w:val="C0392B"/>
                <w:sz w:val="24"/>
                <w:szCs w:val="24"/>
              </w:rPr>
              <w:t xml:space="preserve">Module 6.4 — La langue dans le monde</w:t>
            </w:r>
          </w:p>
          <w:p>
            <w:pPr>
              <w:spacing w:after="60"/>
            </w:pPr>
            <w:r>
              <w:rPr>
                <w:rFonts w:ascii="Arial" w:cs="Arial" w:eastAsia="Arial" w:hAnsi="Arial"/>
                <w:color w:val="555555"/>
                <w:sz w:val="20"/>
                <w:szCs w:val="20"/>
              </w:rPr>
              <w:t xml:space="preserve">Communautés de la diaspora et évolution de la langue à l’étranger. Argot moderne et néologismes. La langue dans les espaces numériques (SMS, réseaux sociaux). Emprunts linguistiques. Préservation de la langue et son importance. Ressources pour continuer à apprendre au-delà de Monoko.</w:t>
            </w:r>
          </w:p>
          <w:p>
            <w:r>
              <w:rPr>
                <w:rFonts w:ascii="Arial" w:cs="Arial" w:eastAsia="Arial" w:hAnsi="Arial"/>
                <w:i/>
                <w:iCs/>
                <w:color w:val="7F8C8D"/>
                <w:sz w:val="18"/>
                <w:szCs w:val="18"/>
              </w:rPr>
              <w:t xml:space="preserve">Cible : 20–30 éléments</w:t>
            </w:r>
          </w:p>
        </w:tc>
      </w:tr>
    </w:tbl>
    <w:p>
      <w:pPr>
        <w:spacing w:after="80"/>
      </w:pPr>
    </w:p>
    <w:p>
      <w:pPr>
        <w:spacing w:after="80" w:before="160"/>
      </w:pPr>
      <w:r>
        <w:rPr>
          <w:rFonts w:ascii="Arial" w:cs="Arial" w:eastAsia="Arial" w:hAnsi="Arial"/>
          <w:b/>
          <w:bCs/>
          <w:color w:val="C0392B"/>
          <w:sz w:val="22"/>
          <w:szCs w:val="22"/>
        </w:rPr>
        <w:t xml:space="preserve">Examen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Composante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Poids</w:t>
            </w:r>
          </w:p>
        </w:tc>
        <w:tc>
          <w:tcPr>
            <w:tcW w:type="dxa" w:w="582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Écrit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Traduire un passage de 150 mots du français vers la langue cible. Écrire un essai culturel (200+ mots) sur une tradition. Expliquer 5 proverbes ou expressions idiomatiques.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Écoute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Écouter une conversation naturelle de 5 minutes et répondre à des questions détaillées. Écouter une chanson et expliquer ses thèmes.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libre de 10 minutes avec l’IA Monoko sur un sujet aléatoire (évaluation globale : fluidité, grammaire, prononciation, pertinence culturelle, richesse du vocabulaire).</w:t>
            </w:r>
          </w:p>
        </w:tc>
      </w:tr>
    </w:tbl>
    <w:p>
      <w:pPr>
        <w:spacing w:after="120"/>
      </w:pPr>
      <w:r>
        <w:rPr>
          <w:rFonts w:ascii="Arial" w:cs="Arial" w:eastAsia="Arial" w:hAnsi="Arial"/>
          <w:b/>
          <w:bCs/>
          <w:color w:val="C0392B"/>
          <w:sz w:val="22"/>
          <w:szCs w:val="22"/>
        </w:rPr>
        <w:t xml:space="preserve">Seuil de réussite : 70%</w:t>
      </w:r>
    </w:p>
    <w:p>
      <w:r>
        <w:br w:type="page"/>
      </w:r>
    </w:p>
    <w:p>
      <w:pPr>
        <w:pStyle w:val="Heading1"/>
      </w:pPr>
      <w:r>
        <w:rPr>
          <w:rFonts w:ascii="Arial" w:cs="Arial" w:eastAsia="Arial" w:hAnsi="Arial"/>
          <w:b/>
          <w:bCs/>
          <w:color w:val="1A5276"/>
          <w:sz w:val="32"/>
          <w:szCs w:val="32"/>
        </w:rPr>
        <w:t xml:space="preserve">Fonctionnalités transversales</w:t>
      </w:r>
    </w:p>
    <w:p>
      <w:pPr>
        <w:spacing w:after="80"/>
      </w:pPr>
    </w:p>
    <w:p>
      <w:pPr>
        <w:pStyle w:val="Heading2"/>
      </w:pPr>
      <w:r>
        <w:rPr>
          <w:rFonts w:ascii="Arial" w:cs="Arial" w:eastAsia="Arial" w:hAnsi="Arial"/>
          <w:b/>
          <w:bCs/>
          <w:color w:val="1E8449"/>
          <w:sz w:val="26"/>
          <w:szCs w:val="26"/>
        </w:rPr>
        <w:t xml:space="preserve">Pratique de prononciation</w:t>
      </w:r>
    </w:p>
    <w:p>
      <w:pPr>
        <w:spacing w:after="120"/>
      </w:pPr>
      <w:r>
        <w:rPr>
          <w:rFonts w:ascii="Arial" w:cs="Arial" w:eastAsia="Arial" w:hAnsi="Arial"/>
          <w:sz w:val="22"/>
          <w:szCs w:val="22"/>
        </w:rPr>
        <w:t xml:space="preserve">Chaque leçon intègre un exercice de prononciation évalué par intelligence artificielle. Le processus est le suivant :</w:t>
      </w:r>
    </w:p>
    <w:p>
      <w:pPr>
        <w:pStyle w:val="ListParagraph"/>
        <w:numPr>
          <w:ilvl w:val="0"/>
          <w:numId w:val="2"/>
        </w:numPr>
        <w:spacing w:after="60"/>
      </w:pPr>
      <w:r>
        <w:rPr>
          <w:rFonts w:ascii="Arial" w:cs="Arial" w:eastAsia="Arial" w:hAnsi="Arial"/>
          <w:sz w:val="22"/>
          <w:szCs w:val="22"/>
        </w:rPr>
        <w:t xml:space="preserve">Chaque élément de leçon dispose d’un bouton « Prononce ».</w:t>
      </w:r>
    </w:p>
    <w:p>
      <w:pPr>
        <w:pStyle w:val="ListParagraph"/>
        <w:numPr>
          <w:ilvl w:val="0"/>
          <w:numId w:val="2"/>
        </w:numPr>
        <w:spacing w:after="60"/>
      </w:pPr>
      <w:r>
        <w:rPr>
          <w:rFonts w:ascii="Arial" w:cs="Arial" w:eastAsia="Arial" w:hAnsi="Arial"/>
          <w:sz w:val="22"/>
          <w:szCs w:val="22"/>
        </w:rPr>
        <w:t xml:space="preserve">L’apprenant s’enregistre via le microphone de son appareil.</w:t>
      </w:r>
    </w:p>
    <w:p>
      <w:pPr>
        <w:pStyle w:val="ListParagraph"/>
        <w:numPr>
          <w:ilvl w:val="0"/>
          <w:numId w:val="2"/>
        </w:numPr>
        <w:spacing w:after="60"/>
      </w:pPr>
      <w:r>
        <w:rPr>
          <w:rFonts w:ascii="Arial" w:cs="Arial" w:eastAsia="Arial" w:hAnsi="Arial"/>
          <w:sz w:val="22"/>
          <w:szCs w:val="22"/>
        </w:rPr>
        <w:t xml:space="preserve">Le système de reconnaissance vocale (ElevenLabs Scribe) transcrit ce qui a été dit.</w:t>
      </w:r>
    </w:p>
    <w:p>
      <w:pPr>
        <w:pStyle w:val="ListParagraph"/>
        <w:numPr>
          <w:ilvl w:val="0"/>
          <w:numId w:val="2"/>
        </w:numPr>
        <w:spacing w:after="60"/>
      </w:pPr>
      <w:r>
        <w:rPr>
          <w:rFonts w:ascii="Arial" w:cs="Arial" w:eastAsia="Arial" w:hAnsi="Arial"/>
          <w:sz w:val="22"/>
          <w:szCs w:val="22"/>
        </w:rPr>
        <w:t xml:space="preserve">L’application compare la transcription au texte attendu.</w:t>
      </w:r>
    </w:p>
    <w:p>
      <w:pPr>
        <w:pStyle w:val="ListParagraph"/>
        <w:numPr>
          <w:ilvl w:val="0"/>
          <w:numId w:val="2"/>
        </w:numPr>
        <w:spacing w:after="60"/>
      </w:pPr>
      <w:r>
        <w:rPr>
          <w:rFonts w:ascii="Arial" w:cs="Arial" w:eastAsia="Arial" w:hAnsi="Arial"/>
          <w:sz w:val="22"/>
          <w:szCs w:val="22"/>
        </w:rPr>
        <w:t xml:space="preserve">Un score de correspondance en pourcentage est affiché.</w:t>
      </w:r>
    </w:p>
    <w:p>
      <w:pPr>
        <w:pStyle w:val="ListParagraph"/>
        <w:numPr>
          <w:ilvl w:val="0"/>
          <w:numId w:val="2"/>
        </w:numPr>
        <w:spacing w:after="120"/>
      </w:pPr>
      <w:r>
        <w:rPr>
          <w:rFonts w:ascii="Arial" w:cs="Arial" w:eastAsia="Arial" w:hAnsi="Arial"/>
          <w:sz w:val="22"/>
          <w:szCs w:val="22"/>
        </w:rPr>
        <w:t xml:space="preserve">Évolution future : retour au niveau des phonèmes et détection des erreurs tonales.</w:t>
      </w:r>
    </w:p>
    <w:p>
      <w:pPr>
        <w:spacing w:after="120"/>
      </w:pPr>
      <w:r>
        <w:rPr>
          <w:rFonts w:ascii="Arial" w:cs="Arial" w:eastAsia="Arial" w:hAnsi="Arial"/>
          <w:sz w:val="22"/>
          <w:szCs w:val="22"/>
        </w:rPr>
        <w:t xml:space="preserve">La précision tonale est le défi principal pour les langues africaines. À terme, le système identifiera spécifiquement les erreurs de ton — ce qui constituerait un avantage compétitif majeur par rapport aux applications existantes.</w:t>
      </w:r>
    </w:p>
    <w:p>
      <w:pPr>
        <w:spacing w:after="80"/>
      </w:pPr>
    </w:p>
    <w:p>
      <w:pPr>
        <w:pStyle w:val="Heading2"/>
      </w:pPr>
      <w:r>
        <w:rPr>
          <w:rFonts w:ascii="Arial" w:cs="Arial" w:eastAsia="Arial" w:hAnsi="Arial"/>
          <w:b/>
          <w:bCs/>
          <w:color w:val="E67E22"/>
          <w:sz w:val="26"/>
          <w:szCs w:val="26"/>
        </w:rPr>
        <w:t xml:space="preserve">Système d’examens</w:t>
      </w:r>
    </w:p>
    <w:p>
      <w:pPr>
        <w:spacing w:after="120"/>
      </w:pPr>
      <w:r>
        <w:rPr>
          <w:rFonts w:ascii="Arial" w:cs="Arial" w:eastAsia="Arial" w:hAnsi="Arial"/>
          <w:sz w:val="22"/>
          <w:szCs w:val="22"/>
        </w:rPr>
        <w:t xml:space="preserve">Chaque niveau se conclut par un examen composé de trois parties :</w:t>
      </w:r>
    </w:p>
    <w:p>
      <w:pPr>
        <w:pStyle w:val="ListParagraph"/>
        <w:numPr>
          <w:ilvl w:val="0"/>
          <w:numId w:val="3"/>
        </w:numPr>
        <w:spacing w:after="60"/>
      </w:pPr>
      <w:r>
        <w:rPr>
          <w:rFonts w:ascii="Arial" w:cs="Arial" w:eastAsia="Arial" w:hAnsi="Arial"/>
          <w:sz w:val="22"/>
          <w:szCs w:val="22"/>
        </w:rPr>
        <w:t xml:space="preserve">Écrit — Traduction, texte à trous, construction de phrases, rédaction courte.</w:t>
      </w:r>
    </w:p>
    <w:p>
      <w:pPr>
        <w:pStyle w:val="ListParagraph"/>
        <w:numPr>
          <w:ilvl w:val="0"/>
          <w:numId w:val="3"/>
        </w:numPr>
        <w:spacing w:after="60"/>
      </w:pPr>
      <w:r>
        <w:rPr>
          <w:rFonts w:ascii="Arial" w:cs="Arial" w:eastAsia="Arial" w:hAnsi="Arial"/>
          <w:sz w:val="22"/>
          <w:szCs w:val="22"/>
        </w:rPr>
        <w:t xml:space="preserve">Écoute — Compréhension audio à partir d’enregistrements de locuteurs natifs ou de synthèse vocale.</w:t>
      </w:r>
    </w:p>
    <w:p>
      <w:pPr>
        <w:pStyle w:val="ListParagraph"/>
        <w:numPr>
          <w:ilvl w:val="0"/>
          <w:numId w:val="3"/>
        </w:numPr>
        <w:spacing w:after="60"/>
      </w:pPr>
      <w:r>
        <w:rPr>
          <w:rFonts w:ascii="Arial" w:cs="Arial" w:eastAsia="Arial" w:hAnsi="Arial"/>
          <w:sz w:val="22"/>
          <w:szCs w:val="22"/>
        </w:rPr>
        <w:t xml:space="preserve">Oral — L’apprenant enregistre ses réponses ; évaluation par IA via reconnaissance vocale + analyse par modèle de langage.</w:t>
      </w:r>
    </w:p>
    <w:p>
      <w:pPr>
        <w:spacing w:after="80"/>
      </w:pPr>
    </w:p>
    <w:p>
      <w:pPr>
        <w:spacing w:after="120"/>
      </w:pPr>
      <w:r>
        <w:rPr>
          <w:rFonts w:ascii="Arial" w:cs="Arial" w:eastAsia="Arial" w:hAnsi="Arial"/>
          <w:b/>
          <w:bCs/>
          <w:sz w:val="22"/>
          <w:szCs w:val="22"/>
        </w:rPr>
        <w:t xml:space="preserve">Règles d’évaluation :</w:t>
      </w:r>
    </w:p>
    <w:p>
      <w:pPr>
        <w:pStyle w:val="ListParagraph"/>
        <w:numPr>
          <w:ilvl w:val="0"/>
          <w:numId w:val="3"/>
        </w:numPr>
        <w:spacing w:after="60"/>
      </w:pPr>
      <w:r>
        <w:rPr>
          <w:rFonts w:ascii="Arial" w:cs="Arial" w:eastAsia="Arial" w:hAnsi="Arial"/>
          <w:sz w:val="22"/>
          <w:szCs w:val="22"/>
        </w:rPr>
        <w:t xml:space="preserve">Seuil de réussite : 70% pour débloquer le niveau suivant.</w:t>
      </w:r>
    </w:p>
    <w:p>
      <w:pPr>
        <w:pStyle w:val="ListParagraph"/>
        <w:numPr>
          <w:ilvl w:val="0"/>
          <w:numId w:val="3"/>
        </w:numPr>
        <w:spacing w:after="60"/>
      </w:pPr>
      <w:r>
        <w:rPr>
          <w:rFonts w:ascii="Arial" w:cs="Arial" w:eastAsia="Arial" w:hAnsi="Arial"/>
          <w:sz w:val="22"/>
          <w:szCs w:val="22"/>
        </w:rPr>
        <w:t xml:space="preserve">Les composantes échouées peuvent être repassées individuellement.</w:t>
      </w:r>
    </w:p>
    <w:p>
      <w:pPr>
        <w:pStyle w:val="ListParagraph"/>
        <w:numPr>
          <w:ilvl w:val="0"/>
          <w:numId w:val="3"/>
        </w:numPr>
        <w:spacing w:after="60"/>
      </w:pPr>
      <w:r>
        <w:rPr>
          <w:rFonts w:ascii="Arial" w:cs="Arial" w:eastAsia="Arial" w:hAnsi="Arial"/>
          <w:sz w:val="22"/>
          <w:szCs w:val="22"/>
        </w:rPr>
        <w:t xml:space="preserve">Les éléments ratés sont ajoutés à une file de révision espacée (spaced repetition).</w:t>
      </w:r>
    </w:p>
    <w:p>
      <w:pPr>
        <w:spacing w:after="80"/>
      </w:pPr>
    </w:p>
    <w:p>
      <w:pPr>
        <w:pStyle w:val="Heading2"/>
      </w:pPr>
      <w:r>
        <w:rPr>
          <w:rFonts w:ascii="Arial" w:cs="Arial" w:eastAsia="Arial" w:hAnsi="Arial"/>
          <w:b/>
          <w:bCs/>
          <w:color w:val="6C3483"/>
          <w:sz w:val="26"/>
          <w:szCs w:val="26"/>
        </w:rPr>
        <w:t xml:space="preserve">Répétition espacée</w:t>
      </w:r>
    </w:p>
    <w:p>
      <w:pPr>
        <w:spacing w:after="120"/>
      </w:pPr>
      <w:r>
        <w:rPr>
          <w:rFonts w:ascii="Arial" w:cs="Arial" w:eastAsia="Arial" w:hAnsi="Arial"/>
          <w:sz w:val="22"/>
          <w:szCs w:val="22"/>
        </w:rPr>
        <w:t xml:space="preserve">Tout élément auquel l’apprenant répond incorrectement (dans un examen ou un exercice) est automatiquement ajouté à une file de révision. Ces éléments réapparaissent dans les sessions futures à des intervalles croissants, garantissant une mémorisation durable.</w:t>
      </w:r>
    </w:p>
    <w:p>
      <w:pPr>
        <w:spacing w:after="80"/>
      </w:pPr>
    </w:p>
    <w:p>
      <w:pPr>
        <w:pStyle w:val="Heading2"/>
      </w:pPr>
      <w:r>
        <w:rPr>
          <w:rFonts w:ascii="Arial" w:cs="Arial" w:eastAsia="Arial" w:hAnsi="Arial"/>
          <w:b/>
          <w:bCs/>
          <w:color w:val="1A5276"/>
          <w:sz w:val="26"/>
          <w:szCs w:val="26"/>
        </w:rPr>
        <w:t xml:space="preserve">Universalité du curriculum</w:t>
      </w:r>
    </w:p>
    <w:p>
      <w:pPr>
        <w:spacing w:after="120"/>
      </w:pPr>
      <w:r>
        <w:rPr>
          <w:rFonts w:ascii="Arial" w:cs="Arial" w:eastAsia="Arial" w:hAnsi="Arial"/>
          <w:sz w:val="22"/>
          <w:szCs w:val="22"/>
        </w:rPr>
        <w:t xml:space="preserve">Ce curriculum est identique pour toutes les langues disponibles sur la plateforme Monoko. Le contenu est spécifique à chaque langue, mais la structure des modules, la progression et le format des examens sont universels. Cela permet :</w:t>
      </w:r>
    </w:p>
    <w:p>
      <w:pPr>
        <w:pStyle w:val="ListParagraph"/>
        <w:numPr>
          <w:ilvl w:val="0"/>
          <w:numId w:val="3"/>
        </w:numPr>
        <w:spacing w:after="60"/>
      </w:pPr>
      <w:r>
        <w:rPr>
          <w:rFonts w:ascii="Arial" w:cs="Arial" w:eastAsia="Arial" w:hAnsi="Arial"/>
          <w:sz w:val="22"/>
          <w:szCs w:val="22"/>
        </w:rPr>
        <w:t xml:space="preserve">Une expérience utilisateur cohérente quelle que soit la langue choisie.</w:t>
      </w:r>
    </w:p>
    <w:p>
      <w:pPr>
        <w:pStyle w:val="ListParagraph"/>
        <w:numPr>
          <w:ilvl w:val="0"/>
          <w:numId w:val="3"/>
        </w:numPr>
        <w:spacing w:after="60"/>
      </w:pPr>
      <w:r>
        <w:rPr>
          <w:rFonts w:ascii="Arial" w:cs="Arial" w:eastAsia="Arial" w:hAnsi="Arial"/>
          <w:sz w:val="22"/>
          <w:szCs w:val="22"/>
        </w:rPr>
        <w:t xml:space="preserve">Un développement parallèle de plusieurs langues avec la même architecture technique.</w:t>
      </w:r>
    </w:p>
    <w:p>
      <w:pPr>
        <w:pStyle w:val="ListParagraph"/>
        <w:numPr>
          <w:ilvl w:val="0"/>
          <w:numId w:val="3"/>
        </w:numPr>
        <w:spacing w:after="60"/>
      </w:pPr>
      <w:r>
        <w:rPr>
          <w:rFonts w:ascii="Arial" w:cs="Arial" w:eastAsia="Arial" w:hAnsi="Arial"/>
          <w:sz w:val="22"/>
          <w:szCs w:val="22"/>
        </w:rPr>
        <w:t xml:space="preserve">Une comparaison des niveaux entre langues (un B1 en Lingala équivaut à un B1 en Yoruba).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2026-04-07T03:59:15.570Z</dcterms:created>
  <dcterms:modified xsi:type="dcterms:W3CDTF">2026-04-07T03:59:15.570Z</dcterms:modified>
</cp:coreProperties>
</file>

<file path=docProps/custom.xml><?xml version="1.0" encoding="utf-8"?>
<Properties xmlns="http://schemas.openxmlformats.org/officeDocument/2006/custom-properties" xmlns:vt="http://schemas.openxmlformats.org/officeDocument/2006/docPropsVTypes"/>
</file>