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00"/>
        <w:jc w:val="center"/>
      </w:pPr>
      <w:r>
        <w:rPr>
          <w:rFonts w:ascii="Arial" w:cs="Arial" w:eastAsia="Arial" w:hAnsi="Arial"/>
          <w:b/>
          <w:bCs/>
          <w:caps/>
          <w:color w:val="FFFFFF"/>
          <w:sz w:val="48"/>
          <w:szCs w:val="48"/>
        </w:rPr>
        <w:t xml:space="preserve">AI CONSULTING SERVICES AGREEMENT</w:t>
      </w:r>
    </w:p>
    <w:p>
      <w:pPr>
        <w:shd w:fill="B8860B" w:val="clear"/>
        <w:spacing w:after="0" w:before="0"/>
      </w:pPr>
      <w:r>
        <w:rPr>
          <w:sz w:val="12"/>
          <w:szCs w:val="12"/>
        </w:rPr>
        <w:t xml:space="preserve"> </w:t>
      </w:r>
    </w:p>
    <w:p>
      <w:pPr>
        <w:shd w:fill="1B3A6B" w:val="clear"/>
        <w:spacing w:after="0" w:before="0"/>
        <w:jc w:val="center"/>
      </w:pPr>
      <w:r>
        <w:rPr>
          <w:rFonts w:ascii="Arial" w:cs="Arial" w:eastAsia="Arial" w:hAnsi="Arial"/>
          <w:color w:val="C5D5EF"/>
          <w:sz w:val="26"/>
          <w:szCs w:val="26"/>
        </w:rPr>
        <w:t xml:space="preserve">Kemper Design Services  ×  Apex Regenerative Hair Center</w:t>
      </w:r>
    </w:p>
    <w:p>
      <w:pPr>
        <w:shd w:fill="1B3A6B" w:val="clear"/>
        <w:spacing w:after="0" w:before="0"/>
        <w:jc w:val="center"/>
      </w:pPr>
      <w:r>
        <w:rPr>
          <w:rFonts w:ascii="Arial" w:cs="Arial" w:eastAsia="Arial" w:hAnsi="Arial"/>
          <w:i/>
          <w:iCs/>
          <w:color w:val="FFFFFF"/>
          <w:sz w:val="22"/>
          <w:szCs w:val="22"/>
        </w:rPr>
        <w:t xml:space="preserve">AI Intake, Autoscheduling &amp; Ongoing Maintenance Services</w:t>
      </w:r>
    </w:p>
    <w:p>
      <w:pPr>
        <w:shd w:fill="1B3A6B" w:val="clear"/>
        <w:spacing w:after="0" w:before="0"/>
        <w:jc w:val="center"/>
      </w:pPr>
      <w:r>
        <w:rPr>
          <w:sz w:val="16"/>
          <w:szCs w:val="16"/>
        </w:rPr>
        <w:t xml:space="preserve"> </w:t>
      </w:r>
    </w:p>
    <w:p>
      <w:pPr>
        <w:shd w:fill="1B3A6B" w:val="clear"/>
        <w:spacing w:after="320" w:before="0"/>
        <w:jc w:val="center"/>
      </w:pPr>
      <w:r>
        <w:rPr>
          <w:rFonts w:ascii="Arial" w:cs="Arial" w:eastAsia="Arial" w:hAnsi="Arial"/>
          <w:color w:val="C5D5EF"/>
          <w:sz w:val="20"/>
          <w:szCs w:val="20"/>
        </w:rPr>
        <w:t xml:space="preserve">Effective Date: ______________________     |     April 2025</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1B3A6B" w:sz="1"/>
              <w:left w:val="single" w:color="1B3A6B" w:sz="1"/>
              <w:bottom w:val="single" w:color="1B3A6B" w:sz="1"/>
              <w:right w:val="single" w:color="1B3A6B" w:sz="1"/>
            </w:tcBorders>
            <w:shd w:fill="EAF0FB" w:val="clear"/>
            <w:tcMar>
              <w:top w:type="dxa" w:w="160"/>
              <w:left w:type="dxa" w:w="200"/>
              <w:bottom w:type="dxa" w:w="160"/>
              <w:right w:type="dxa" w:w="200"/>
            </w:tcMar>
          </w:tcPr>
          <w:p>
            <w:pPr>
              <w:spacing w:after="40" w:before="0"/>
            </w:pPr>
            <w:r>
              <w:rPr>
                <w:rFonts w:ascii="Arial" w:cs="Arial" w:eastAsia="Arial" w:hAnsi="Arial"/>
                <w:b/>
                <w:bCs/>
                <w:caps/>
                <w:color w:val="555555"/>
                <w:sz w:val="19"/>
                <w:szCs w:val="19"/>
              </w:rPr>
              <w:t xml:space="preserve">SERVICE PROVIDER</w:t>
            </w:r>
          </w:p>
          <w:p>
            <w:pPr>
              <w:spacing w:after="20" w:before="0"/>
            </w:pPr>
            <w:r>
              <w:rPr>
                <w:rFonts w:ascii="Arial" w:cs="Arial" w:eastAsia="Arial" w:hAnsi="Arial"/>
                <w:b/>
                <w:bCs/>
                <w:color w:val="1B3A6B"/>
                <w:sz w:val="24"/>
                <w:szCs w:val="24"/>
              </w:rPr>
              <w:t xml:space="preserve">Kemper Design Services</w:t>
            </w:r>
          </w:p>
          <w:p>
            <w:r>
              <w:rPr>
                <w:rFonts w:ascii="Arial" w:cs="Arial" w:eastAsia="Arial" w:hAnsi="Arial"/>
                <w:color w:val="2D2D2D"/>
                <w:sz w:val="20"/>
                <w:szCs w:val="20"/>
              </w:rPr>
              <w:t xml:space="preserve">Damian Kemper, Owner</w:t>
            </w:r>
          </w:p>
          <w:p>
            <w:r>
              <w:rPr>
                <w:rFonts w:ascii="Arial" w:cs="Arial" w:eastAsia="Arial" w:hAnsi="Arial"/>
                <w:color w:val="2D2D2D"/>
                <w:sz w:val="20"/>
                <w:szCs w:val="20"/>
              </w:rPr>
              <w:t xml:space="preserve">kemperdesignservices@gmail.com</w:t>
            </w:r>
          </w:p>
          <w:p>
            <w:pPr>
              <w:spacing w:before="20"/>
            </w:pPr>
            <w:r>
              <w:rPr>
                <w:rFonts w:ascii="Arial" w:cs="Arial" w:eastAsia="Arial" w:hAnsi="Arial"/>
                <w:i/>
                <w:iCs/>
                <w:color w:val="555555"/>
                <w:sz w:val="19"/>
                <w:szCs w:val="19"/>
              </w:rPr>
              <w:t xml:space="preserve">(hereinafter "Consultant")</w:t>
            </w:r>
          </w:p>
        </w:tc>
        <w:tc>
          <w:tcPr>
            <w:tcW w:type="dxa" w:w="120"/>
            <w:tcBorders>
              <w:top w:val="nil" w:color="FFFFFF" w:sz="0"/>
              <w:left w:val="nil" w:color="FFFFFF" w:sz="0"/>
              <w:bottom w:val="nil" w:color="FFFFFF" w:sz="0"/>
              <w:right w:val="nil" w:color="FFFFFF" w:sz="0"/>
            </w:tcBorders>
          </w:tcPr>
          <w:p>
            <w:r>
              <w:t xml:space="preserve"/>
            </w:r>
          </w:p>
        </w:tc>
        <w:tc>
          <w:tcPr>
            <w:tcW w:type="dxa" w:w="4620"/>
            <w:tcBorders>
              <w:top w:val="single" w:color="1B3A6B" w:sz="1"/>
              <w:left w:val="single" w:color="1B3A6B" w:sz="1"/>
              <w:bottom w:val="single" w:color="1B3A6B" w:sz="1"/>
              <w:right w:val="single" w:color="1B3A6B" w:sz="1"/>
            </w:tcBorders>
            <w:shd w:fill="EAF0FB" w:val="clear"/>
            <w:tcMar>
              <w:top w:type="dxa" w:w="160"/>
              <w:left w:type="dxa" w:w="200"/>
              <w:bottom w:type="dxa" w:w="160"/>
              <w:right w:type="dxa" w:w="200"/>
            </w:tcMar>
          </w:tcPr>
          <w:p>
            <w:pPr>
              <w:spacing w:after="40" w:before="0"/>
            </w:pPr>
            <w:r>
              <w:rPr>
                <w:rFonts w:ascii="Arial" w:cs="Arial" w:eastAsia="Arial" w:hAnsi="Arial"/>
                <w:b/>
                <w:bCs/>
                <w:caps/>
                <w:color w:val="555555"/>
                <w:sz w:val="19"/>
                <w:szCs w:val="19"/>
              </w:rPr>
              <w:t xml:space="preserve">CLIENT</w:t>
            </w:r>
          </w:p>
          <w:p>
            <w:pPr>
              <w:spacing w:after="20" w:before="0"/>
            </w:pPr>
            <w:r>
              <w:rPr>
                <w:rFonts w:ascii="Arial" w:cs="Arial" w:eastAsia="Arial" w:hAnsi="Arial"/>
                <w:b/>
                <w:bCs/>
                <w:color w:val="1B3A6B"/>
                <w:sz w:val="24"/>
                <w:szCs w:val="24"/>
              </w:rPr>
              <w:t xml:space="preserve">Apex Regenerative Hair Center</w:t>
            </w:r>
          </w:p>
          <w:p>
            <w:r>
              <w:rPr>
                <w:rFonts w:ascii="Arial" w:cs="Arial" w:eastAsia="Arial" w:hAnsi="Arial"/>
                <w:color w:val="2D2D2D"/>
                <w:sz w:val="20"/>
                <w:szCs w:val="20"/>
              </w:rPr>
              <w:t xml:space="preserve">Dr. Faruqi, Owner</w:t>
            </w:r>
          </w:p>
          <w:p>
            <w:r>
              <w:rPr>
                <w:rFonts w:ascii="Arial" w:cs="Arial" w:eastAsia="Arial" w:hAnsi="Arial"/>
                <w:color w:val="2D2D2D"/>
                <w:sz w:val="20"/>
                <w:szCs w:val="20"/>
              </w:rPr>
              <w:t xml:space="preserve">apexregenerativehair.com</w:t>
            </w:r>
          </w:p>
          <w:p>
            <w:pPr>
              <w:spacing w:before="20"/>
            </w:pPr>
            <w:r>
              <w:rPr>
                <w:rFonts w:ascii="Arial" w:cs="Arial" w:eastAsia="Arial" w:hAnsi="Arial"/>
                <w:i/>
                <w:iCs/>
                <w:color w:val="555555"/>
                <w:sz w:val="19"/>
                <w:szCs w:val="19"/>
              </w:rPr>
              <w:t xml:space="preserve">(hereinafter "Client")</w:t>
            </w:r>
          </w:p>
        </w:tc>
      </w:tr>
    </w:tbl>
    <w:p>
      <w:pPr>
        <w:spacing w:after="60" w:before="80"/>
      </w:pPr>
      <w:r>
        <w:t xml:space="preserve"/>
      </w:r>
    </w:p>
    <w:p>
      <w:pPr>
        <w:spacing w:after="60" w:before="60"/>
      </w:pPr>
      <w:r>
        <w:rPr>
          <w:rFonts w:ascii="Arial" w:cs="Arial" w:eastAsia="Arial" w:hAnsi="Arial"/>
          <w:b w:val="false"/>
          <w:bCs w:val="false"/>
          <w:color w:val="2D2D2D"/>
          <w:sz w:val="21"/>
          <w:szCs w:val="21"/>
        </w:rPr>
        <w:t xml:space="preserve">This AI Consulting Services Agreement ("Agreement") is entered into as of the Effective Date above by and between the parties identified herein. By signing below or by authorizing work to begin, both parties agree to be bound by the terms and conditions set forth in this Agreement.</w:t>
      </w:r>
    </w:p>
    <w:p>
      <w:pPr>
        <w:shd w:fill="1B3A6B" w:val="clear"/>
        <w:spacing w:after="0" w:before="360"/>
      </w:pPr>
      <w:r>
        <w:rPr>
          <w:rFonts w:ascii="Arial" w:cs="Arial" w:eastAsia="Arial" w:hAnsi="Arial"/>
          <w:b/>
          <w:bCs/>
          <w:color w:val="C5D5EF"/>
          <w:sz w:val="22"/>
          <w:szCs w:val="22"/>
        </w:rPr>
        <w:t xml:space="preserve">  SECTION 1  </w:t>
      </w:r>
      <w:r>
        <w:rPr>
          <w:rFonts w:ascii="Arial" w:cs="Arial" w:eastAsia="Arial" w:hAnsi="Arial"/>
          <w:b/>
          <w:bCs/>
          <w:color w:val="FFFFFF"/>
          <w:sz w:val="22"/>
          <w:szCs w:val="22"/>
        </w:rPr>
        <w:t xml:space="preserve">— SCOPE OF SERVICES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1.1.  </w:t>
      </w:r>
      <w:r>
        <w:rPr>
          <w:rFonts w:ascii="Arial" w:cs="Arial" w:eastAsia="Arial" w:hAnsi="Arial"/>
          <w:b/>
          <w:bCs/>
          <w:color w:val="1B3A6B"/>
          <w:sz w:val="22"/>
          <w:szCs w:val="22"/>
        </w:rPr>
        <w:t xml:space="preserve">Project Deliverables</w:t>
      </w:r>
    </w:p>
    <w:p>
      <w:pPr>
        <w:spacing w:after="60" w:before="60"/>
      </w:pPr>
      <w:r>
        <w:rPr>
          <w:rFonts w:ascii="Arial" w:cs="Arial" w:eastAsia="Arial" w:hAnsi="Arial"/>
          <w:b w:val="false"/>
          <w:bCs w:val="false"/>
          <w:color w:val="2D2D2D"/>
          <w:sz w:val="21"/>
          <w:szCs w:val="21"/>
        </w:rPr>
        <w:t xml:space="preserve">Consultant agrees to design, build, and deploy the AI Intake &amp; Autoscheduling System for Client, consisting of the following four stages:</w:t>
      </w:r>
    </w:p>
    <w:p>
      <w:pPr>
        <w:spacing w:after="20" w:before="40"/>
      </w:pPr>
      <w:r>
        <w:t xml:space="preserve"/>
      </w:r>
    </w:p>
    <w:p>
      <w:pPr>
        <w:pStyle w:val="ListParagraph"/>
        <w:numPr>
          <w:ilvl w:val="0"/>
          <w:numId w:val="2"/>
        </w:numPr>
        <w:spacing w:after="40" w:before="40"/>
      </w:pPr>
      <w:r>
        <w:rPr>
          <w:rFonts w:ascii="Arial" w:cs="Arial" w:eastAsia="Arial" w:hAnsi="Arial"/>
          <w:color w:val="2D2D2D"/>
          <w:sz w:val="21"/>
          <w:szCs w:val="21"/>
        </w:rPr>
        <w:t xml:space="preserve">Stage 1 — Foundation: Twilio telephony setup, Retell AI connection, Google Calendar configuration, call routing and fallback logic</w:t>
      </w:r>
    </w:p>
    <w:p>
      <w:pPr>
        <w:pStyle w:val="ListParagraph"/>
        <w:numPr>
          <w:ilvl w:val="0"/>
          <w:numId w:val="2"/>
        </w:numPr>
        <w:spacing w:after="40" w:before="40"/>
      </w:pPr>
      <w:r>
        <w:rPr>
          <w:rFonts w:ascii="Arial" w:cs="Arial" w:eastAsia="Arial" w:hAnsi="Arial"/>
          <w:color w:val="2D2D2D"/>
          <w:sz w:val="21"/>
          <w:szCs w:val="21"/>
        </w:rPr>
        <w:t xml:space="preserve">Stage 2 — AI Intake &amp; Autoscheduler: Full Retell AI agent build, conversation design, real-time availability checking, automatic appointment booking</w:t>
      </w:r>
    </w:p>
    <w:p>
      <w:pPr>
        <w:pStyle w:val="ListParagraph"/>
        <w:numPr>
          <w:ilvl w:val="0"/>
          <w:numId w:val="2"/>
        </w:numPr>
        <w:spacing w:after="40" w:before="40"/>
      </w:pPr>
      <w:r>
        <w:rPr>
          <w:rFonts w:ascii="Arial" w:cs="Arial" w:eastAsia="Arial" w:hAnsi="Arial"/>
          <w:color w:val="2D2D2D"/>
          <w:sz w:val="21"/>
          <w:szCs w:val="21"/>
        </w:rPr>
        <w:t xml:space="preserve">Stage 3 — Integrations &amp; Automation: Google Sheets lead logging, SMS and email confirmations, staff notifications, AI call summaries, CRM-ready data structure</w:t>
      </w:r>
    </w:p>
    <w:p>
      <w:pPr>
        <w:pStyle w:val="ListParagraph"/>
        <w:numPr>
          <w:ilvl w:val="0"/>
          <w:numId w:val="2"/>
        </w:numPr>
        <w:spacing w:after="40" w:before="40"/>
      </w:pPr>
      <w:r>
        <w:rPr>
          <w:rFonts w:ascii="Arial" w:cs="Arial" w:eastAsia="Arial" w:hAnsi="Arial"/>
          <w:color w:val="2D2D2D"/>
          <w:sz w:val="21"/>
          <w:szCs w:val="21"/>
        </w:rPr>
        <w:t xml:space="preserve">Stage 4 — Website Booking System: Book Consultation button, embedded booking page, website-to-calendar sync, UTM tracking</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1.2.  </w:t>
      </w:r>
      <w:r>
        <w:rPr>
          <w:rFonts w:ascii="Arial" w:cs="Arial" w:eastAsia="Arial" w:hAnsi="Arial"/>
          <w:b/>
          <w:bCs/>
          <w:color w:val="1B3A6B"/>
          <w:sz w:val="22"/>
          <w:szCs w:val="22"/>
        </w:rPr>
        <w:t xml:space="preserve">Changes to Scope</w:t>
      </w:r>
    </w:p>
    <w:p>
      <w:pPr>
        <w:spacing w:after="60" w:before="60"/>
      </w:pPr>
      <w:r>
        <w:rPr>
          <w:rFonts w:ascii="Arial" w:cs="Arial" w:eastAsia="Arial" w:hAnsi="Arial"/>
          <w:b w:val="false"/>
          <w:bCs w:val="false"/>
          <w:color w:val="2D2D2D"/>
          <w:sz w:val="21"/>
          <w:szCs w:val="21"/>
        </w:rPr>
        <w:t xml:space="preserve">Any work outside the deliverables described in Section 1.1 constitutes a change in scope. All scope changes must be agreed upon in writing and may result in additional fees. Consultant is not obligated to perform out-of-scope work without a signed change order.</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1.3.  </w:t>
      </w:r>
      <w:r>
        <w:rPr>
          <w:rFonts w:ascii="Arial" w:cs="Arial" w:eastAsia="Arial" w:hAnsi="Arial"/>
          <w:b/>
          <w:bCs/>
          <w:color w:val="1B3A6B"/>
          <w:sz w:val="22"/>
          <w:szCs w:val="22"/>
        </w:rPr>
        <w:t xml:space="preserve">Client Cooperation</w:t>
      </w:r>
    </w:p>
    <w:p>
      <w:pPr>
        <w:spacing w:after="60" w:before="60"/>
      </w:pPr>
      <w:r>
        <w:rPr>
          <w:rFonts w:ascii="Arial" w:cs="Arial" w:eastAsia="Arial" w:hAnsi="Arial"/>
          <w:b w:val="false"/>
          <w:bCs w:val="false"/>
          <w:color w:val="2D2D2D"/>
          <w:sz w:val="21"/>
          <w:szCs w:val="21"/>
        </w:rPr>
        <w:t xml:space="preserve">Client agrees to provide timely access to all required accounts, credentials, platforms, and information as outlined in the Client Access Request document. Delays caused by Client's failure to provide required access may result in project timeline extensions at no fault of Consultant.</w:t>
      </w:r>
    </w:p>
    <w:p>
      <w:pPr>
        <w:shd w:fill="1B3A6B" w:val="clear"/>
        <w:spacing w:after="0" w:before="360"/>
      </w:pPr>
      <w:r>
        <w:rPr>
          <w:rFonts w:ascii="Arial" w:cs="Arial" w:eastAsia="Arial" w:hAnsi="Arial"/>
          <w:b/>
          <w:bCs/>
          <w:color w:val="C5D5EF"/>
          <w:sz w:val="22"/>
          <w:szCs w:val="22"/>
        </w:rPr>
        <w:t xml:space="preserve">  SECTION 2  </w:t>
      </w:r>
      <w:r>
        <w:rPr>
          <w:rFonts w:ascii="Arial" w:cs="Arial" w:eastAsia="Arial" w:hAnsi="Arial"/>
          <w:b/>
          <w:bCs/>
          <w:color w:val="FFFFFF"/>
          <w:sz w:val="22"/>
          <w:szCs w:val="22"/>
        </w:rPr>
        <w:t xml:space="preserve">— FEES &amp; PAYMENT TERMS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2.1.  </w:t>
      </w:r>
      <w:r>
        <w:rPr>
          <w:rFonts w:ascii="Arial" w:cs="Arial" w:eastAsia="Arial" w:hAnsi="Arial"/>
          <w:b/>
          <w:bCs/>
          <w:color w:val="1B3A6B"/>
          <w:sz w:val="22"/>
          <w:szCs w:val="22"/>
        </w:rPr>
        <w:t xml:space="preserve">Project Implementation Fee</w:t>
      </w:r>
    </w:p>
    <w:p>
      <w:pPr>
        <w:spacing w:after="60" w:before="60"/>
      </w:pPr>
      <w:r>
        <w:rPr>
          <w:rFonts w:ascii="Arial" w:cs="Arial" w:eastAsia="Arial" w:hAnsi="Arial"/>
          <w:b w:val="false"/>
          <w:bCs w:val="false"/>
          <w:color w:val="2D2D2D"/>
          <w:sz w:val="21"/>
          <w:szCs w:val="21"/>
        </w:rPr>
        <w:t xml:space="preserve">The total fee for the four-stage project is $9,500.00 (Nine Thousand Five Hundred Dollars), payable in four equal milestone installments of $2,375.00 each, as outlined below.</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Milestone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Due</w:t>
            </w:r>
          </w:p>
        </w:tc>
        <w:tc>
          <w:tcPr>
            <w:tcW w:type="dxa" w:w="23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Amount</w:t>
            </w:r>
          </w:p>
        </w:tc>
      </w:tr>
      <w:tr>
        <w:tc>
          <w:tcPr>
            <w:tcW w:type="dxa" w:w="4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val="false"/>
                <w:bCs w:val="false"/>
                <w:color w:val="1B3A6B"/>
                <w:sz w:val="20"/>
                <w:szCs w:val="20"/>
              </w:rPr>
              <w:t xml:space="preserve">Stage 1 — Foundation</w:t>
            </w:r>
          </w:p>
        </w:tc>
        <w:tc>
          <w:tcPr>
            <w:tcW w:type="dxa" w:w="3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Upon signing</w:t>
            </w:r>
          </w:p>
        </w:tc>
        <w:tc>
          <w:tcPr>
            <w:tcW w:type="dxa" w:w="23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pPr>
              <w:jc w:val="right"/>
            </w:pPr>
            <w:r>
              <w:rPr>
                <w:rFonts w:ascii="Arial" w:cs="Arial" w:eastAsia="Arial" w:hAnsi="Arial"/>
                <w:b/>
                <w:bCs/>
                <w:color w:val="1B3A6B"/>
                <w:sz w:val="20"/>
                <w:szCs w:val="20"/>
              </w:rPr>
              <w:t xml:space="preserve">$2,375</w:t>
            </w:r>
          </w:p>
        </w:tc>
      </w:tr>
      <w:tr>
        <w:tc>
          <w:tcPr>
            <w:tcW w:type="dxa" w:w="4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val="false"/>
                <w:bCs w:val="false"/>
                <w:color w:val="1B3A6B"/>
                <w:sz w:val="20"/>
                <w:szCs w:val="20"/>
              </w:rPr>
              <w:t xml:space="preserve">Stage 2 — AI Intake &amp; Autoscheduler</w:t>
            </w:r>
          </w:p>
        </w:tc>
        <w:tc>
          <w:tcPr>
            <w:tcW w:type="dxa" w:w="3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Week 2 start</w:t>
            </w:r>
          </w:p>
        </w:tc>
        <w:tc>
          <w:tcPr>
            <w:tcW w:type="dxa" w:w="23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pPr>
              <w:jc w:val="right"/>
            </w:pPr>
            <w:r>
              <w:rPr>
                <w:rFonts w:ascii="Arial" w:cs="Arial" w:eastAsia="Arial" w:hAnsi="Arial"/>
                <w:b/>
                <w:bCs/>
                <w:color w:val="1B3A6B"/>
                <w:sz w:val="20"/>
                <w:szCs w:val="20"/>
              </w:rPr>
              <w:t xml:space="preserve">$2,375</w:t>
            </w:r>
          </w:p>
        </w:tc>
      </w:tr>
      <w:tr>
        <w:tc>
          <w:tcPr>
            <w:tcW w:type="dxa" w:w="4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val="false"/>
                <w:bCs w:val="false"/>
                <w:color w:val="1B3A6B"/>
                <w:sz w:val="20"/>
                <w:szCs w:val="20"/>
              </w:rPr>
              <w:t xml:space="preserve">Stage 3 — Integrations &amp; Automation</w:t>
            </w:r>
          </w:p>
        </w:tc>
        <w:tc>
          <w:tcPr>
            <w:tcW w:type="dxa" w:w="3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Week 3 start</w:t>
            </w:r>
          </w:p>
        </w:tc>
        <w:tc>
          <w:tcPr>
            <w:tcW w:type="dxa" w:w="23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pPr>
              <w:jc w:val="right"/>
            </w:pPr>
            <w:r>
              <w:rPr>
                <w:rFonts w:ascii="Arial" w:cs="Arial" w:eastAsia="Arial" w:hAnsi="Arial"/>
                <w:b/>
                <w:bCs/>
                <w:color w:val="1B3A6B"/>
                <w:sz w:val="20"/>
                <w:szCs w:val="20"/>
              </w:rPr>
              <w:t xml:space="preserve">$2,375</w:t>
            </w:r>
          </w:p>
        </w:tc>
      </w:tr>
      <w:tr>
        <w:tc>
          <w:tcPr>
            <w:tcW w:type="dxa" w:w="4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val="false"/>
                <w:bCs w:val="false"/>
                <w:color w:val="1B3A6B"/>
                <w:sz w:val="20"/>
                <w:szCs w:val="20"/>
              </w:rPr>
              <w:t xml:space="preserve">Stage 4 — Website Booking + Launch</w:t>
            </w:r>
          </w:p>
        </w:tc>
        <w:tc>
          <w:tcPr>
            <w:tcW w:type="dxa" w:w="3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Week 4 delivery</w:t>
            </w:r>
          </w:p>
        </w:tc>
        <w:tc>
          <w:tcPr>
            <w:tcW w:type="dxa" w:w="23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pPr>
              <w:jc w:val="right"/>
            </w:pPr>
            <w:r>
              <w:rPr>
                <w:rFonts w:ascii="Arial" w:cs="Arial" w:eastAsia="Arial" w:hAnsi="Arial"/>
                <w:b/>
                <w:bCs/>
                <w:color w:val="1B3A6B"/>
                <w:sz w:val="20"/>
                <w:szCs w:val="20"/>
              </w:rPr>
              <w:t xml:space="preserve">$2,375</w:t>
            </w:r>
          </w:p>
        </w:tc>
      </w:tr>
      <w:tr>
        <w:tc>
          <w:tcPr>
            <w:tcW w:type="dxa" w:w="400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b/>
                <w:bCs/>
                <w:color w:val="1B3A6B"/>
                <w:sz w:val="20"/>
                <w:szCs w:val="20"/>
              </w:rPr>
              <w:t xml:space="preserve">Monthly System Maintenance</w:t>
            </w:r>
          </w:p>
        </w:tc>
        <w:tc>
          <w:tcPr>
            <w:tcW w:type="dxa" w:w="300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Recurring — 1st of each month</w:t>
            </w:r>
          </w:p>
        </w:tc>
        <w:tc>
          <w:tcPr>
            <w:tcW w:type="dxa" w:w="236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pPr>
              <w:jc w:val="right"/>
            </w:pPr>
            <w:r>
              <w:rPr>
                <w:rFonts w:ascii="Arial" w:cs="Arial" w:eastAsia="Arial" w:hAnsi="Arial"/>
                <w:b/>
                <w:bCs/>
                <w:color w:val="1A6B3A"/>
                <w:sz w:val="20"/>
                <w:szCs w:val="20"/>
              </w:rPr>
              <w:t xml:space="preserve">$49.99 / month</w:t>
            </w:r>
          </w:p>
        </w:tc>
      </w:tr>
    </w:tbl>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2.2.  </w:t>
      </w:r>
      <w:r>
        <w:rPr>
          <w:rFonts w:ascii="Arial" w:cs="Arial" w:eastAsia="Arial" w:hAnsi="Arial"/>
          <w:b/>
          <w:bCs/>
          <w:color w:val="1B3A6B"/>
          <w:sz w:val="22"/>
          <w:szCs w:val="22"/>
        </w:rPr>
        <w:t xml:space="preserve">Monthly System Maintenance Fee</w:t>
      </w:r>
    </w:p>
    <w:p>
      <w:pPr>
        <w:spacing w:after="60" w:before="60"/>
      </w:pPr>
      <w:r>
        <w:rPr>
          <w:rFonts w:ascii="Arial" w:cs="Arial" w:eastAsia="Arial" w:hAnsi="Arial"/>
          <w:b w:val="false"/>
          <w:bCs w:val="false"/>
          <w:color w:val="2D2D2D"/>
          <w:sz w:val="21"/>
          <w:szCs w:val="21"/>
        </w:rPr>
        <w:t xml:space="preserve">Following project completion, Consultant offers ongoing monthly maintenance at a discounted client rate of $49.99 per month (regular rate: $70.00/month). The monthly maintenance fee covers:</w:t>
      </w:r>
    </w:p>
    <w:p>
      <w:pPr>
        <w:spacing w:after="20" w:before="40"/>
      </w:pPr>
      <w:r>
        <w:t xml:space="preserve"/>
      </w:r>
    </w:p>
    <w:p>
      <w:pPr>
        <w:pStyle w:val="ListParagraph"/>
        <w:numPr>
          <w:ilvl w:val="0"/>
          <w:numId w:val="2"/>
        </w:numPr>
        <w:spacing w:after="40" w:before="40"/>
      </w:pPr>
      <w:r>
        <w:rPr>
          <w:rFonts w:ascii="Arial" w:cs="Arial" w:eastAsia="Arial" w:hAnsi="Arial"/>
          <w:color w:val="2D2D2D"/>
          <w:sz w:val="21"/>
          <w:szCs w:val="21"/>
        </w:rPr>
        <w:t xml:space="preserve">24/7 system uptime monitoring across Retell AI, Twilio, and Google Calendar integration</w:t>
      </w:r>
    </w:p>
    <w:p>
      <w:pPr>
        <w:pStyle w:val="ListParagraph"/>
        <w:numPr>
          <w:ilvl w:val="0"/>
          <w:numId w:val="2"/>
        </w:numPr>
        <w:spacing w:after="40" w:before="40"/>
      </w:pPr>
      <w:r>
        <w:rPr>
          <w:rFonts w:ascii="Arial" w:cs="Arial" w:eastAsia="Arial" w:hAnsi="Arial"/>
          <w:color w:val="2D2D2D"/>
          <w:sz w:val="21"/>
          <w:szCs w:val="21"/>
        </w:rPr>
        <w:t xml:space="preserve">Automated alerts and response if any service component goes offline or fails</w:t>
      </w:r>
    </w:p>
    <w:p>
      <w:pPr>
        <w:pStyle w:val="ListParagraph"/>
        <w:numPr>
          <w:ilvl w:val="0"/>
          <w:numId w:val="2"/>
        </w:numPr>
        <w:spacing w:after="40" w:before="40"/>
      </w:pPr>
      <w:r>
        <w:rPr>
          <w:rFonts w:ascii="Arial" w:cs="Arial" w:eastAsia="Arial" w:hAnsi="Arial"/>
          <w:color w:val="2D2D2D"/>
          <w:sz w:val="21"/>
          <w:szCs w:val="21"/>
        </w:rPr>
        <w:t xml:space="preserve">Monthly Retell AI agent review — response quality, missed intents, conversation gap analysis</w:t>
      </w:r>
    </w:p>
    <w:p>
      <w:pPr>
        <w:pStyle w:val="ListParagraph"/>
        <w:numPr>
          <w:ilvl w:val="0"/>
          <w:numId w:val="2"/>
        </w:numPr>
        <w:spacing w:after="40" w:before="40"/>
      </w:pPr>
      <w:r>
        <w:rPr>
          <w:rFonts w:ascii="Arial" w:cs="Arial" w:eastAsia="Arial" w:hAnsi="Arial"/>
          <w:color w:val="2D2D2D"/>
          <w:sz w:val="21"/>
          <w:szCs w:val="21"/>
        </w:rPr>
        <w:t xml:space="preserve">Google Calendar sync verification and Google Sheets data integrity checks</w:t>
      </w:r>
    </w:p>
    <w:p>
      <w:pPr>
        <w:pStyle w:val="ListParagraph"/>
        <w:numPr>
          <w:ilvl w:val="0"/>
          <w:numId w:val="2"/>
        </w:numPr>
        <w:spacing w:after="40" w:before="40"/>
      </w:pPr>
      <w:r>
        <w:rPr>
          <w:rFonts w:ascii="Arial" w:cs="Arial" w:eastAsia="Arial" w:hAnsi="Arial"/>
          <w:color w:val="2D2D2D"/>
          <w:sz w:val="21"/>
          <w:szCs w:val="21"/>
        </w:rPr>
        <w:t xml:space="preserve">Twilio call routing and SIP configuration audit</w:t>
      </w:r>
    </w:p>
    <w:p>
      <w:pPr>
        <w:pStyle w:val="ListParagraph"/>
        <w:numPr>
          <w:ilvl w:val="0"/>
          <w:numId w:val="2"/>
        </w:numPr>
        <w:spacing w:after="40" w:before="40"/>
      </w:pPr>
      <w:r>
        <w:rPr>
          <w:rFonts w:ascii="Arial" w:cs="Arial" w:eastAsia="Arial" w:hAnsi="Arial"/>
          <w:color w:val="2D2D2D"/>
          <w:sz w:val="21"/>
          <w:szCs w:val="21"/>
        </w:rPr>
        <w:t xml:space="preserve">Minor conversation script adjustments (wording, FAQ updates, service name changes)</w:t>
      </w:r>
    </w:p>
    <w:p>
      <w:pPr>
        <w:pStyle w:val="ListParagraph"/>
        <w:numPr>
          <w:ilvl w:val="0"/>
          <w:numId w:val="2"/>
        </w:numPr>
        <w:spacing w:after="40" w:before="40"/>
      </w:pPr>
      <w:r>
        <w:rPr>
          <w:rFonts w:ascii="Arial" w:cs="Arial" w:eastAsia="Arial" w:hAnsi="Arial"/>
          <w:color w:val="2D2D2D"/>
          <w:sz w:val="21"/>
          <w:szCs w:val="21"/>
        </w:rPr>
        <w:t xml:space="preserve">Monthly performance summary report — call volume, booking rate, escalation rate</w:t>
      </w:r>
    </w:p>
    <w:p>
      <w:pPr>
        <w:pStyle w:val="ListParagraph"/>
        <w:numPr>
          <w:ilvl w:val="0"/>
          <w:numId w:val="2"/>
        </w:numPr>
        <w:spacing w:after="40" w:before="40"/>
      </w:pPr>
      <w:r>
        <w:rPr>
          <w:rFonts w:ascii="Arial" w:cs="Arial" w:eastAsia="Arial" w:hAnsi="Arial"/>
          <w:color w:val="2D2D2D"/>
          <w:sz w:val="21"/>
          <w:szCs w:val="21"/>
        </w:rPr>
        <w:t xml:space="preserve">Priority email support with response within one (1) business day</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3A" w:sz="1"/>
              <w:left w:val="single" w:color="1A6B3A" w:sz="1"/>
              <w:bottom w:val="single" w:color="1A6B3A" w:sz="1"/>
              <w:right w:val="single" w:color="1A6B3A" w:sz="1"/>
            </w:tcBorders>
            <w:shd w:fill="1A6B3A"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Monthly Fee</w:t>
            </w:r>
          </w:p>
        </w:tc>
        <w:tc>
          <w:tcPr>
            <w:tcW w:type="dxa" w:w="7760"/>
            <w:tcBorders>
              <w:top w:val="single" w:color="1A6B3A" w:sz="1"/>
              <w:left w:val="single" w:color="1A6B3A" w:sz="1"/>
              <w:bottom w:val="single" w:color="1A6B3A" w:sz="1"/>
              <w:right w:val="single" w:color="1A6B3A" w:sz="1"/>
            </w:tcBorders>
            <w:shd w:fill="EAF7EE" w:val="clear"/>
            <w:tcMar>
              <w:top w:type="dxa" w:w="100"/>
              <w:left w:type="dxa" w:w="180"/>
              <w:bottom w:type="dxa" w:w="100"/>
              <w:right w:type="dxa" w:w="160"/>
            </w:tcMar>
          </w:tcPr>
          <w:p>
            <w:r>
              <w:rPr>
                <w:rFonts w:ascii="Arial" w:cs="Arial" w:eastAsia="Arial" w:hAnsi="Arial"/>
                <w:color w:val="2D2D2D"/>
                <w:sz w:val="20"/>
                <w:szCs w:val="20"/>
              </w:rPr>
              <w:t xml:space="preserve">$49.99/month — billed on the 1st of each month. The monthly fee covers labor and oversight only. Third-party platform costs (Twilio, Retell AI, Google Workspace) are billed directly by those providers and are not included.</w:t>
            </w:r>
          </w:p>
        </w:tc>
      </w:tr>
    </w:tbl>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2.3.  </w:t>
      </w:r>
      <w:r>
        <w:rPr>
          <w:rFonts w:ascii="Arial" w:cs="Arial" w:eastAsia="Arial" w:hAnsi="Arial"/>
          <w:b/>
          <w:bCs/>
          <w:color w:val="1B3A6B"/>
          <w:sz w:val="22"/>
          <w:szCs w:val="22"/>
        </w:rPr>
        <w:t xml:space="preserve">Late Payments</w:t>
      </w:r>
    </w:p>
    <w:p>
      <w:pPr>
        <w:spacing w:after="60" w:before="60"/>
      </w:pPr>
      <w:r>
        <w:rPr>
          <w:rFonts w:ascii="Arial" w:cs="Arial" w:eastAsia="Arial" w:hAnsi="Arial"/>
          <w:b w:val="false"/>
          <w:bCs w:val="false"/>
          <w:color w:val="2D2D2D"/>
          <w:sz w:val="21"/>
          <w:szCs w:val="21"/>
        </w:rPr>
        <w:t xml:space="preserve">Invoices not paid within fourteen (14) days of the due date are subject to a late fee of 1.5% per month on the outstanding balance. Consultant reserves the right to pause or suspend all work and maintenance services until the account is brought current. Consultant is not liable for any losses arising from service suspension due to non-payment.</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2.4.  </w:t>
      </w:r>
      <w:r>
        <w:rPr>
          <w:rFonts w:ascii="Arial" w:cs="Arial" w:eastAsia="Arial" w:hAnsi="Arial"/>
          <w:b/>
          <w:bCs/>
          <w:color w:val="1B3A6B"/>
          <w:sz w:val="22"/>
          <w:szCs w:val="22"/>
        </w:rPr>
        <w:t xml:space="preserve">Refunds</w:t>
      </w:r>
    </w:p>
    <w:p>
      <w:pPr>
        <w:spacing w:after="60" w:before="60"/>
      </w:pPr>
      <w:r>
        <w:rPr>
          <w:rFonts w:ascii="Arial" w:cs="Arial" w:eastAsia="Arial" w:hAnsi="Arial"/>
          <w:b w:val="false"/>
          <w:bCs w:val="false"/>
          <w:color w:val="2D2D2D"/>
          <w:sz w:val="21"/>
          <w:szCs w:val="21"/>
        </w:rPr>
        <w:t xml:space="preserve">All payments made for completed milestones are non-refundable. If Client terminates this Agreement after a milestone payment has been made but before the corresponding stage is delivered, Consultant will retain that milestone payment as compensation for work performed and resources allocated. Monthly maintenance fees are non-refundable for the month in which cancellation is received.</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2.5.  </w:t>
      </w:r>
      <w:r>
        <w:rPr>
          <w:rFonts w:ascii="Arial" w:cs="Arial" w:eastAsia="Arial" w:hAnsi="Arial"/>
          <w:b/>
          <w:bCs/>
          <w:color w:val="1B3A6B"/>
          <w:sz w:val="22"/>
          <w:szCs w:val="22"/>
        </w:rPr>
        <w:t xml:space="preserve">Third-Party Platform Costs</w:t>
      </w:r>
    </w:p>
    <w:p>
      <w:pPr>
        <w:spacing w:after="60" w:before="60"/>
      </w:pPr>
      <w:r>
        <w:rPr>
          <w:rFonts w:ascii="Arial" w:cs="Arial" w:eastAsia="Arial" w:hAnsi="Arial"/>
          <w:b w:val="false"/>
          <w:bCs w:val="false"/>
          <w:color w:val="2D2D2D"/>
          <w:sz w:val="21"/>
          <w:szCs w:val="21"/>
        </w:rPr>
        <w:t xml:space="preserve">Client is solely responsible for all fees charged by third-party platforms including but not limited to Twilio, Retell AI, Google Workspace, and Cal.com. Consultant makes no representations regarding the pricing, availability, or continued existence of any third-party service. Changes in third-party pricing or terms do not alter Client's payment obligations under this Agreement.</w:t>
      </w:r>
    </w:p>
    <w:p>
      <w:pPr>
        <w:shd w:fill="1B3A6B" w:val="clear"/>
        <w:spacing w:after="0" w:before="360"/>
      </w:pPr>
      <w:r>
        <w:rPr>
          <w:rFonts w:ascii="Arial" w:cs="Arial" w:eastAsia="Arial" w:hAnsi="Arial"/>
          <w:b/>
          <w:bCs/>
          <w:color w:val="C5D5EF"/>
          <w:sz w:val="22"/>
          <w:szCs w:val="22"/>
        </w:rPr>
        <w:t xml:space="preserve">  SECTION 3  </w:t>
      </w:r>
      <w:r>
        <w:rPr>
          <w:rFonts w:ascii="Arial" w:cs="Arial" w:eastAsia="Arial" w:hAnsi="Arial"/>
          <w:b/>
          <w:bCs/>
          <w:color w:val="FFFFFF"/>
          <w:sz w:val="22"/>
          <w:szCs w:val="22"/>
        </w:rPr>
        <w:t xml:space="preserve">— INTELLECTUAL PROPERTY</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3.1.  </w:t>
      </w:r>
      <w:r>
        <w:rPr>
          <w:rFonts w:ascii="Arial" w:cs="Arial" w:eastAsia="Arial" w:hAnsi="Arial"/>
          <w:b/>
          <w:bCs/>
          <w:color w:val="1B3A6B"/>
          <w:sz w:val="22"/>
          <w:szCs w:val="22"/>
        </w:rPr>
        <w:t xml:space="preserve">Client Ownership Upon Full Payment</w:t>
      </w:r>
    </w:p>
    <w:p>
      <w:pPr>
        <w:spacing w:after="60" w:before="60"/>
      </w:pPr>
      <w:r>
        <w:rPr>
          <w:rFonts w:ascii="Arial" w:cs="Arial" w:eastAsia="Arial" w:hAnsi="Arial"/>
          <w:b w:val="false"/>
          <w:bCs w:val="false"/>
          <w:color w:val="2D2D2D"/>
          <w:sz w:val="21"/>
          <w:szCs w:val="21"/>
        </w:rPr>
        <w:t xml:space="preserve">Upon receipt of full payment for all completed project stages, Client shall own all custom-built deliverables specifically created for Client under this Agreement, including conversation scripts, intake workflows, and integration configurations. Ownership transfers only upon payment in full.</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3.2.  </w:t>
      </w:r>
      <w:r>
        <w:rPr>
          <w:rFonts w:ascii="Arial" w:cs="Arial" w:eastAsia="Arial" w:hAnsi="Arial"/>
          <w:b/>
          <w:bCs/>
          <w:color w:val="1B3A6B"/>
          <w:sz w:val="22"/>
          <w:szCs w:val="22"/>
        </w:rPr>
        <w:t xml:space="preserve">Consultant Retained Rights</w:t>
      </w:r>
    </w:p>
    <w:p>
      <w:pPr>
        <w:spacing w:after="60" w:before="60"/>
      </w:pPr>
      <w:r>
        <w:rPr>
          <w:rFonts w:ascii="Arial" w:cs="Arial" w:eastAsia="Arial" w:hAnsi="Arial"/>
          <w:b w:val="false"/>
          <w:bCs w:val="false"/>
          <w:color w:val="2D2D2D"/>
          <w:sz w:val="21"/>
          <w:szCs w:val="21"/>
        </w:rPr>
        <w:t xml:space="preserve">Consultant retains all rights to underlying methodologies, frameworks, tools, templates, code libraries, and know-how developed by Consultant prior to or independent of this project. Nothing in this Agreement grants Client any rights to Consultant's general intellectual property, proprietary systems, or reusable components.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3.3.  </w:t>
      </w:r>
      <w:r>
        <w:rPr>
          <w:rFonts w:ascii="Arial" w:cs="Arial" w:eastAsia="Arial" w:hAnsi="Arial"/>
          <w:b/>
          <w:bCs/>
          <w:color w:val="1B3A6B"/>
          <w:sz w:val="22"/>
          <w:szCs w:val="22"/>
        </w:rPr>
        <w:t xml:space="preserve">Third-Party Intellectual Property</w:t>
      </w:r>
    </w:p>
    <w:p>
      <w:pPr>
        <w:spacing w:after="60" w:before="60"/>
      </w:pPr>
      <w:r>
        <w:rPr>
          <w:rFonts w:ascii="Arial" w:cs="Arial" w:eastAsia="Arial" w:hAnsi="Arial"/>
          <w:b w:val="false"/>
          <w:bCs w:val="false"/>
          <w:color w:val="2D2D2D"/>
          <w:sz w:val="21"/>
          <w:szCs w:val="21"/>
        </w:rPr>
        <w:t xml:space="preserve">All AI platform technology (Retell AI), telephony systems (Twilio), calendar systems (Google), and booking tools (Cal.com) remain the intellectual property of their respective owners. Client's use of these platforms is governed by those platforms' own terms of service. Consultant is not responsible for any IP disputes arising from Client's use of third-party platforms.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3.4.  </w:t>
      </w:r>
      <w:r>
        <w:rPr>
          <w:rFonts w:ascii="Arial" w:cs="Arial" w:eastAsia="Arial" w:hAnsi="Arial"/>
          <w:b/>
          <w:bCs/>
          <w:color w:val="1B3A6B"/>
          <w:sz w:val="22"/>
          <w:szCs w:val="22"/>
        </w:rPr>
        <w:t xml:space="preserve">No Reverse Engineering</w:t>
      </w:r>
    </w:p>
    <w:p>
      <w:pPr>
        <w:spacing w:after="60" w:before="60"/>
      </w:pPr>
      <w:r>
        <w:rPr>
          <w:rFonts w:ascii="Arial" w:cs="Arial" w:eastAsia="Arial" w:hAnsi="Arial"/>
          <w:b w:val="false"/>
          <w:bCs w:val="false"/>
          <w:color w:val="2D2D2D"/>
          <w:sz w:val="21"/>
          <w:szCs w:val="21"/>
        </w:rPr>
        <w:t xml:space="preserve">Client agrees not to reverse engineer, decompile, resell, sublicense, or distribute any systems, code, or configurations delivered by Consultant without prior written consent.</w:t>
      </w:r>
    </w:p>
    <w:p>
      <w:pPr>
        <w:shd w:fill="1B3A6B" w:val="clear"/>
        <w:spacing w:after="0" w:before="360"/>
      </w:pPr>
      <w:r>
        <w:rPr>
          <w:rFonts w:ascii="Arial" w:cs="Arial" w:eastAsia="Arial" w:hAnsi="Arial"/>
          <w:b/>
          <w:bCs/>
          <w:color w:val="C5D5EF"/>
          <w:sz w:val="22"/>
          <w:szCs w:val="22"/>
        </w:rPr>
        <w:t xml:space="preserve">  SECTION 4  </w:t>
      </w:r>
      <w:r>
        <w:rPr>
          <w:rFonts w:ascii="Arial" w:cs="Arial" w:eastAsia="Arial" w:hAnsi="Arial"/>
          <w:b/>
          <w:bCs/>
          <w:color w:val="FFFFFF"/>
          <w:sz w:val="22"/>
          <w:szCs w:val="22"/>
        </w:rPr>
        <w:t xml:space="preserve">— CONFIDENTIALITY</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4.1.  </w:t>
      </w:r>
      <w:r>
        <w:rPr>
          <w:rFonts w:ascii="Arial" w:cs="Arial" w:eastAsia="Arial" w:hAnsi="Arial"/>
          <w:b/>
          <w:bCs/>
          <w:color w:val="1B3A6B"/>
          <w:sz w:val="22"/>
          <w:szCs w:val="22"/>
        </w:rPr>
        <w:t xml:space="preserve">Mutual Confidentiality</w:t>
      </w:r>
    </w:p>
    <w:p>
      <w:pPr>
        <w:spacing w:after="60" w:before="60"/>
      </w:pPr>
      <w:r>
        <w:rPr>
          <w:rFonts w:ascii="Arial" w:cs="Arial" w:eastAsia="Arial" w:hAnsi="Arial"/>
          <w:b w:val="false"/>
          <w:bCs w:val="false"/>
          <w:color w:val="2D2D2D"/>
          <w:sz w:val="21"/>
          <w:szCs w:val="21"/>
        </w:rPr>
        <w:t xml:space="preserve">Both parties agree to hold in strict confidence all non-public information disclosed by the other party in connection with this Agreement, including but not limited to business strategies, technical systems, patient data, pricing, and proprietary processes. Neither party shall disclose the other's confidential information to any third party without prior written consent.</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4.2.  </w:t>
      </w:r>
      <w:r>
        <w:rPr>
          <w:rFonts w:ascii="Arial" w:cs="Arial" w:eastAsia="Arial" w:hAnsi="Arial"/>
          <w:b/>
          <w:bCs/>
          <w:color w:val="1B3A6B"/>
          <w:sz w:val="22"/>
          <w:szCs w:val="22"/>
        </w:rPr>
        <w:t xml:space="preserve">Exceptions</w:t>
      </w:r>
    </w:p>
    <w:p>
      <w:pPr>
        <w:spacing w:after="60" w:before="60"/>
      </w:pPr>
      <w:r>
        <w:rPr>
          <w:rFonts w:ascii="Arial" w:cs="Arial" w:eastAsia="Arial" w:hAnsi="Arial"/>
          <w:b w:val="false"/>
          <w:bCs w:val="false"/>
          <w:color w:val="2D2D2D"/>
          <w:sz w:val="21"/>
          <w:szCs w:val="21"/>
        </w:rPr>
        <w:t xml:space="preserve">The confidentiality obligation does not apply to information that: (a) is or becomes publicly available through no fault of the receiving party; (b) was already known to the receiving party prior to disclosure; (c) is independently developed without use of confidential information; or (d) is required to be disclosed by law or court order, provided the disclosing party is given prompt written notice.</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4.3.  </w:t>
      </w:r>
      <w:r>
        <w:rPr>
          <w:rFonts w:ascii="Arial" w:cs="Arial" w:eastAsia="Arial" w:hAnsi="Arial"/>
          <w:b/>
          <w:bCs/>
          <w:color w:val="1B3A6B"/>
          <w:sz w:val="22"/>
          <w:szCs w:val="22"/>
        </w:rPr>
        <w:t xml:space="preserve">Survival</w:t>
      </w:r>
    </w:p>
    <w:p>
      <w:pPr>
        <w:spacing w:after="60" w:before="60"/>
      </w:pPr>
      <w:r>
        <w:rPr>
          <w:rFonts w:ascii="Arial" w:cs="Arial" w:eastAsia="Arial" w:hAnsi="Arial"/>
          <w:b w:val="false"/>
          <w:bCs w:val="false"/>
          <w:color w:val="2D2D2D"/>
          <w:sz w:val="21"/>
          <w:szCs w:val="21"/>
        </w:rPr>
        <w:t xml:space="preserve">Confidentiality obligations under this section survive termination of this Agreement for a period of three (3) years.</w:t>
      </w:r>
    </w:p>
    <w:p>
      <w:pPr>
        <w:shd w:fill="1B3A6B" w:val="clear"/>
        <w:spacing w:after="0" w:before="360"/>
      </w:pPr>
      <w:r>
        <w:rPr>
          <w:rFonts w:ascii="Arial" w:cs="Arial" w:eastAsia="Arial" w:hAnsi="Arial"/>
          <w:b/>
          <w:bCs/>
          <w:color w:val="C5D5EF"/>
          <w:sz w:val="22"/>
          <w:szCs w:val="22"/>
        </w:rPr>
        <w:t xml:space="preserve">  SECTION 5  </w:t>
      </w:r>
      <w:r>
        <w:rPr>
          <w:rFonts w:ascii="Arial" w:cs="Arial" w:eastAsia="Arial" w:hAnsi="Arial"/>
          <w:b/>
          <w:bCs/>
          <w:color w:val="FFFFFF"/>
          <w:sz w:val="22"/>
          <w:szCs w:val="22"/>
        </w:rPr>
        <w:t xml:space="preserve">— DATA, PRIVACY &amp; HIPAA COMPLIANCE</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8B1A1A" w:sz="1"/>
              <w:left w:val="single" w:color="8B1A1A" w:sz="1"/>
              <w:bottom w:val="single" w:color="8B1A1A" w:sz="1"/>
              <w:right w:val="single" w:color="8B1A1A" w:sz="1"/>
            </w:tcBorders>
            <w:shd w:fill="8B1A1A"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NOTICE</w:t>
            </w:r>
          </w:p>
        </w:tc>
        <w:tc>
          <w:tcPr>
            <w:tcW w:type="dxa" w:w="7920"/>
            <w:tcBorders>
              <w:top w:val="single" w:color="8B1A1A" w:sz="1"/>
              <w:left w:val="single" w:color="8B1A1A" w:sz="1"/>
              <w:bottom w:val="single" w:color="8B1A1A" w:sz="1"/>
              <w:right w:val="single" w:color="8B1A1A" w:sz="1"/>
            </w:tcBorders>
            <w:shd w:fill="FDEAEA" w:val="clear"/>
            <w:tcMar>
              <w:top w:type="dxa" w:w="100"/>
              <w:left w:type="dxa" w:w="180"/>
              <w:bottom w:type="dxa" w:w="100"/>
              <w:right w:type="dxa" w:w="160"/>
            </w:tcMar>
          </w:tcPr>
          <w:p>
            <w:r>
              <w:rPr>
                <w:rFonts w:ascii="Arial" w:cs="Arial" w:eastAsia="Arial" w:hAnsi="Arial"/>
                <w:color w:val="8B1A1A"/>
                <w:sz w:val="20"/>
                <w:szCs w:val="20"/>
              </w:rPr>
              <w:t xml:space="preserve">This project involves a medical practice. Client is solely responsible for ensuring all systems, workflows, and data handling practices comply with HIPAA and applicable federal and state privacy laws. Consultant provides technical implementation only and is not a Covered Entity or Business Associate unless a separate BAA is executed.</w:t>
            </w:r>
          </w:p>
        </w:tc>
      </w:tr>
    </w:tbl>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5.1.  </w:t>
      </w:r>
      <w:r>
        <w:rPr>
          <w:rFonts w:ascii="Arial" w:cs="Arial" w:eastAsia="Arial" w:hAnsi="Arial"/>
          <w:b/>
          <w:bCs/>
          <w:color w:val="1B3A6B"/>
          <w:sz w:val="22"/>
          <w:szCs w:val="22"/>
        </w:rPr>
        <w:t xml:space="preserve">Client Responsibility for HIPAA</w:t>
      </w:r>
    </w:p>
    <w:p>
      <w:pPr>
        <w:spacing w:after="60" w:before="60"/>
      </w:pPr>
      <w:r>
        <w:rPr>
          <w:rFonts w:ascii="Arial" w:cs="Arial" w:eastAsia="Arial" w:hAnsi="Arial"/>
          <w:b w:val="false"/>
          <w:bCs w:val="false"/>
          <w:color w:val="2D2D2D"/>
          <w:sz w:val="21"/>
          <w:szCs w:val="21"/>
        </w:rPr>
        <w:t xml:space="preserve">Client acknowledges that as a healthcare provider, Client is subject to the Health Insurance Portability and Accountability Act (HIPAA) and is solely responsible for: (a) determining whether Protected Health Information (PHI) is transmitted through any systems built under this Agreement; (b) executing Business Associate Agreements (BAAs) directly with Retell AI, Twilio, and Google as required; (c) configuring all platforms in accordance with HIPAA technical safeguards; and (d) training staff on appropriate data handling.</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5.2.  </w:t>
      </w:r>
      <w:r>
        <w:rPr>
          <w:rFonts w:ascii="Arial" w:cs="Arial" w:eastAsia="Arial" w:hAnsi="Arial"/>
          <w:b/>
          <w:bCs/>
          <w:color w:val="1B3A6B"/>
          <w:sz w:val="22"/>
          <w:szCs w:val="22"/>
        </w:rPr>
        <w:t xml:space="preserve">Consultant's Role</w:t>
      </w:r>
    </w:p>
    <w:p>
      <w:pPr>
        <w:spacing w:after="60" w:before="60"/>
      </w:pPr>
      <w:r>
        <w:rPr>
          <w:rFonts w:ascii="Arial" w:cs="Arial" w:eastAsia="Arial" w:hAnsi="Arial"/>
          <w:b w:val="false"/>
          <w:bCs w:val="false"/>
          <w:color w:val="2D2D2D"/>
          <w:sz w:val="21"/>
          <w:szCs w:val="21"/>
        </w:rPr>
        <w:t xml:space="preserve">Consultant's role is limited to technical implementation and configuration. Consultant does not access, store, process, or transmit patient health information on Client's behalf in a capacity that would qualify Consultant as a Business Associate under HIPAA. If Client determines that a BAA with Consultant is required, the parties will negotiate such an agreement separately.</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5.3.  </w:t>
      </w:r>
      <w:r>
        <w:rPr>
          <w:rFonts w:ascii="Arial" w:cs="Arial" w:eastAsia="Arial" w:hAnsi="Arial"/>
          <w:b/>
          <w:bCs/>
          <w:color w:val="1B3A6B"/>
          <w:sz w:val="22"/>
          <w:szCs w:val="22"/>
        </w:rPr>
        <w:t xml:space="preserve">Data Handling</w:t>
      </w:r>
    </w:p>
    <w:p>
      <w:pPr>
        <w:spacing w:after="60" w:before="60"/>
      </w:pPr>
      <w:r>
        <w:rPr>
          <w:rFonts w:ascii="Arial" w:cs="Arial" w:eastAsia="Arial" w:hAnsi="Arial"/>
          <w:b w:val="false"/>
          <w:bCs w:val="false"/>
          <w:color w:val="2D2D2D"/>
          <w:sz w:val="21"/>
          <w:szCs w:val="21"/>
        </w:rPr>
        <w:t xml:space="preserve">Consultant agrees to: (a) use Client-provided credentials and data solely for purposes of performing services under this Agreement; (b) not retain any Client credentials, patient data, or proprietary information beyond the period necessary to complete the project; and (c) promptly notify Client of any known unauthorized access to credentials or data shared with Consultant.</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5.4.  </w:t>
      </w:r>
      <w:r>
        <w:rPr>
          <w:rFonts w:ascii="Arial" w:cs="Arial" w:eastAsia="Arial" w:hAnsi="Arial"/>
          <w:b/>
          <w:bCs/>
          <w:color w:val="1B3A6B"/>
          <w:sz w:val="22"/>
          <w:szCs w:val="22"/>
        </w:rPr>
        <w:t xml:space="preserve">Credentials Security</w:t>
      </w:r>
    </w:p>
    <w:p>
      <w:pPr>
        <w:spacing w:after="60" w:before="60"/>
      </w:pPr>
      <w:r>
        <w:rPr>
          <w:rFonts w:ascii="Arial" w:cs="Arial" w:eastAsia="Arial" w:hAnsi="Arial"/>
          <w:b w:val="false"/>
          <w:bCs w:val="false"/>
          <w:color w:val="2D2D2D"/>
          <w:sz w:val="21"/>
          <w:szCs w:val="21"/>
        </w:rPr>
        <w:t xml:space="preserve">Client assumes all risk associated with sharing account credentials, API keys, and access tokens with Consultant. Consultant recommends using secure credential-sharing tools (such as 1Password or Bitwarden) and advises against transmitting credentials via unencrypted email. Consultant is not liable for unauthorized access resulting from insecure credential transmission initiated by Client.</w:t>
      </w:r>
    </w:p>
    <w:p>
      <w:pPr>
        <w:shd w:fill="1B3A6B" w:val="clear"/>
        <w:spacing w:after="0" w:before="360"/>
      </w:pPr>
      <w:r>
        <w:rPr>
          <w:rFonts w:ascii="Arial" w:cs="Arial" w:eastAsia="Arial" w:hAnsi="Arial"/>
          <w:b/>
          <w:bCs/>
          <w:color w:val="C5D5EF"/>
          <w:sz w:val="22"/>
          <w:szCs w:val="22"/>
        </w:rPr>
        <w:t xml:space="preserve">  SECTION 6  </w:t>
      </w:r>
      <w:r>
        <w:rPr>
          <w:rFonts w:ascii="Arial" w:cs="Arial" w:eastAsia="Arial" w:hAnsi="Arial"/>
          <w:b/>
          <w:bCs/>
          <w:color w:val="FFFFFF"/>
          <w:sz w:val="22"/>
          <w:szCs w:val="22"/>
        </w:rPr>
        <w:t xml:space="preserve">— AI TECHNOLOGY DISCLAIMERS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6.1.  </w:t>
      </w:r>
      <w:r>
        <w:rPr>
          <w:rFonts w:ascii="Arial" w:cs="Arial" w:eastAsia="Arial" w:hAnsi="Arial"/>
          <w:b/>
          <w:bCs/>
          <w:color w:val="1B3A6B"/>
          <w:sz w:val="22"/>
          <w:szCs w:val="22"/>
        </w:rPr>
        <w:t xml:space="preserve">AI Performance Not Guaranteed</w:t>
      </w:r>
    </w:p>
    <w:p>
      <w:pPr>
        <w:spacing w:after="60" w:before="60"/>
      </w:pPr>
      <w:r>
        <w:rPr>
          <w:rFonts w:ascii="Arial" w:cs="Arial" w:eastAsia="Arial" w:hAnsi="Arial"/>
          <w:b w:val="false"/>
          <w:bCs w:val="false"/>
          <w:color w:val="2D2D2D"/>
          <w:sz w:val="21"/>
          <w:szCs w:val="21"/>
        </w:rPr>
        <w:t xml:space="preserve">Artificial intelligence systems, including the Retell AI voice agent deployed under this Agreement, are probabilistic in nature. Consultant does not guarantee that the AI agent will: (a) correctly understand every caller; (b) capture all intake data with 100% accuracy; (c) offer or book only appropriate appointment slots in every instance; or (d) handle every call scenario without error. Client accepts that AI systems may make mistakes and agrees that human oversight of AI-booked appointments is recommended.</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6.2.  </w:t>
      </w:r>
      <w:r>
        <w:rPr>
          <w:rFonts w:ascii="Arial" w:cs="Arial" w:eastAsia="Arial" w:hAnsi="Arial"/>
          <w:b/>
          <w:bCs/>
          <w:color w:val="1B3A6B"/>
          <w:sz w:val="22"/>
          <w:szCs w:val="22"/>
        </w:rPr>
        <w:t xml:space="preserve">No Guarantee of Business Outcomes</w:t>
      </w:r>
    </w:p>
    <w:p>
      <w:pPr>
        <w:spacing w:after="60" w:before="60"/>
      </w:pPr>
      <w:r>
        <w:rPr>
          <w:rFonts w:ascii="Arial" w:cs="Arial" w:eastAsia="Arial" w:hAnsi="Arial"/>
          <w:b w:val="false"/>
          <w:bCs w:val="false"/>
          <w:color w:val="2D2D2D"/>
          <w:sz w:val="21"/>
          <w:szCs w:val="21"/>
        </w:rPr>
        <w:t xml:space="preserve">Consultant makes no representations or guarantees regarding: (a) call volume, booking rate, or conversion rate improvements; (b) revenue increases or practice growth attributable to this system; (c) reduction in staff time or operational costs by any specific amount; or (d) patient satisfaction or retention. Any projections or estimates provided are for illustrative purposes only and are not contractual commitments.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6.3.  </w:t>
      </w:r>
      <w:r>
        <w:rPr>
          <w:rFonts w:ascii="Arial" w:cs="Arial" w:eastAsia="Arial" w:hAnsi="Arial"/>
          <w:b/>
          <w:bCs/>
          <w:color w:val="1B3A6B"/>
          <w:sz w:val="22"/>
          <w:szCs w:val="22"/>
        </w:rPr>
        <w:t xml:space="preserve">AI Regulatory Compliance</w:t>
      </w:r>
    </w:p>
    <w:p>
      <w:pPr>
        <w:spacing w:after="60" w:before="60"/>
      </w:pPr>
      <w:r>
        <w:rPr>
          <w:rFonts w:ascii="Arial" w:cs="Arial" w:eastAsia="Arial" w:hAnsi="Arial"/>
          <w:b w:val="false"/>
          <w:bCs w:val="false"/>
          <w:color w:val="2D2D2D"/>
          <w:sz w:val="21"/>
          <w:szCs w:val="21"/>
        </w:rPr>
        <w:t xml:space="preserve">Laws and regulations governing AI systems, automated calling, and AI-generated voice communications are evolving. Client is solely responsible for ensuring that its use of AI voice agents complies with all applicable federal, state, and local laws, including but not limited to the Telephone Consumer Protection Act (TCPA), state telemarketing laws, and any AI disclosure requirements. Consultant is not responsible for regulatory changes that affect Client's use of the deployed system after delivery.</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6.4.  </w:t>
      </w:r>
      <w:r>
        <w:rPr>
          <w:rFonts w:ascii="Arial" w:cs="Arial" w:eastAsia="Arial" w:hAnsi="Arial"/>
          <w:b/>
          <w:bCs/>
          <w:color w:val="1B3A6B"/>
          <w:sz w:val="22"/>
          <w:szCs w:val="22"/>
        </w:rPr>
        <w:t xml:space="preserve">Third-Party AI Platform Changes</w:t>
      </w:r>
    </w:p>
    <w:p>
      <w:pPr>
        <w:spacing w:after="60" w:before="60"/>
      </w:pPr>
      <w:r>
        <w:rPr>
          <w:rFonts w:ascii="Arial" w:cs="Arial" w:eastAsia="Arial" w:hAnsi="Arial"/>
          <w:b w:val="false"/>
          <w:bCs w:val="false"/>
          <w:color w:val="2D2D2D"/>
          <w:sz w:val="21"/>
          <w:szCs w:val="21"/>
        </w:rPr>
        <w:t xml:space="preserve">The AI capabilities of this system depend on Retell AI's platform. Retell AI may at any time change its features, pricing, API structure, or terms of service. Consultant is not responsible for any degradation in system functionality caused by third-party platform changes after delivery. Additional fees may apply if rebuilding or reconfiguring is required due to third-party platform changes.</w:t>
      </w:r>
    </w:p>
    <w:p>
      <w:pPr>
        <w:shd w:fill="1B3A6B" w:val="clear"/>
        <w:spacing w:after="0" w:before="360"/>
      </w:pPr>
      <w:r>
        <w:rPr>
          <w:rFonts w:ascii="Arial" w:cs="Arial" w:eastAsia="Arial" w:hAnsi="Arial"/>
          <w:b/>
          <w:bCs/>
          <w:color w:val="C5D5EF"/>
          <w:sz w:val="22"/>
          <w:szCs w:val="22"/>
        </w:rPr>
        <w:t xml:space="preserve">  SECTION 7  </w:t>
      </w:r>
      <w:r>
        <w:rPr>
          <w:rFonts w:ascii="Arial" w:cs="Arial" w:eastAsia="Arial" w:hAnsi="Arial"/>
          <w:b/>
          <w:bCs/>
          <w:color w:val="FFFFFF"/>
          <w:sz w:val="22"/>
          <w:szCs w:val="22"/>
        </w:rPr>
        <w:t xml:space="preserve">— THIRD-PARTY SERVICES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7.1.  </w:t>
      </w:r>
      <w:r>
        <w:rPr>
          <w:rFonts w:ascii="Arial" w:cs="Arial" w:eastAsia="Arial" w:hAnsi="Arial"/>
          <w:b/>
          <w:bCs/>
          <w:color w:val="1B3A6B"/>
          <w:sz w:val="22"/>
          <w:szCs w:val="22"/>
        </w:rPr>
        <w:t xml:space="preserve">Third-Party Dependency</w:t>
      </w:r>
    </w:p>
    <w:p>
      <w:pPr>
        <w:spacing w:after="60" w:before="60"/>
      </w:pPr>
      <w:r>
        <w:rPr>
          <w:rFonts w:ascii="Arial" w:cs="Arial" w:eastAsia="Arial" w:hAnsi="Arial"/>
          <w:b w:val="false"/>
          <w:bCs w:val="false"/>
          <w:color w:val="2D2D2D"/>
          <w:sz w:val="21"/>
          <w:szCs w:val="21"/>
        </w:rPr>
        <w:t xml:space="preserve">This system is built on and depends upon third-party platforms including Twilio, Retell AI, Google Calendar, Google Sheets, and Cal.com. Consultant's ability to deliver and maintain services is contingent upon the continued availability and proper functioning of these platforms.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7.2.  </w:t>
      </w:r>
      <w:r>
        <w:rPr>
          <w:rFonts w:ascii="Arial" w:cs="Arial" w:eastAsia="Arial" w:hAnsi="Arial"/>
          <w:b/>
          <w:bCs/>
          <w:color w:val="1B3A6B"/>
          <w:sz w:val="22"/>
          <w:szCs w:val="22"/>
        </w:rPr>
        <w:t xml:space="preserve">Consultant Not Liable for Third-Party Failures</w:t>
      </w:r>
    </w:p>
    <w:p>
      <w:pPr>
        <w:spacing w:after="60" w:before="60"/>
      </w:pPr>
      <w:r>
        <w:rPr>
          <w:rFonts w:ascii="Arial" w:cs="Arial" w:eastAsia="Arial" w:hAnsi="Arial"/>
          <w:b w:val="false"/>
          <w:bCs w:val="false"/>
          <w:color w:val="2D2D2D"/>
          <w:sz w:val="21"/>
          <w:szCs w:val="21"/>
        </w:rPr>
        <w:t xml:space="preserve">Consultant is not responsible for outages, data loss, API changes, pricing changes, security breaches, or service discontinuation by any third-party platform. This includes but is not limited to: Twilio call routing failures, Retell AI downtime, Google API rate limiting, or Cal.com service interruptions. Client agrees to maintain direct accounts with all required third-party platforms and is responsible for complying with their terms of service.</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7.3.  </w:t>
      </w:r>
      <w:r>
        <w:rPr>
          <w:rFonts w:ascii="Arial" w:cs="Arial" w:eastAsia="Arial" w:hAnsi="Arial"/>
          <w:b/>
          <w:bCs/>
          <w:color w:val="1B3A6B"/>
          <w:sz w:val="22"/>
          <w:szCs w:val="22"/>
        </w:rPr>
        <w:t xml:space="preserve">Third-Party Terms</w:t>
      </w:r>
    </w:p>
    <w:p>
      <w:pPr>
        <w:spacing w:after="60" w:before="60"/>
      </w:pPr>
      <w:r>
        <w:rPr>
          <w:rFonts w:ascii="Arial" w:cs="Arial" w:eastAsia="Arial" w:hAnsi="Arial"/>
          <w:b w:val="false"/>
          <w:bCs w:val="false"/>
          <w:color w:val="2D2D2D"/>
          <w:sz w:val="21"/>
          <w:szCs w:val="21"/>
        </w:rPr>
        <w:t xml:space="preserve">Client's use of all third-party platforms is governed solely by those platforms' terms of service and privacy policies. Consultant makes no warranty regarding the fitness, security, or legality of any third-party service.</w:t>
      </w:r>
    </w:p>
    <w:p>
      <w:pPr>
        <w:shd w:fill="1B3A6B" w:val="clear"/>
        <w:spacing w:after="0" w:before="360"/>
      </w:pPr>
      <w:r>
        <w:rPr>
          <w:rFonts w:ascii="Arial" w:cs="Arial" w:eastAsia="Arial" w:hAnsi="Arial"/>
          <w:b/>
          <w:bCs/>
          <w:color w:val="C5D5EF"/>
          <w:sz w:val="22"/>
          <w:szCs w:val="22"/>
        </w:rPr>
        <w:t xml:space="preserve">  SECTION 8  </w:t>
      </w:r>
      <w:r>
        <w:rPr>
          <w:rFonts w:ascii="Arial" w:cs="Arial" w:eastAsia="Arial" w:hAnsi="Arial"/>
          <w:b/>
          <w:bCs/>
          <w:color w:val="FFFFFF"/>
          <w:sz w:val="22"/>
          <w:szCs w:val="22"/>
        </w:rPr>
        <w:t xml:space="preserve">— WARRANTY DISCLAIMER</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8.1.  </w:t>
      </w:r>
      <w:r>
        <w:rPr>
          <w:rFonts w:ascii="Arial" w:cs="Arial" w:eastAsia="Arial" w:hAnsi="Arial"/>
          <w:b/>
          <w:bCs/>
          <w:color w:val="1B3A6B"/>
          <w:sz w:val="22"/>
          <w:szCs w:val="22"/>
        </w:rPr>
        <w:t xml:space="preserve">As-Is Delivery</w:t>
      </w:r>
    </w:p>
    <w:p>
      <w:pPr>
        <w:spacing w:after="60" w:before="60"/>
      </w:pPr>
      <w:r>
        <w:rPr>
          <w:rFonts w:ascii="Arial" w:cs="Arial" w:eastAsia="Arial" w:hAnsi="Arial"/>
          <w:b w:val="false"/>
          <w:bCs w:val="false"/>
          <w:color w:val="2D2D2D"/>
          <w:sz w:val="21"/>
          <w:szCs w:val="21"/>
        </w:rPr>
        <w:t xml:space="preserve">ALL SERVICES AND DELIVERABLES PROVIDED UNDER THIS AGREEMENT ARE PROVIDED ON AN "AS-IS" AND "AS-AVAILABLE" BASIS. CONSULTANT MAKES NO WARRANTIES, EXPRESS OR IMPLIED, INCLUDING BUT NOT LIMITED TO IMPLIED WARRANTIES OF MERCHANTABILITY, FITNESS FOR A PARTICULAR PURPOSE, OR NON-INFRINGEMENT.</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8.2.  </w:t>
      </w:r>
      <w:r>
        <w:rPr>
          <w:rFonts w:ascii="Arial" w:cs="Arial" w:eastAsia="Arial" w:hAnsi="Arial"/>
          <w:b/>
          <w:bCs/>
          <w:color w:val="1B3A6B"/>
          <w:sz w:val="22"/>
          <w:szCs w:val="22"/>
        </w:rPr>
        <w:t xml:space="preserve">No Uptime Guarantee</w:t>
      </w:r>
    </w:p>
    <w:p>
      <w:pPr>
        <w:spacing w:after="60" w:before="60"/>
      </w:pPr>
      <w:r>
        <w:rPr>
          <w:rFonts w:ascii="Arial" w:cs="Arial" w:eastAsia="Arial" w:hAnsi="Arial"/>
          <w:b w:val="false"/>
          <w:bCs w:val="false"/>
          <w:color w:val="2D2D2D"/>
          <w:sz w:val="21"/>
          <w:szCs w:val="21"/>
        </w:rPr>
        <w:t xml:space="preserve">While Consultant's monthly maintenance plan includes monitoring and rapid response, Consultant does not guarantee 100% system uptime. System availability depends on third-party platforms outside Consultant's control. Monthly maintenance fees do not constitute a service level agreement (SLA) with defined uptime guarantees.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8.3.  </w:t>
      </w:r>
      <w:r>
        <w:rPr>
          <w:rFonts w:ascii="Arial" w:cs="Arial" w:eastAsia="Arial" w:hAnsi="Arial"/>
          <w:b/>
          <w:bCs/>
          <w:color w:val="1B3A6B"/>
          <w:sz w:val="22"/>
          <w:szCs w:val="22"/>
        </w:rPr>
        <w:t xml:space="preserve">Bug Fixes &amp; Support</w:t>
      </w:r>
    </w:p>
    <w:p>
      <w:pPr>
        <w:spacing w:after="60" w:before="60"/>
      </w:pPr>
      <w:r>
        <w:rPr>
          <w:rFonts w:ascii="Arial" w:cs="Arial" w:eastAsia="Arial" w:hAnsi="Arial"/>
          <w:b w:val="false"/>
          <w:bCs w:val="false"/>
          <w:color w:val="2D2D2D"/>
          <w:sz w:val="21"/>
          <w:szCs w:val="21"/>
        </w:rPr>
        <w:t xml:space="preserve">Consultant will make reasonable efforts to resolve bugs or errors in custom-built components during the thirty (30) day period following project delivery at no additional charge. Issues arising from third-party platform changes, Client modifications to delivered systems, or force majeure events are excluded from this warranty period.</w:t>
      </w:r>
    </w:p>
    <w:p>
      <w:pPr>
        <w:shd w:fill="1B3A6B" w:val="clear"/>
        <w:spacing w:after="0" w:before="360"/>
      </w:pPr>
      <w:r>
        <w:rPr>
          <w:rFonts w:ascii="Arial" w:cs="Arial" w:eastAsia="Arial" w:hAnsi="Arial"/>
          <w:b/>
          <w:bCs/>
          <w:color w:val="C5D5EF"/>
          <w:sz w:val="22"/>
          <w:szCs w:val="22"/>
        </w:rPr>
        <w:t xml:space="preserve">  SECTION 9  </w:t>
      </w:r>
      <w:r>
        <w:rPr>
          <w:rFonts w:ascii="Arial" w:cs="Arial" w:eastAsia="Arial" w:hAnsi="Arial"/>
          <w:b/>
          <w:bCs/>
          <w:color w:val="FFFFFF"/>
          <w:sz w:val="22"/>
          <w:szCs w:val="22"/>
        </w:rPr>
        <w:t xml:space="preserve">— LIMITATION OF LIABILITY</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8B1A1A" w:sz="1"/>
              <w:left w:val="single" w:color="8B1A1A" w:sz="1"/>
              <w:bottom w:val="single" w:color="8B1A1A" w:sz="1"/>
              <w:right w:val="single" w:color="8B1A1A" w:sz="1"/>
            </w:tcBorders>
            <w:shd w:fill="8B1A1A"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NOTICE</w:t>
            </w:r>
          </w:p>
        </w:tc>
        <w:tc>
          <w:tcPr>
            <w:tcW w:type="dxa" w:w="7920"/>
            <w:tcBorders>
              <w:top w:val="single" w:color="8B1A1A" w:sz="1"/>
              <w:left w:val="single" w:color="8B1A1A" w:sz="1"/>
              <w:bottom w:val="single" w:color="8B1A1A" w:sz="1"/>
              <w:right w:val="single" w:color="8B1A1A" w:sz="1"/>
            </w:tcBorders>
            <w:shd w:fill="FDEAEA" w:val="clear"/>
            <w:tcMar>
              <w:top w:type="dxa" w:w="100"/>
              <w:left w:type="dxa" w:w="180"/>
              <w:bottom w:type="dxa" w:w="100"/>
              <w:right w:type="dxa" w:w="160"/>
            </w:tcMar>
          </w:tcPr>
          <w:p>
            <w:r>
              <w:rPr>
                <w:rFonts w:ascii="Arial" w:cs="Arial" w:eastAsia="Arial" w:hAnsi="Arial"/>
                <w:color w:val="8B1A1A"/>
                <w:sz w:val="20"/>
                <w:szCs w:val="20"/>
              </w:rPr>
              <w:t xml:space="preserve">This section significantly limits Consultant's financial liability. Please read carefully before signing.</w:t>
            </w:r>
          </w:p>
        </w:tc>
      </w:tr>
    </w:tbl>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9.1.  </w:t>
      </w:r>
      <w:r>
        <w:rPr>
          <w:rFonts w:ascii="Arial" w:cs="Arial" w:eastAsia="Arial" w:hAnsi="Arial"/>
          <w:b/>
          <w:bCs/>
          <w:color w:val="1B3A6B"/>
          <w:sz w:val="22"/>
          <w:szCs w:val="22"/>
        </w:rPr>
        <w:t xml:space="preserve">Cap on Damages</w:t>
      </w:r>
    </w:p>
    <w:p>
      <w:pPr>
        <w:spacing w:after="60" w:before="60"/>
      </w:pPr>
      <w:r>
        <w:rPr>
          <w:rFonts w:ascii="Arial" w:cs="Arial" w:eastAsia="Arial" w:hAnsi="Arial"/>
          <w:b w:val="false"/>
          <w:bCs w:val="false"/>
          <w:color w:val="2D2D2D"/>
          <w:sz w:val="21"/>
          <w:szCs w:val="21"/>
        </w:rPr>
        <w:t xml:space="preserve">To the maximum extent permitted by applicable law, Consultant's total cumulative liability to Client for any and all claims arising under or related to this Agreement — whether in contract, tort, negligence, or otherwise — shall not exceed the total fees actually paid by Client to Consultant in the three (3) months immediately preceding the event giving rise to the claim.</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9.2.  </w:t>
      </w:r>
      <w:r>
        <w:rPr>
          <w:rFonts w:ascii="Arial" w:cs="Arial" w:eastAsia="Arial" w:hAnsi="Arial"/>
          <w:b/>
          <w:bCs/>
          <w:color w:val="1B3A6B"/>
          <w:sz w:val="22"/>
          <w:szCs w:val="22"/>
        </w:rPr>
        <w:t xml:space="preserve">Exclusion of Consequential Damages</w:t>
      </w:r>
    </w:p>
    <w:p>
      <w:pPr>
        <w:spacing w:after="60" w:before="60"/>
      </w:pPr>
      <w:r>
        <w:rPr>
          <w:rFonts w:ascii="Arial" w:cs="Arial" w:eastAsia="Arial" w:hAnsi="Arial"/>
          <w:b w:val="false"/>
          <w:bCs w:val="false"/>
          <w:color w:val="2D2D2D"/>
          <w:sz w:val="21"/>
          <w:szCs w:val="21"/>
        </w:rPr>
        <w:t xml:space="preserve">IN NO EVENT SHALL CONSULTANT BE LIABLE FOR ANY INDIRECT, INCIDENTAL, SPECIAL, EXEMPLARY, CONSEQUENTIAL, OR PUNITIVE DAMAGES, INCLUDING BUT NOT LIMITED TO: LOST PROFITS, LOST REVENUE, MISSED APPOINTMENTS, LOSS OF PATIENTS OR BUSINESS OPPORTUNITIES, DAMAGE TO REPUTATION, DATA LOSS, OR SYSTEM DOWNTIME — EVEN IF CONSULTANT HAS BEEN ADVISED OF THE POSSIBILITY OF SUCH DAMAGES.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9.3.  </w:t>
      </w:r>
      <w:r>
        <w:rPr>
          <w:rFonts w:ascii="Arial" w:cs="Arial" w:eastAsia="Arial" w:hAnsi="Arial"/>
          <w:b/>
          <w:bCs/>
          <w:color w:val="1B3A6B"/>
          <w:sz w:val="22"/>
          <w:szCs w:val="22"/>
        </w:rPr>
        <w:t xml:space="preserve">Essential Basis</w:t>
      </w:r>
    </w:p>
    <w:p>
      <w:pPr>
        <w:spacing w:after="60" w:before="60"/>
      </w:pPr>
      <w:r>
        <w:rPr>
          <w:rFonts w:ascii="Arial" w:cs="Arial" w:eastAsia="Arial" w:hAnsi="Arial"/>
          <w:b w:val="false"/>
          <w:bCs w:val="false"/>
          <w:color w:val="2D2D2D"/>
          <w:sz w:val="21"/>
          <w:szCs w:val="21"/>
        </w:rPr>
        <w:t xml:space="preserve">Client acknowledges that the limitations of liability in this Section reflect a reasonable allocation of risk and are an essential basis of the bargain between the parties. Without these limitations, Consultant would not have entered into this Agreement at the fees provided.</w:t>
      </w:r>
    </w:p>
    <w:p>
      <w:pPr>
        <w:shd w:fill="1B3A6B" w:val="clear"/>
        <w:spacing w:after="0" w:before="360"/>
      </w:pPr>
      <w:r>
        <w:rPr>
          <w:rFonts w:ascii="Arial" w:cs="Arial" w:eastAsia="Arial" w:hAnsi="Arial"/>
          <w:b/>
          <w:bCs/>
          <w:color w:val="C5D5EF"/>
          <w:sz w:val="22"/>
          <w:szCs w:val="22"/>
        </w:rPr>
        <w:t xml:space="preserve">  SECTION 10  </w:t>
      </w:r>
      <w:r>
        <w:rPr>
          <w:rFonts w:ascii="Arial" w:cs="Arial" w:eastAsia="Arial" w:hAnsi="Arial"/>
          <w:b/>
          <w:bCs/>
          <w:color w:val="FFFFFF"/>
          <w:sz w:val="22"/>
          <w:szCs w:val="22"/>
        </w:rPr>
        <w:t xml:space="preserve">— INDEMNIFICATION</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10.1.  </w:t>
      </w:r>
      <w:r>
        <w:rPr>
          <w:rFonts w:ascii="Arial" w:cs="Arial" w:eastAsia="Arial" w:hAnsi="Arial"/>
          <w:b/>
          <w:bCs/>
          <w:color w:val="1B3A6B"/>
          <w:sz w:val="22"/>
          <w:szCs w:val="22"/>
        </w:rPr>
        <w:t xml:space="preserve">Client Indemnification of Consultant</w:t>
      </w:r>
    </w:p>
    <w:p>
      <w:pPr>
        <w:spacing w:after="60" w:before="60"/>
      </w:pPr>
      <w:r>
        <w:rPr>
          <w:rFonts w:ascii="Arial" w:cs="Arial" w:eastAsia="Arial" w:hAnsi="Arial"/>
          <w:b w:val="false"/>
          <w:bCs w:val="false"/>
          <w:color w:val="2D2D2D"/>
          <w:sz w:val="21"/>
          <w:szCs w:val="21"/>
        </w:rPr>
        <w:t xml:space="preserve">Client agrees to indemnify, defend, and hold harmless Consultant and its officers, employees, agents, and contractors from and against any and all claims, damages, losses, costs, and expenses (including reasonable attorneys' fees) arising out of or related to:</w:t>
      </w:r>
    </w:p>
    <w:p>
      <w:pPr>
        <w:spacing w:after="20" w:before="40"/>
      </w:pPr>
      <w:r>
        <w:t xml:space="preserve"/>
      </w:r>
    </w:p>
    <w:p>
      <w:pPr>
        <w:pStyle w:val="ListParagraph"/>
        <w:numPr>
          <w:ilvl w:val="0"/>
          <w:numId w:val="2"/>
        </w:numPr>
        <w:spacing w:after="40" w:before="40"/>
      </w:pPr>
      <w:r>
        <w:rPr>
          <w:rFonts w:ascii="Arial" w:cs="Arial" w:eastAsia="Arial" w:hAnsi="Arial"/>
          <w:color w:val="2D2D2D"/>
          <w:sz w:val="21"/>
          <w:szCs w:val="21"/>
        </w:rPr>
        <w:t xml:space="preserve">Client's breach of any representation, warranty, or obligation under this Agreement</w:t>
      </w:r>
    </w:p>
    <w:p>
      <w:pPr>
        <w:pStyle w:val="ListParagraph"/>
        <w:numPr>
          <w:ilvl w:val="0"/>
          <w:numId w:val="2"/>
        </w:numPr>
        <w:spacing w:after="40" w:before="40"/>
      </w:pPr>
      <w:r>
        <w:rPr>
          <w:rFonts w:ascii="Arial" w:cs="Arial" w:eastAsia="Arial" w:hAnsi="Arial"/>
          <w:color w:val="2D2D2D"/>
          <w:sz w:val="21"/>
          <w:szCs w:val="21"/>
        </w:rPr>
        <w:t xml:space="preserve">Client's violation of HIPAA or any other applicable law or regulation</w:t>
      </w:r>
    </w:p>
    <w:p>
      <w:pPr>
        <w:pStyle w:val="ListParagraph"/>
        <w:numPr>
          <w:ilvl w:val="0"/>
          <w:numId w:val="2"/>
        </w:numPr>
        <w:spacing w:after="40" w:before="40"/>
      </w:pPr>
      <w:r>
        <w:rPr>
          <w:rFonts w:ascii="Arial" w:cs="Arial" w:eastAsia="Arial" w:hAnsi="Arial"/>
          <w:color w:val="2D2D2D"/>
          <w:sz w:val="21"/>
          <w:szCs w:val="21"/>
        </w:rPr>
        <w:t xml:space="preserve">Client's use or misuse of the delivered system or any third-party platform</w:t>
      </w:r>
    </w:p>
    <w:p>
      <w:pPr>
        <w:pStyle w:val="ListParagraph"/>
        <w:numPr>
          <w:ilvl w:val="0"/>
          <w:numId w:val="2"/>
        </w:numPr>
        <w:spacing w:after="40" w:before="40"/>
      </w:pPr>
      <w:r>
        <w:rPr>
          <w:rFonts w:ascii="Arial" w:cs="Arial" w:eastAsia="Arial" w:hAnsi="Arial"/>
          <w:color w:val="2D2D2D"/>
          <w:sz w:val="21"/>
          <w:szCs w:val="21"/>
        </w:rPr>
        <w:t xml:space="preserve">Any claim by a patient or third party arising from Client's use of AI-generated communications</w:t>
      </w:r>
    </w:p>
    <w:p>
      <w:pPr>
        <w:pStyle w:val="ListParagraph"/>
        <w:numPr>
          <w:ilvl w:val="0"/>
          <w:numId w:val="2"/>
        </w:numPr>
        <w:spacing w:after="40" w:before="40"/>
      </w:pPr>
      <w:r>
        <w:rPr>
          <w:rFonts w:ascii="Arial" w:cs="Arial" w:eastAsia="Arial" w:hAnsi="Arial"/>
          <w:color w:val="2D2D2D"/>
          <w:sz w:val="21"/>
          <w:szCs w:val="21"/>
        </w:rPr>
        <w:t xml:space="preserve">Client's modification of delivered systems without Consultant's consent</w:t>
      </w:r>
    </w:p>
    <w:p>
      <w:pPr>
        <w:pStyle w:val="ListParagraph"/>
        <w:numPr>
          <w:ilvl w:val="0"/>
          <w:numId w:val="2"/>
        </w:numPr>
        <w:spacing w:after="40" w:before="40"/>
      </w:pPr>
      <w:r>
        <w:rPr>
          <w:rFonts w:ascii="Arial" w:cs="Arial" w:eastAsia="Arial" w:hAnsi="Arial"/>
          <w:color w:val="2D2D2D"/>
          <w:sz w:val="21"/>
          <w:szCs w:val="21"/>
        </w:rPr>
        <w:t xml:space="preserve">Client's failure to maintain required Business Associate Agreements with third-party platforms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10.2.  </w:t>
      </w:r>
      <w:r>
        <w:rPr>
          <w:rFonts w:ascii="Arial" w:cs="Arial" w:eastAsia="Arial" w:hAnsi="Arial"/>
          <w:b/>
          <w:bCs/>
          <w:color w:val="1B3A6B"/>
          <w:sz w:val="22"/>
          <w:szCs w:val="22"/>
        </w:rPr>
        <w:t xml:space="preserve">Consultant Indemnification of Client</w:t>
      </w:r>
    </w:p>
    <w:p>
      <w:pPr>
        <w:spacing w:after="60" w:before="60"/>
      </w:pPr>
      <w:r>
        <w:rPr>
          <w:rFonts w:ascii="Arial" w:cs="Arial" w:eastAsia="Arial" w:hAnsi="Arial"/>
          <w:b w:val="false"/>
          <w:bCs w:val="false"/>
          <w:color w:val="2D2D2D"/>
          <w:sz w:val="21"/>
          <w:szCs w:val="21"/>
        </w:rPr>
        <w:t xml:space="preserve">Consultant agrees to indemnify, defend, and hold harmless Client from and against third-party claims arising from Consultant's gross negligence or willful misconduct in performing services under this Agreement, up to the liability cap described in Section 9.1.</w:t>
      </w:r>
    </w:p>
    <w:p>
      <w:pPr>
        <w:shd w:fill="1B3A6B" w:val="clear"/>
        <w:spacing w:after="0" w:before="360"/>
      </w:pPr>
      <w:r>
        <w:rPr>
          <w:rFonts w:ascii="Arial" w:cs="Arial" w:eastAsia="Arial" w:hAnsi="Arial"/>
          <w:b/>
          <w:bCs/>
          <w:color w:val="C5D5EF"/>
          <w:sz w:val="22"/>
          <w:szCs w:val="22"/>
        </w:rPr>
        <w:t xml:space="preserve">  SECTION 11  </w:t>
      </w:r>
      <w:r>
        <w:rPr>
          <w:rFonts w:ascii="Arial" w:cs="Arial" w:eastAsia="Arial" w:hAnsi="Arial"/>
          <w:b/>
          <w:bCs/>
          <w:color w:val="FFFFFF"/>
          <w:sz w:val="22"/>
          <w:szCs w:val="22"/>
        </w:rPr>
        <w:t xml:space="preserve">— TERM &amp; TERMINATION</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11.1.  </w:t>
      </w:r>
      <w:r>
        <w:rPr>
          <w:rFonts w:ascii="Arial" w:cs="Arial" w:eastAsia="Arial" w:hAnsi="Arial"/>
          <w:b/>
          <w:bCs/>
          <w:color w:val="1B3A6B"/>
          <w:sz w:val="22"/>
          <w:szCs w:val="22"/>
        </w:rPr>
        <w:t xml:space="preserve">Project Term</w:t>
      </w:r>
    </w:p>
    <w:p>
      <w:pPr>
        <w:spacing w:after="60" w:before="60"/>
      </w:pPr>
      <w:r>
        <w:rPr>
          <w:rFonts w:ascii="Arial" w:cs="Arial" w:eastAsia="Arial" w:hAnsi="Arial"/>
          <w:b w:val="false"/>
          <w:bCs w:val="false"/>
          <w:color w:val="2D2D2D"/>
          <w:sz w:val="21"/>
          <w:szCs w:val="21"/>
        </w:rPr>
        <w:t xml:space="preserve">This Agreement begins on the Effective Date and continues through final delivery of Stage 4 and receipt of final project payment, unless earlier terminated as provided herein.</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11.2.  </w:t>
      </w:r>
      <w:r>
        <w:rPr>
          <w:rFonts w:ascii="Arial" w:cs="Arial" w:eastAsia="Arial" w:hAnsi="Arial"/>
          <w:b/>
          <w:bCs/>
          <w:color w:val="1B3A6B"/>
          <w:sz w:val="22"/>
          <w:szCs w:val="22"/>
        </w:rPr>
        <w:t xml:space="preserve">Monthly Maintenance Term</w:t>
      </w:r>
    </w:p>
    <w:p>
      <w:pPr>
        <w:spacing w:after="60" w:before="60"/>
      </w:pPr>
      <w:r>
        <w:rPr>
          <w:rFonts w:ascii="Arial" w:cs="Arial" w:eastAsia="Arial" w:hAnsi="Arial"/>
          <w:b w:val="false"/>
          <w:bCs w:val="false"/>
          <w:color w:val="2D2D2D"/>
          <w:sz w:val="21"/>
          <w:szCs w:val="21"/>
        </w:rPr>
        <w:t xml:space="preserve">The monthly maintenance engagement commences upon project completion and continues on a month-to-month basis until cancelled by either party in accordance with Section 11.4.</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11.3.  </w:t>
      </w:r>
      <w:r>
        <w:rPr>
          <w:rFonts w:ascii="Arial" w:cs="Arial" w:eastAsia="Arial" w:hAnsi="Arial"/>
          <w:b/>
          <w:bCs/>
          <w:color w:val="1B3A6B"/>
          <w:sz w:val="22"/>
          <w:szCs w:val="22"/>
        </w:rPr>
        <w:t xml:space="preserve">Termination for Cause</w:t>
      </w:r>
    </w:p>
    <w:p>
      <w:pPr>
        <w:spacing w:after="60" w:before="60"/>
      </w:pPr>
      <w:r>
        <w:rPr>
          <w:rFonts w:ascii="Arial" w:cs="Arial" w:eastAsia="Arial" w:hAnsi="Arial"/>
          <w:b w:val="false"/>
          <w:bCs w:val="false"/>
          <w:color w:val="2D2D2D"/>
          <w:sz w:val="21"/>
          <w:szCs w:val="21"/>
        </w:rPr>
        <w:t xml:space="preserve">Either party may terminate this Agreement immediately upon written notice if the other party: (a) materially breaches this Agreement and fails to cure such breach within ten (10) business days of written notice; (b) becomes insolvent, makes an assignment for the benefit of creditors, or is subject to bankruptcy proceedings; or (c) engages in conduct that is illegal, fraudulent, or harmful to the other party.</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11.4.  </w:t>
      </w:r>
      <w:r>
        <w:rPr>
          <w:rFonts w:ascii="Arial" w:cs="Arial" w:eastAsia="Arial" w:hAnsi="Arial"/>
          <w:b/>
          <w:bCs/>
          <w:color w:val="1B3A6B"/>
          <w:sz w:val="22"/>
          <w:szCs w:val="22"/>
        </w:rPr>
        <w:t xml:space="preserve">Termination of Monthly Maintenance</w:t>
      </w:r>
    </w:p>
    <w:p>
      <w:pPr>
        <w:spacing w:after="60" w:before="60"/>
      </w:pPr>
      <w:r>
        <w:rPr>
          <w:rFonts w:ascii="Arial" w:cs="Arial" w:eastAsia="Arial" w:hAnsi="Arial"/>
          <w:b w:val="false"/>
          <w:bCs w:val="false"/>
          <w:color w:val="2D2D2D"/>
          <w:sz w:val="21"/>
          <w:szCs w:val="21"/>
        </w:rPr>
        <w:t xml:space="preserve">Either party may cancel the monthly maintenance engagement with thirty (30) days written notice. Written notice may be provided via email to the address on file. Upon cancellation, Consultant's obligation to monitor, support, or maintain any delivered systems ceases at the end of the notice period. No partial-month refunds are provided.</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11.5.  </w:t>
      </w:r>
      <w:r>
        <w:rPr>
          <w:rFonts w:ascii="Arial" w:cs="Arial" w:eastAsia="Arial" w:hAnsi="Arial"/>
          <w:b/>
          <w:bCs/>
          <w:color w:val="1B3A6B"/>
          <w:sz w:val="22"/>
          <w:szCs w:val="22"/>
        </w:rPr>
        <w:t xml:space="preserve">Effect of Termination</w:t>
      </w:r>
    </w:p>
    <w:p>
      <w:pPr>
        <w:spacing w:after="60" w:before="60"/>
      </w:pPr>
      <w:r>
        <w:rPr>
          <w:rFonts w:ascii="Arial" w:cs="Arial" w:eastAsia="Arial" w:hAnsi="Arial"/>
          <w:b w:val="false"/>
          <w:bCs w:val="false"/>
          <w:color w:val="2D2D2D"/>
          <w:sz w:val="21"/>
          <w:szCs w:val="21"/>
        </w:rPr>
        <w:t xml:space="preserve">Upon termination: (a) Client shall pay all outstanding invoices for work completed through the date of termination; (b) each party shall return or destroy the other's confidential information upon request; and (c) Sections 3, 4, 5, 8, 9, 10, and 14 shall survive termination.</w:t>
      </w:r>
    </w:p>
    <w:p>
      <w:pPr>
        <w:shd w:fill="1B3A6B" w:val="clear"/>
        <w:spacing w:after="0" w:before="360"/>
      </w:pPr>
      <w:r>
        <w:rPr>
          <w:rFonts w:ascii="Arial" w:cs="Arial" w:eastAsia="Arial" w:hAnsi="Arial"/>
          <w:b/>
          <w:bCs/>
          <w:color w:val="C5D5EF"/>
          <w:sz w:val="22"/>
          <w:szCs w:val="22"/>
        </w:rPr>
        <w:t xml:space="preserve">  SECTION 12  </w:t>
      </w:r>
      <w:r>
        <w:rPr>
          <w:rFonts w:ascii="Arial" w:cs="Arial" w:eastAsia="Arial" w:hAnsi="Arial"/>
          <w:b/>
          <w:bCs/>
          <w:color w:val="FFFFFF"/>
          <w:sz w:val="22"/>
          <w:szCs w:val="22"/>
        </w:rPr>
        <w:t xml:space="preserve">— FORCE MAJEURE</w:t>
      </w:r>
    </w:p>
    <w:p>
      <w:pPr>
        <w:spacing w:after="40" w:before="80"/>
      </w:pPr>
      <w:r>
        <w:t xml:space="preserve"/>
      </w:r>
    </w:p>
    <w:p>
      <w:pPr>
        <w:spacing w:after="60" w:before="60"/>
      </w:pPr>
      <w:r>
        <w:rPr>
          <w:rFonts w:ascii="Arial" w:cs="Arial" w:eastAsia="Arial" w:hAnsi="Arial"/>
          <w:b w:val="false"/>
          <w:bCs w:val="false"/>
          <w:color w:val="2D2D2D"/>
          <w:sz w:val="21"/>
          <w:szCs w:val="21"/>
        </w:rPr>
        <w:t xml:space="preserve">Neither party shall be liable for any delay or failure to perform its obligations under this Agreement to the extent such delay or failure is caused by circumstances beyond that party's reasonable control, including but not limited to: acts of God, natural disasters, government actions, pandemics, cyber-attacks on third-party infrastructure, widespread internet outages, or third-party platform failures. The affected party shall provide prompt written notice and shall use reasonable efforts to resume performance as soon as practicable.</w:t>
      </w:r>
    </w:p>
    <w:p>
      <w:pPr>
        <w:shd w:fill="1B3A6B" w:val="clear"/>
        <w:spacing w:after="0" w:before="360"/>
      </w:pPr>
      <w:r>
        <w:rPr>
          <w:rFonts w:ascii="Arial" w:cs="Arial" w:eastAsia="Arial" w:hAnsi="Arial"/>
          <w:b/>
          <w:bCs/>
          <w:color w:val="C5D5EF"/>
          <w:sz w:val="22"/>
          <w:szCs w:val="22"/>
        </w:rPr>
        <w:t xml:space="preserve">  SECTION 13  </w:t>
      </w:r>
      <w:r>
        <w:rPr>
          <w:rFonts w:ascii="Arial" w:cs="Arial" w:eastAsia="Arial" w:hAnsi="Arial"/>
          <w:b/>
          <w:bCs/>
          <w:color w:val="FFFFFF"/>
          <w:sz w:val="22"/>
          <w:szCs w:val="22"/>
        </w:rPr>
        <w:t xml:space="preserve">— DISPUTE RESOLUTION</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13.1.  </w:t>
      </w:r>
      <w:r>
        <w:rPr>
          <w:rFonts w:ascii="Arial" w:cs="Arial" w:eastAsia="Arial" w:hAnsi="Arial"/>
          <w:b/>
          <w:bCs/>
          <w:color w:val="1B3A6B"/>
          <w:sz w:val="22"/>
          <w:szCs w:val="22"/>
        </w:rPr>
        <w:t xml:space="preserve">Good Faith Negotiation</w:t>
      </w:r>
    </w:p>
    <w:p>
      <w:pPr>
        <w:spacing w:after="60" w:before="60"/>
      </w:pPr>
      <w:r>
        <w:rPr>
          <w:rFonts w:ascii="Arial" w:cs="Arial" w:eastAsia="Arial" w:hAnsi="Arial"/>
          <w:b w:val="false"/>
          <w:bCs w:val="false"/>
          <w:color w:val="2D2D2D"/>
          <w:sz w:val="21"/>
          <w:szCs w:val="21"/>
        </w:rPr>
        <w:t xml:space="preserve">In the event of any dispute arising under or related to this Agreement, the parties agree to first attempt resolution through good faith negotiation for a period of fifteen (15) business days after written notice of the dispute.</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13.2.  </w:t>
      </w:r>
      <w:r>
        <w:rPr>
          <w:rFonts w:ascii="Arial" w:cs="Arial" w:eastAsia="Arial" w:hAnsi="Arial"/>
          <w:b/>
          <w:bCs/>
          <w:color w:val="1B3A6B"/>
          <w:sz w:val="22"/>
          <w:szCs w:val="22"/>
        </w:rPr>
        <w:t xml:space="preserve">Mediation</w:t>
      </w:r>
    </w:p>
    <w:p>
      <w:pPr>
        <w:spacing w:after="60" w:before="60"/>
      </w:pPr>
      <w:r>
        <w:rPr>
          <w:rFonts w:ascii="Arial" w:cs="Arial" w:eastAsia="Arial" w:hAnsi="Arial"/>
          <w:b w:val="false"/>
          <w:bCs w:val="false"/>
          <w:color w:val="2D2D2D"/>
          <w:sz w:val="21"/>
          <w:szCs w:val="21"/>
        </w:rPr>
        <w:t xml:space="preserve">If the dispute is not resolved through negotiation, the parties agree to submit the dispute to non-binding mediation with a mutually agreed mediator before initiating any legal proceedings.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13.3.  </w:t>
      </w:r>
      <w:r>
        <w:rPr>
          <w:rFonts w:ascii="Arial" w:cs="Arial" w:eastAsia="Arial" w:hAnsi="Arial"/>
          <w:b/>
          <w:bCs/>
          <w:color w:val="1B3A6B"/>
          <w:sz w:val="22"/>
          <w:szCs w:val="22"/>
        </w:rPr>
        <w:t xml:space="preserve">Governing Law &amp; Venue</w:t>
      </w:r>
    </w:p>
    <w:p>
      <w:pPr>
        <w:spacing w:after="60" w:before="60"/>
      </w:pPr>
      <w:r>
        <w:rPr>
          <w:rFonts w:ascii="Arial" w:cs="Arial" w:eastAsia="Arial" w:hAnsi="Arial"/>
          <w:b w:val="false"/>
          <w:bCs w:val="false"/>
          <w:color w:val="2D2D2D"/>
          <w:sz w:val="21"/>
          <w:szCs w:val="21"/>
        </w:rPr>
        <w:t xml:space="preserve">This Agreement shall be governed by and construed in accordance with the laws of the State of Florida, without regard to its conflict of law provisions. Any legal action not resolved through mediation shall be brought in the state or federal courts located in Florida, and both parties hereby consent to the jurisdiction of such courts.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13.4.  </w:t>
      </w:r>
      <w:r>
        <w:rPr>
          <w:rFonts w:ascii="Arial" w:cs="Arial" w:eastAsia="Arial" w:hAnsi="Arial"/>
          <w:b/>
          <w:bCs/>
          <w:color w:val="1B3A6B"/>
          <w:sz w:val="22"/>
          <w:szCs w:val="22"/>
        </w:rPr>
        <w:t xml:space="preserve">Attorneys' Fees</w:t>
      </w:r>
    </w:p>
    <w:p>
      <w:pPr>
        <w:spacing w:after="60" w:before="60"/>
      </w:pPr>
      <w:r>
        <w:rPr>
          <w:rFonts w:ascii="Arial" w:cs="Arial" w:eastAsia="Arial" w:hAnsi="Arial"/>
          <w:b w:val="false"/>
          <w:bCs w:val="false"/>
          <w:color w:val="2D2D2D"/>
          <w:sz w:val="21"/>
          <w:szCs w:val="21"/>
        </w:rPr>
        <w:t xml:space="preserve">In any dispute arising under this Agreement, the prevailing party shall be entitled to recover its reasonable attorneys' fees and costs from the non-prevailing party.</w:t>
      </w:r>
    </w:p>
    <w:p>
      <w:pPr>
        <w:shd w:fill="1B3A6B" w:val="clear"/>
        <w:spacing w:after="0" w:before="360"/>
      </w:pPr>
      <w:r>
        <w:rPr>
          <w:rFonts w:ascii="Arial" w:cs="Arial" w:eastAsia="Arial" w:hAnsi="Arial"/>
          <w:b/>
          <w:bCs/>
          <w:color w:val="C5D5EF"/>
          <w:sz w:val="22"/>
          <w:szCs w:val="22"/>
        </w:rPr>
        <w:t xml:space="preserve">  SECTION 14  </w:t>
      </w:r>
      <w:r>
        <w:rPr>
          <w:rFonts w:ascii="Arial" w:cs="Arial" w:eastAsia="Arial" w:hAnsi="Arial"/>
          <w:b/>
          <w:bCs/>
          <w:color w:val="FFFFFF"/>
          <w:sz w:val="22"/>
          <w:szCs w:val="22"/>
        </w:rPr>
        <w:t xml:space="preserve">— GENERAL PROVISIONS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14.1.  </w:t>
      </w:r>
      <w:r>
        <w:rPr>
          <w:rFonts w:ascii="Arial" w:cs="Arial" w:eastAsia="Arial" w:hAnsi="Arial"/>
          <w:b/>
          <w:bCs/>
          <w:color w:val="1B3A6B"/>
          <w:sz w:val="22"/>
          <w:szCs w:val="22"/>
        </w:rPr>
        <w:t xml:space="preserve">Independent Contractor</w:t>
      </w:r>
    </w:p>
    <w:p>
      <w:pPr>
        <w:spacing w:after="60" w:before="60"/>
      </w:pPr>
      <w:r>
        <w:rPr>
          <w:rFonts w:ascii="Arial" w:cs="Arial" w:eastAsia="Arial" w:hAnsi="Arial"/>
          <w:b w:val="false"/>
          <w:bCs w:val="false"/>
          <w:color w:val="2D2D2D"/>
          <w:sz w:val="21"/>
          <w:szCs w:val="21"/>
        </w:rPr>
        <w:t xml:space="preserve">Consultant is an independent contractor. Nothing in this Agreement creates an employment relationship, partnership, joint venture, or agency between the parties. Consultant is solely responsible for all taxes and obligations relating to Consultant's business operations.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14.2.  </w:t>
      </w:r>
      <w:r>
        <w:rPr>
          <w:rFonts w:ascii="Arial" w:cs="Arial" w:eastAsia="Arial" w:hAnsi="Arial"/>
          <w:b/>
          <w:bCs/>
          <w:color w:val="1B3A6B"/>
          <w:sz w:val="22"/>
          <w:szCs w:val="22"/>
        </w:rPr>
        <w:t xml:space="preserve">Non-Solicitation</w:t>
      </w:r>
    </w:p>
    <w:p>
      <w:pPr>
        <w:spacing w:after="60" w:before="60"/>
      </w:pPr>
      <w:r>
        <w:rPr>
          <w:rFonts w:ascii="Arial" w:cs="Arial" w:eastAsia="Arial" w:hAnsi="Arial"/>
          <w:b w:val="false"/>
          <w:bCs w:val="false"/>
          <w:color w:val="2D2D2D"/>
          <w:sz w:val="21"/>
          <w:szCs w:val="21"/>
        </w:rPr>
        <w:t xml:space="preserve">During the term of this Agreement and for twelve (12) months following termination, Client agrees not to directly solicit, recruit, or hire any employee, contractor, or subcontractor of Consultant who was involved in performing services under this Agreement.</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14.3.  </w:t>
      </w:r>
      <w:r>
        <w:rPr>
          <w:rFonts w:ascii="Arial" w:cs="Arial" w:eastAsia="Arial" w:hAnsi="Arial"/>
          <w:b/>
          <w:bCs/>
          <w:color w:val="1B3A6B"/>
          <w:sz w:val="22"/>
          <w:szCs w:val="22"/>
        </w:rPr>
        <w:t xml:space="preserve">Entire Agreement</w:t>
      </w:r>
    </w:p>
    <w:p>
      <w:pPr>
        <w:spacing w:after="60" w:before="60"/>
      </w:pPr>
      <w:r>
        <w:rPr>
          <w:rFonts w:ascii="Arial" w:cs="Arial" w:eastAsia="Arial" w:hAnsi="Arial"/>
          <w:b w:val="false"/>
          <w:bCs w:val="false"/>
          <w:color w:val="2D2D2D"/>
          <w:sz w:val="21"/>
          <w:szCs w:val="21"/>
        </w:rPr>
        <w:t xml:space="preserve">This Agreement, together with the Project Proposal and Pricing documents incorporated herein by reference, constitutes the entire agreement between the parties with respect to its subject matter and supersedes all prior negotiations, representations, warranties, and understandings. No modification is effective unless in writing and signed by both parties.</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14.4.  </w:t>
      </w:r>
      <w:r>
        <w:rPr>
          <w:rFonts w:ascii="Arial" w:cs="Arial" w:eastAsia="Arial" w:hAnsi="Arial"/>
          <w:b/>
          <w:bCs/>
          <w:color w:val="1B3A6B"/>
          <w:sz w:val="22"/>
          <w:szCs w:val="22"/>
        </w:rPr>
        <w:t xml:space="preserve">Severability</w:t>
      </w:r>
    </w:p>
    <w:p>
      <w:pPr>
        <w:spacing w:after="60" w:before="60"/>
      </w:pPr>
      <w:r>
        <w:rPr>
          <w:rFonts w:ascii="Arial" w:cs="Arial" w:eastAsia="Arial" w:hAnsi="Arial"/>
          <w:b w:val="false"/>
          <w:bCs w:val="false"/>
          <w:color w:val="2D2D2D"/>
          <w:sz w:val="21"/>
          <w:szCs w:val="21"/>
        </w:rPr>
        <w:t xml:space="preserve">If any provision of this Agreement is found to be unenforceable or invalid, that provision shall be modified to the minimum extent necessary to make it enforceable, and all remaining provisions shall continue in full force and effect.</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14.5.  </w:t>
      </w:r>
      <w:r>
        <w:rPr>
          <w:rFonts w:ascii="Arial" w:cs="Arial" w:eastAsia="Arial" w:hAnsi="Arial"/>
          <w:b/>
          <w:bCs/>
          <w:color w:val="1B3A6B"/>
          <w:sz w:val="22"/>
          <w:szCs w:val="22"/>
        </w:rPr>
        <w:t xml:space="preserve">Waiver</w:t>
      </w:r>
    </w:p>
    <w:p>
      <w:pPr>
        <w:spacing w:after="60" w:before="60"/>
      </w:pPr>
      <w:r>
        <w:rPr>
          <w:rFonts w:ascii="Arial" w:cs="Arial" w:eastAsia="Arial" w:hAnsi="Arial"/>
          <w:b w:val="false"/>
          <w:bCs w:val="false"/>
          <w:color w:val="2D2D2D"/>
          <w:sz w:val="21"/>
          <w:szCs w:val="21"/>
        </w:rPr>
        <w:t xml:space="preserve">Failure by either party to enforce any provision of this Agreement shall not constitute a waiver of that party's right to enforce such provision in the future.</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14.6.  </w:t>
      </w:r>
      <w:r>
        <w:rPr>
          <w:rFonts w:ascii="Arial" w:cs="Arial" w:eastAsia="Arial" w:hAnsi="Arial"/>
          <w:b/>
          <w:bCs/>
          <w:color w:val="1B3A6B"/>
          <w:sz w:val="22"/>
          <w:szCs w:val="22"/>
        </w:rPr>
        <w:t xml:space="preserve">Portfolio &amp; Marketing</w:t>
      </w:r>
    </w:p>
    <w:p>
      <w:pPr>
        <w:spacing w:after="60" w:before="60"/>
      </w:pPr>
      <w:r>
        <w:rPr>
          <w:rFonts w:ascii="Arial" w:cs="Arial" w:eastAsia="Arial" w:hAnsi="Arial"/>
          <w:b w:val="false"/>
          <w:bCs w:val="false"/>
          <w:color w:val="2D2D2D"/>
          <w:sz w:val="21"/>
          <w:szCs w:val="21"/>
        </w:rPr>
        <w:t xml:space="preserve">Consultant reserves the right to reference Client's name and describe the general nature of services performed for marketing and portfolio purposes, unless Client provides written objection within thirty (30) days of project completion.</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14.7.  </w:t>
      </w:r>
      <w:r>
        <w:rPr>
          <w:rFonts w:ascii="Arial" w:cs="Arial" w:eastAsia="Arial" w:hAnsi="Arial"/>
          <w:b/>
          <w:bCs/>
          <w:color w:val="1B3A6B"/>
          <w:sz w:val="22"/>
          <w:szCs w:val="22"/>
        </w:rPr>
        <w:t xml:space="preserve">Notices</w:t>
      </w:r>
    </w:p>
    <w:p>
      <w:pPr>
        <w:spacing w:after="60" w:before="60"/>
      </w:pPr>
      <w:r>
        <w:rPr>
          <w:rFonts w:ascii="Arial" w:cs="Arial" w:eastAsia="Arial" w:hAnsi="Arial"/>
          <w:b w:val="false"/>
          <w:bCs w:val="false"/>
          <w:color w:val="2D2D2D"/>
          <w:sz w:val="21"/>
          <w:szCs w:val="21"/>
        </w:rPr>
        <w:t xml:space="preserve">All notices required or permitted under this Agreement shall be in writing and delivered by email to the addresses on file for each party, with confirmation of receipt. Notice is deemed effective upon confirmed receipt.</w:t>
      </w:r>
    </w:p>
    <w:p>
      <w:pPr>
        <w:spacing w:after="40" w:before="80"/>
      </w:pPr>
      <w:r>
        <w:t xml:space="preserve"/>
      </w:r>
    </w:p>
    <w:p>
      <w:pPr>
        <w:pBdr>
          <w:bottom w:val="single" w:color="C5D5EF" w:sz="3" w:space="4"/>
        </w:pBdr>
        <w:spacing w:after="60" w:before="200"/>
      </w:pPr>
      <w:r>
        <w:rPr>
          <w:rFonts w:ascii="Arial" w:cs="Arial" w:eastAsia="Arial" w:hAnsi="Arial"/>
          <w:b/>
          <w:bCs/>
          <w:color w:val="1B3A6B"/>
          <w:sz w:val="22"/>
          <w:szCs w:val="22"/>
        </w:rPr>
        <w:t xml:space="preserve">14.8.  </w:t>
      </w:r>
      <w:r>
        <w:rPr>
          <w:rFonts w:ascii="Arial" w:cs="Arial" w:eastAsia="Arial" w:hAnsi="Arial"/>
          <w:b/>
          <w:bCs/>
          <w:color w:val="1B3A6B"/>
          <w:sz w:val="22"/>
          <w:szCs w:val="22"/>
        </w:rPr>
        <w:t xml:space="preserve">Counterparts &amp; Electronic Signature</w:t>
      </w:r>
    </w:p>
    <w:p>
      <w:pPr>
        <w:spacing w:after="60" w:before="60"/>
      </w:pPr>
      <w:r>
        <w:rPr>
          <w:rFonts w:ascii="Arial" w:cs="Arial" w:eastAsia="Arial" w:hAnsi="Arial"/>
          <w:b w:val="false"/>
          <w:bCs w:val="false"/>
          <w:color w:val="2D2D2D"/>
          <w:sz w:val="21"/>
          <w:szCs w:val="21"/>
        </w:rPr>
        <w:t xml:space="preserve">This Agreement may be executed in counterparts, each of which shall be deemed an original. Electronic signatures, whether via DocuSign, Adobe Sign, or typed name acknowledgment, shall be deemed valid and binding to the same extent as original ink signatures.</w:t>
      </w:r>
    </w:p>
    <w:p>
      <w:r>
        <w:br w:type="page"/>
      </w:r>
    </w:p>
    <w:p>
      <w:pPr>
        <w:shd w:fill="1B3A6B" w:val="clear"/>
        <w:spacing w:after="0" w:before="0"/>
        <w:jc w:val="center"/>
      </w:pPr>
      <w:r>
        <w:rPr>
          <w:rFonts w:ascii="Arial" w:cs="Arial" w:eastAsia="Arial" w:hAnsi="Arial"/>
          <w:b/>
          <w:bCs/>
          <w:caps/>
          <w:color w:val="FFFFFF"/>
          <w:sz w:val="32"/>
          <w:szCs w:val="32"/>
        </w:rPr>
        <w:t xml:space="preserve">SIGNATURE PAGE</w:t>
      </w:r>
    </w:p>
    <w:p>
      <w:pPr>
        <w:shd w:fill="B8860B" w:val="clear"/>
        <w:spacing w:after="0" w:before="0"/>
      </w:pPr>
      <w:r>
        <w:rPr>
          <w:sz w:val="10"/>
          <w:szCs w:val="10"/>
        </w:rPr>
        <w:t xml:space="preserve"> </w:t>
      </w:r>
    </w:p>
    <w:p>
      <w:pPr>
        <w:spacing w:after="60" w:before="80"/>
      </w:pPr>
      <w:r>
        <w:t xml:space="preserve"/>
      </w:r>
    </w:p>
    <w:p>
      <w:pPr>
        <w:spacing w:after="60" w:before="60"/>
      </w:pPr>
      <w:r>
        <w:rPr>
          <w:rFonts w:ascii="Arial" w:cs="Arial" w:eastAsia="Arial" w:hAnsi="Arial"/>
          <w:b w:val="false"/>
          <w:bCs w:val="false"/>
          <w:color w:val="2D2D2D"/>
          <w:sz w:val="21"/>
          <w:szCs w:val="21"/>
        </w:rPr>
        <w:t xml:space="preserve">By signing below, both parties acknowledge that they have read, understood, and agree to be bound by all terms and conditions of this AI Consulting Services Agreement.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il" w:color="FFFFFF" w:sz="0"/>
              <w:left w:val="nil" w:color="FFFFFF" w:sz="0"/>
              <w:bottom w:val="nil" w:color="FFFFFF" w:sz="0"/>
              <w:right w:val="nil" w:color="FFFFFF" w:sz="0"/>
            </w:tcBorders>
            <w:tcMar>
              <w:top w:type="dxa" w:w="0"/>
              <w:left w:type="dxa" w:w="0"/>
              <w:bottom w:type="dxa" w:w="0"/>
              <w:right w:type="dxa" w:w="160"/>
            </w:tcMar>
          </w:tcPr>
          <w:p>
            <w:pPr>
              <w:spacing w:after="60" w:before="0"/>
            </w:pPr>
            <w:r>
              <w:rPr>
                <w:rFonts w:ascii="Arial" w:cs="Arial" w:eastAsia="Arial" w:hAnsi="Arial"/>
                <w:b/>
                <w:bCs/>
                <w:caps/>
                <w:color w:val="1B3A6B"/>
                <w:sz w:val="21"/>
                <w:szCs w:val="21"/>
              </w:rPr>
              <w:t xml:space="preserve">Service Provider</w:t>
            </w:r>
          </w:p>
          <w:p>
            <w:pPr>
              <w:pBdr>
                <w:bottom w:val="single" w:color="1B3A6B" w:sz="4" w:space="1"/>
              </w:pBdr>
              <w:spacing w:after="0" w:before="0"/>
            </w:pPr>
            <w:r>
              <w:rPr>
                <w:rFonts w:ascii="Arial" w:cs="Arial" w:eastAsia="Arial" w:hAnsi="Arial"/>
                <w:sz w:val="21"/>
                <w:szCs w:val="21"/>
              </w:rPr>
              <w:t xml:space="preserve"> </w:t>
            </w:r>
          </w:p>
          <w:p>
            <w:pPr>
              <w:spacing w:after="4" w:before="30"/>
            </w:pPr>
            <w:r>
              <w:rPr>
                <w:rFonts w:ascii="Arial" w:cs="Arial" w:eastAsia="Arial" w:hAnsi="Arial"/>
                <w:i/>
                <w:iCs/>
                <w:color w:val="555555"/>
                <w:sz w:val="17"/>
                <w:szCs w:val="17"/>
              </w:rPr>
              <w:t xml:space="preserve">Signature</w:t>
            </w:r>
          </w:p>
          <w:p>
            <w:pPr>
              <w:spacing w:after="30" w:before="80"/>
            </w:pPr>
            <w:r>
              <w:t xml:space="preserve"/>
            </w:r>
          </w:p>
          <w:p>
            <w:pPr>
              <w:pBdr>
                <w:bottom w:val="single" w:color="1B3A6B" w:sz="4" w:space="1"/>
              </w:pBdr>
              <w:spacing w:after="0" w:before="0"/>
            </w:pPr>
            <w:r>
              <w:rPr>
                <w:rFonts w:ascii="Arial" w:cs="Arial" w:eastAsia="Arial" w:hAnsi="Arial"/>
                <w:color w:val="2D2D2D"/>
                <w:sz w:val="21"/>
                <w:szCs w:val="21"/>
              </w:rPr>
              <w:t xml:space="preserve">Damian Kemper</w:t>
            </w:r>
          </w:p>
          <w:p>
            <w:pPr>
              <w:spacing w:after="4" w:before="30"/>
            </w:pPr>
            <w:r>
              <w:rPr>
                <w:rFonts w:ascii="Arial" w:cs="Arial" w:eastAsia="Arial" w:hAnsi="Arial"/>
                <w:i/>
                <w:iCs/>
                <w:color w:val="555555"/>
                <w:sz w:val="17"/>
                <w:szCs w:val="17"/>
              </w:rPr>
              <w:t xml:space="preserve">Printed Name</w:t>
            </w:r>
          </w:p>
          <w:p>
            <w:pPr>
              <w:spacing w:after="30" w:before="80"/>
            </w:pPr>
            <w:r>
              <w:t xml:space="preserve"/>
            </w:r>
          </w:p>
          <w:p>
            <w:pPr>
              <w:pBdr>
                <w:bottom w:val="single" w:color="1B3A6B" w:sz="4" w:space="1"/>
              </w:pBdr>
              <w:spacing w:after="0" w:before="0"/>
            </w:pPr>
            <w:r>
              <w:rPr>
                <w:rFonts w:ascii="Arial" w:cs="Arial" w:eastAsia="Arial" w:hAnsi="Arial"/>
                <w:color w:val="2D2D2D"/>
                <w:sz w:val="21"/>
                <w:szCs w:val="21"/>
              </w:rPr>
              <w:t xml:space="preserve">Owner — Kemper Design Services</w:t>
            </w:r>
          </w:p>
          <w:p>
            <w:pPr>
              <w:spacing w:after="4" w:before="30"/>
            </w:pPr>
            <w:r>
              <w:rPr>
                <w:rFonts w:ascii="Arial" w:cs="Arial" w:eastAsia="Arial" w:hAnsi="Arial"/>
                <w:i/>
                <w:iCs/>
                <w:color w:val="555555"/>
                <w:sz w:val="17"/>
                <w:szCs w:val="17"/>
              </w:rPr>
              <w:t xml:space="preserve">Title</w:t>
            </w:r>
          </w:p>
          <w:p>
            <w:pPr>
              <w:spacing w:after="30" w:before="80"/>
            </w:pPr>
            <w:r>
              <w:t xml:space="preserve"/>
            </w:r>
          </w:p>
          <w:p>
            <w:pPr>
              <w:pBdr>
                <w:bottom w:val="single" w:color="1B3A6B" w:sz="4" w:space="1"/>
              </w:pBdr>
              <w:spacing w:after="0" w:before="0"/>
            </w:pPr>
            <w:r>
              <w:rPr>
                <w:rFonts w:ascii="Arial" w:cs="Arial" w:eastAsia="Arial" w:hAnsi="Arial"/>
                <w:sz w:val="21"/>
                <w:szCs w:val="21"/>
              </w:rPr>
              <w:t xml:space="preserve"> </w:t>
            </w:r>
          </w:p>
          <w:p>
            <w:pPr>
              <w:spacing w:after="4" w:before="30"/>
            </w:pPr>
            <w:r>
              <w:rPr>
                <w:rFonts w:ascii="Arial" w:cs="Arial" w:eastAsia="Arial" w:hAnsi="Arial"/>
                <w:i/>
                <w:iCs/>
                <w:color w:val="555555"/>
                <w:sz w:val="17"/>
                <w:szCs w:val="17"/>
              </w:rPr>
              <w:t xml:space="preserve">Date</w:t>
            </w:r>
          </w:p>
        </w:tc>
        <w:tc>
          <w:tcPr>
            <w:tcW w:type="dxa" w:w="200"/>
            <w:tcBorders>
              <w:top w:val="nil" w:color="FFFFFF" w:sz="0"/>
              <w:left w:val="nil" w:color="FFFFFF" w:sz="0"/>
              <w:bottom w:val="nil" w:color="FFFFFF" w:sz="0"/>
              <w:right w:val="nil" w:color="FFFFFF" w:sz="0"/>
            </w:tcBorders>
          </w:tcPr>
          <w:p>
            <w:r>
              <w:t xml:space="preserve"/>
            </w:r>
          </w:p>
        </w:tc>
        <w:tc>
          <w:tcPr>
            <w:tcW w:type="dxa" w:w="4580"/>
            <w:tcBorders>
              <w:top w:val="nil" w:color="FFFFFF" w:sz="0"/>
              <w:left w:val="nil" w:color="FFFFFF" w:sz="0"/>
              <w:bottom w:val="nil" w:color="FFFFFF" w:sz="0"/>
              <w:right w:val="nil" w:color="FFFFFF" w:sz="0"/>
            </w:tcBorders>
            <w:tcMar>
              <w:top w:type="dxa" w:w="0"/>
              <w:left w:type="dxa" w:w="0"/>
              <w:bottom w:type="dxa" w:w="0"/>
              <w:right w:type="dxa" w:w="160"/>
            </w:tcMar>
          </w:tcPr>
          <w:p>
            <w:pPr>
              <w:spacing w:after="60" w:before="0"/>
            </w:pPr>
            <w:r>
              <w:rPr>
                <w:rFonts w:ascii="Arial" w:cs="Arial" w:eastAsia="Arial" w:hAnsi="Arial"/>
                <w:b/>
                <w:bCs/>
                <w:caps/>
                <w:color w:val="1B3A6B"/>
                <w:sz w:val="21"/>
                <w:szCs w:val="21"/>
              </w:rPr>
              <w:t xml:space="preserve">Client</w:t>
            </w:r>
          </w:p>
          <w:p>
            <w:pPr>
              <w:pBdr>
                <w:bottom w:val="single" w:color="1B3A6B" w:sz="4" w:space="1"/>
              </w:pBdr>
              <w:spacing w:after="0" w:before="0"/>
            </w:pPr>
            <w:r>
              <w:rPr>
                <w:rFonts w:ascii="Arial" w:cs="Arial" w:eastAsia="Arial" w:hAnsi="Arial"/>
                <w:sz w:val="21"/>
                <w:szCs w:val="21"/>
              </w:rPr>
              <w:t xml:space="preserve"> </w:t>
            </w:r>
          </w:p>
          <w:p>
            <w:pPr>
              <w:spacing w:after="4" w:before="30"/>
            </w:pPr>
            <w:r>
              <w:rPr>
                <w:rFonts w:ascii="Arial" w:cs="Arial" w:eastAsia="Arial" w:hAnsi="Arial"/>
                <w:i/>
                <w:iCs/>
                <w:color w:val="555555"/>
                <w:sz w:val="17"/>
                <w:szCs w:val="17"/>
              </w:rPr>
              <w:t xml:space="preserve">Signature</w:t>
            </w:r>
          </w:p>
          <w:p>
            <w:pPr>
              <w:spacing w:after="30" w:before="80"/>
            </w:pPr>
            <w:r>
              <w:t xml:space="preserve"/>
            </w:r>
          </w:p>
          <w:p>
            <w:pPr>
              <w:pBdr>
                <w:bottom w:val="single" w:color="1B3A6B" w:sz="4" w:space="1"/>
              </w:pBdr>
              <w:spacing w:after="0" w:before="0"/>
            </w:pPr>
            <w:r>
              <w:rPr>
                <w:rFonts w:ascii="Arial" w:cs="Arial" w:eastAsia="Arial" w:hAnsi="Arial"/>
                <w:color w:val="2D2D2D"/>
                <w:sz w:val="21"/>
                <w:szCs w:val="21"/>
              </w:rPr>
              <w:t xml:space="preserve">Dr. Faruqi</w:t>
            </w:r>
          </w:p>
          <w:p>
            <w:pPr>
              <w:spacing w:after="4" w:before="30"/>
            </w:pPr>
            <w:r>
              <w:rPr>
                <w:rFonts w:ascii="Arial" w:cs="Arial" w:eastAsia="Arial" w:hAnsi="Arial"/>
                <w:i/>
                <w:iCs/>
                <w:color w:val="555555"/>
                <w:sz w:val="17"/>
                <w:szCs w:val="17"/>
              </w:rPr>
              <w:t xml:space="preserve">Printed Name</w:t>
            </w:r>
          </w:p>
          <w:p>
            <w:pPr>
              <w:spacing w:after="30" w:before="80"/>
            </w:pPr>
            <w:r>
              <w:t xml:space="preserve"/>
            </w:r>
          </w:p>
          <w:p>
            <w:pPr>
              <w:pBdr>
                <w:bottom w:val="single" w:color="1B3A6B" w:sz="4" w:space="1"/>
              </w:pBdr>
              <w:spacing w:after="0" w:before="0"/>
            </w:pPr>
            <w:r>
              <w:rPr>
                <w:rFonts w:ascii="Arial" w:cs="Arial" w:eastAsia="Arial" w:hAnsi="Arial"/>
                <w:color w:val="2D2D2D"/>
                <w:sz w:val="21"/>
                <w:szCs w:val="21"/>
              </w:rPr>
              <w:t xml:space="preserve">Owner — Apex Regenerative Hair Center</w:t>
            </w:r>
          </w:p>
          <w:p>
            <w:pPr>
              <w:spacing w:after="4" w:before="30"/>
            </w:pPr>
            <w:r>
              <w:rPr>
                <w:rFonts w:ascii="Arial" w:cs="Arial" w:eastAsia="Arial" w:hAnsi="Arial"/>
                <w:i/>
                <w:iCs/>
                <w:color w:val="555555"/>
                <w:sz w:val="17"/>
                <w:szCs w:val="17"/>
              </w:rPr>
              <w:t xml:space="preserve">Title</w:t>
            </w:r>
          </w:p>
          <w:p>
            <w:pPr>
              <w:spacing w:after="30" w:before="80"/>
            </w:pPr>
            <w:r>
              <w:t xml:space="preserve"/>
            </w:r>
          </w:p>
          <w:p>
            <w:pPr>
              <w:pBdr>
                <w:bottom w:val="single" w:color="1B3A6B" w:sz="4" w:space="1"/>
              </w:pBdr>
              <w:spacing w:after="0" w:before="0"/>
            </w:pPr>
            <w:r>
              <w:rPr>
                <w:rFonts w:ascii="Arial" w:cs="Arial" w:eastAsia="Arial" w:hAnsi="Arial"/>
                <w:sz w:val="21"/>
                <w:szCs w:val="21"/>
              </w:rPr>
              <w:t xml:space="preserve"> </w:t>
            </w:r>
          </w:p>
          <w:p>
            <w:pPr>
              <w:spacing w:after="4" w:before="30"/>
            </w:pPr>
            <w:r>
              <w:rPr>
                <w:rFonts w:ascii="Arial" w:cs="Arial" w:eastAsia="Arial" w:hAnsi="Arial"/>
                <w:i/>
                <w:iCs/>
                <w:color w:val="555555"/>
                <w:sz w:val="17"/>
                <w:szCs w:val="17"/>
              </w:rPr>
              <w:t xml:space="preserve">Date</w:t>
            </w:r>
          </w:p>
        </w:tc>
      </w:tr>
    </w:tbl>
    <w:p>
      <w:pPr>
        <w:spacing w:after="80" w:before="160"/>
      </w:pPr>
      <w:r>
        <w:t xml:space="preserve"/>
      </w:r>
    </w:p>
    <w:p>
      <w:pPr>
        <w:pBdr>
          <w:top w:val="single" w:color="1B3A6B" w:sz="6" w:space="1"/>
          <w:bottom w:val="single" w:color="1B3A6B" w:sz="6" w:space="1"/>
        </w:pBdr>
        <w:shd w:fill="EAF0FB" w:val="clear"/>
        <w:spacing w:after="120" w:before="120"/>
        <w:jc w:val="center"/>
      </w:pPr>
      <w:r>
        <w:rPr>
          <w:rFonts w:ascii="Arial" w:cs="Arial" w:eastAsia="Arial" w:hAnsi="Arial"/>
          <w:b/>
          <w:bCs/>
          <w:color w:val="1B3A6B"/>
          <w:sz w:val="21"/>
          <w:szCs w:val="21"/>
        </w:rPr>
        <w:t xml:space="preserve">Questions before signing?  </w:t>
      </w:r>
      <w:r>
        <w:rPr>
          <w:rFonts w:ascii="Arial" w:cs="Arial" w:eastAsia="Arial" w:hAnsi="Arial"/>
          <w:color w:val="1B3A6B"/>
          <w:sz w:val="21"/>
          <w:szCs w:val="21"/>
        </w:rPr>
        <w:t xml:space="preserve">kemperdesignservices@gmail.com</w:t>
      </w:r>
      <w:r>
        <w:rPr>
          <w:rFonts w:ascii="Arial" w:cs="Arial" w:eastAsia="Arial" w:hAnsi="Arial"/>
          <w:i/>
          <w:iCs/>
          <w:color w:val="555555"/>
          <w:sz w:val="19"/>
          <w:szCs w:val="19"/>
        </w:rPr>
        <w:t xml:space="preserve">   |   This document is confidential and legally binding upon execution.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F" w:sz="4" w:space="4"/>
      </w:pBdr>
      <w:tabs>
        <w:tab w:val="right" w:pos="9026"/>
      </w:tabs>
      <w:spacing w:after="0" w:before="80"/>
    </w:pPr>
    <w:r>
      <w:rPr>
        <w:rFonts w:ascii="Arial" w:cs="Arial" w:eastAsia="Arial" w:hAnsi="Arial"/>
        <w:i/>
        <w:iCs/>
        <w:color w:val="555555"/>
        <w:sz w:val="16"/>
        <w:szCs w:val="16"/>
      </w:rPr>
      <w:t xml:space="preserve">Confidential — Kemper Design Services &amp; Apex Regenerative Hair Center</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aps/>
        <w:color w:val="1B3A6B"/>
        <w:sz w:val="18"/>
        <w:szCs w:val="18"/>
      </w:rPr>
      <w:t xml:space="preserve">KEMPER DESIGN SERVICES</w:t>
    </w:r>
    <w:r>
      <w:rPr>
        <w:rFonts w:ascii="Arial" w:cs="Arial" w:eastAsia="Arial" w:hAnsi="Arial"/>
      </w:rPr>
      <w:t xml:space="preserve">	</w:t>
    </w:r>
    <w:r>
      <w:rPr>
        <w:rFonts w:ascii="Arial" w:cs="Arial" w:eastAsia="Arial" w:hAnsi="Arial"/>
        <w:i/>
        <w:iCs/>
        <w:color w:val="555555"/>
        <w:sz w:val="18"/>
        <w:szCs w:val="18"/>
      </w:rPr>
      <w:t xml:space="preserve">AI Consulting Services Agreement</w:t>
    </w:r>
  </w:p>
  <w:p>
    <w:pPr>
      <w:pBdr>
        <w:bottom w:val="single" w:color="1B3A6B"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lowerLetter"/>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2026-04-26T11:10:58.226Z</dcterms:created>
  <dcterms:modified xsi:type="dcterms:W3CDTF">2026-04-26T11:10:58.227Z</dcterms:modified>
</cp:coreProperties>
</file>

<file path=docProps/custom.xml><?xml version="1.0" encoding="utf-8"?>
<Properties xmlns="http://schemas.openxmlformats.org/officeDocument/2006/custom-properties" xmlns:vt="http://schemas.openxmlformats.org/officeDocument/2006/docPropsVTypes"/>
</file>