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200"/>
      </w:pPr>
      <w:r>
        <w:rPr>
          <w:rFonts w:ascii="Arial" w:cs="Arial" w:eastAsia="Arial" w:hAnsi="Arial"/>
          <w:b/>
          <w:bCs/>
          <w:caps/>
          <w:color w:val="FFFFFF"/>
          <w:sz w:val="64"/>
          <w:szCs w:val="64"/>
        </w:rPr>
        <w:t xml:space="preserve">  INVOICE</w:t>
      </w:r>
    </w:p>
    <w:p>
      <w:pPr>
        <w:shd w:fill="B8860B" w:val="clear"/>
        <w:spacing w:after="0" w:before="0"/>
      </w:pPr>
      <w:r>
        <w:rPr>
          <w:sz w:val="12"/>
          <w:szCs w:val="12"/>
        </w:rPr>
        <w:t xml:space="preserve"> </w:t>
      </w:r>
    </w:p>
    <w:p>
      <w:pPr>
        <w:shd w:fill="1B3A6B" w:val="clear"/>
        <w:spacing w:after="0" w:before="0"/>
      </w:pPr>
      <w:r>
        <w:rPr>
          <w:rFonts w:ascii="Arial" w:cs="Arial" w:eastAsia="Arial" w:hAnsi="Arial"/>
          <w:i/>
          <w:iCs/>
          <w:color w:val="C5D5EF"/>
          <w:sz w:val="22"/>
          <w:szCs w:val="22"/>
        </w:rPr>
        <w:t xml:space="preserve">  AI Intake &amp; Autoscheduling System — Full Project</w:t>
      </w:r>
    </w:p>
    <w:p>
      <w:pPr>
        <w:shd w:fill="1B3A6B" w:val="clear"/>
        <w:spacing w:after="280" w:before="0"/>
      </w:pPr>
      <w:r>
        <w:rPr>
          <w:sz w:val="16"/>
          <w:szCs w:val="1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666666"/>
                <w:sz w:val="19"/>
                <w:szCs w:val="19"/>
              </w:rPr>
              <w:t xml:space="preserve">BILLED 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Apex Regenerative Hair Center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Dr. Faruqi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apexregenerativehair.com</w:t>
            </w:r>
          </w:p>
        </w:tc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tabs>
                <w:tab w:val="left" w:pos="1800"/>
              </w:tabs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Invoice #</w:t>
            </w: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	KDS-2025-0001</w:t>
            </w:r>
          </w:p>
          <w:p>
            <w:pPr>
              <w:tabs>
                <w:tab w:val="left" w:pos="1800"/>
              </w:tabs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Date:</w:t>
            </w: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	April 25, 2025</w:t>
            </w:r>
          </w:p>
          <w:p>
            <w:pPr>
              <w:tabs>
                <w:tab w:val="left" w:pos="1800"/>
              </w:tabs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Due Date:</w:t>
            </w: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	May 25, 2025</w:t>
            </w:r>
          </w:p>
          <w:p>
            <w:pPr>
              <w:tabs>
                <w:tab w:val="left" w:pos="1800"/>
              </w:tabs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Project:</w:t>
            </w: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	AI Intake &amp; Scheduling System</w:t>
            </w:r>
          </w:p>
          <w:p>
            <w:pPr>
              <w:tabs>
                <w:tab w:val="left" w:pos="1800"/>
              </w:tabs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Prepared by:</w:t>
            </w: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	Kemper Design Services</w:t>
            </w:r>
          </w:p>
        </w:tc>
      </w:tr>
    </w:tbl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t xml:space="preserve"/>
            </w:r>
          </w:p>
        </w:tc>
        <w:tc>
          <w:tcPr>
            <w:tcW w:type="dxa" w:w="192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DEA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Other Companies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B1A1A"/>
                <w:sz w:val="16"/>
                <w:szCs w:val="16"/>
              </w:rPr>
              <w:t xml:space="preserve">Typical agency pricing for comparable work</w:t>
            </w:r>
          </w:p>
        </w:tc>
        <w:tc>
          <w:tcPr>
            <w:tcW w:type="dxa" w:w="19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EA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Our Standard Rate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B3A6B"/>
                <w:sz w:val="16"/>
                <w:szCs w:val="16"/>
              </w:rPr>
              <w:t xml:space="preserve">Full list price per deliverable</w:t>
            </w:r>
          </w:p>
        </w:tc>
        <w:tc>
          <w:tcPr>
            <w:tcW w:type="dxa" w:w="19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AF7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After Discount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6B3A"/>
                <w:sz w:val="16"/>
                <w:szCs w:val="16"/>
              </w:rPr>
              <w:t xml:space="preserve">20% bundle discount applied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rPr>
          <w:tblHeader/>
        </w:trPr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Service / Deliverable</w:t>
            </w:r>
          </w:p>
        </w:tc>
        <w:tc>
          <w:tcPr>
            <w:tcW w:type="dxa" w:w="19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8B1A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Other Companies</w:t>
            </w:r>
          </w:p>
        </w:tc>
        <w:tc>
          <w:tcPr>
            <w:tcW w:type="dxa" w:w="19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Our Standard Rate</w:t>
            </w:r>
          </w:p>
        </w:tc>
        <w:tc>
          <w:tcPr>
            <w:tcW w:type="dxa" w:w="19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After Discount</w:t>
            </w:r>
          </w:p>
        </w:tc>
      </w:tr>
      <w:tr>
        <w:tc>
          <w:tcPr>
            <w:tcW w:type="dxa" w:w="9360"/>
            <w:gridSpan w:val="4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Stage 1 — Foundation: Telephony &amp; Calendar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10"/>
              <w:left w:type="dxa" w:w="18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Twilio Number Setup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Provisioning, call forwarding, SIP routing config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$1,200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$875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$700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10"/>
              <w:left w:type="dxa" w:w="18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Retell AI Connection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Platform integration and basic call handling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$1,500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$812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$650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10"/>
              <w:left w:type="dxa" w:w="18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Google Calendar System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Consultation calendar, availability rules, appointment types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$800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$563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$450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10"/>
              <w:left w:type="dxa" w:w="18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Call Routing &amp; Fallback Logic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Business hours, after-hours handling, escalation paths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$600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$250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$200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Stage 1 Subtotal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$4,100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$2,500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$2,000</w:t>
            </w:r>
          </w:p>
        </w:tc>
      </w:tr>
      <w:tr>
        <w:tc>
          <w:tcPr>
            <w:tcW w:type="dxa" w:w="9360"/>
            <w:gridSpan w:val="4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Stage 2 — AI Intake &amp; Autoscheduler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10"/>
              <w:left w:type="dxa" w:w="18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Full Retell AI Agent Build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Custom voice agent configured for your practice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$3,500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$1,500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$1,200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10"/>
              <w:left w:type="dxa" w:w="18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Conversation Design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Scripts, FAQs, caller intent logic, full response flows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$2,000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$1,000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$800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10"/>
              <w:left w:type="dxa" w:w="18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Data Capture Configuration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Name, phone, email, service interest, time preference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$800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$500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$400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10"/>
              <w:left w:type="dxa" w:w="18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Real-Time Availability Check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Live calendar query wired into the call flow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$1,200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$875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$700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10"/>
              <w:left w:type="dxa" w:w="18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Automatic Appointment Booking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AI creates confirmed calendar events without staff input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$1,500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$500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$400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Stage 2 Subtotal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$9,000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$4,375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$3,500</w:t>
            </w:r>
          </w:p>
        </w:tc>
      </w:tr>
      <w:tr>
        <w:tc>
          <w:tcPr>
            <w:tcW w:type="dxa" w:w="9360"/>
            <w:gridSpan w:val="4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Stage 3 — Integrations &amp; Automation Layer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10"/>
              <w:left w:type="dxa" w:w="18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Google Sheets Lead Logging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Structured row per call — all outcomes captured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$1,200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$750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$600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10"/>
              <w:left w:type="dxa" w:w="18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Calendar ↔ Sheet Sync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Bookings automatically reflected in the lead ledger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$800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$500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$400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10"/>
              <w:left w:type="dxa" w:w="18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SMS Confirmation System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Twilio-powered patient confirmation on booking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$700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$438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$350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10"/>
              <w:left w:type="dxa" w:w="18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Email Confirmation System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Automated confirmation email to patient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$500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$312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$250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10"/>
              <w:left w:type="dxa" w:w="18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Staff Notification System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SMS + email alert to doctor/staff on each booking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$700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$625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$500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10"/>
              <w:left w:type="dxa" w:w="18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AI Call Summaries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Structured summary stored per lead record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$900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$312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$250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10"/>
              <w:left w:type="dxa" w:w="18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CRM-Ready Data Structure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Intake data formatted for marketing and CRM import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$700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$188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$150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Stage 3 Subtotal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$5,500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$3,125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$2,500</w:t>
            </w:r>
          </w:p>
        </w:tc>
      </w:tr>
      <w:tr>
        <w:tc>
          <w:tcPr>
            <w:tcW w:type="dxa" w:w="9360"/>
            <w:gridSpan w:val="4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Stage 4 — Website Booking System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10"/>
              <w:left w:type="dxa" w:w="18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Book Consultation Button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Integrated CTA across header, hero, contact, and service pages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$600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$375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$300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10"/>
              <w:left w:type="dxa" w:w="18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Embedded Booking Page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Cal.com or custom page tied to consultation calendar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$1,200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$750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$600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10"/>
              <w:left w:type="dxa" w:w="18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Website → Calendar Sync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Web bookings write directly to Google Calendar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$500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$313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$250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10"/>
              <w:left w:type="dxa" w:w="18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Website → Sheet Sync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Web leads logged to same ledger as phone leads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$400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$250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$200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10"/>
              <w:left w:type="dxa" w:w="180"/>
              <w:bottom w:type="dxa" w:w="11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UTM &amp; Source Tracking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Marketing attribution captured for every web booking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1"/>
                <w:szCs w:val="21"/>
              </w:rPr>
              <w:t xml:space="preserve">$500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1"/>
                <w:szCs w:val="21"/>
              </w:rPr>
              <w:t xml:space="preserve">$187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$150</w:t>
            </w:r>
          </w:p>
        </w:tc>
      </w:tr>
      <w:tr>
        <w:tc>
          <w:tcPr>
            <w:tcW w:type="dxa" w:w="36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Stage 4 Subtotal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$3,200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$1,875</w:t>
            </w:r>
          </w:p>
        </w:tc>
        <w:tc>
          <w:tcPr>
            <w:tcW w:type="dxa" w:w="19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7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6B3A"/>
                <w:sz w:val="21"/>
                <w:szCs w:val="21"/>
              </w:rPr>
              <w:t xml:space="preserve">$1,500</w:t>
            </w:r>
          </w:p>
        </w:tc>
      </w:tr>
      <w:tr>
        <w:tc>
          <w:tcPr>
            <w:tcW w:type="dxa" w:w="5520"/>
            <w:gridSpan w:val="2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DF3DC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Full-Project Bundle Discount  (20%)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Applied when all 4 stages are engaged together as one project</w:t>
            </w:r>
          </w:p>
        </w:tc>
        <w:tc>
          <w:tcPr>
            <w:tcW w:type="dxa" w:w="192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DF3D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- $2,375</w:t>
            </w:r>
          </w:p>
        </w:tc>
        <w:tc>
          <w:tcPr>
            <w:tcW w:type="dxa" w:w="192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DF3D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B8860B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80"/>
              <w:left w:type="dxa" w:w="18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8"/>
                <w:szCs w:val="28"/>
              </w:rPr>
              <w:t xml:space="preserve">PROJECT TOTAL</w:t>
            </w:r>
          </w:p>
        </w:tc>
        <w:tc>
          <w:tcPr>
            <w:tcW w:type="dxa" w:w="19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8B1A1A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$21,800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DEAEA"/>
                <w:sz w:val="16"/>
                <w:szCs w:val="16"/>
              </w:rPr>
              <w:t xml:space="preserve">Other Companies</w:t>
            </w:r>
          </w:p>
        </w:tc>
        <w:tc>
          <w:tcPr>
            <w:tcW w:type="dxa" w:w="19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$11,875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5D5EF"/>
                <w:sz w:val="16"/>
                <w:szCs w:val="16"/>
              </w:rPr>
              <w:t xml:space="preserve">Our Standard Rate</w:t>
            </w:r>
          </w:p>
        </w:tc>
        <w:tc>
          <w:tcPr>
            <w:tcW w:type="dxa" w:w="19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80"/>
              <w:left w:type="dxa" w:w="160"/>
              <w:bottom w:type="dxa" w:w="18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$9,500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EAF7EE"/>
                <w:sz w:val="16"/>
                <w:szCs w:val="16"/>
              </w:rPr>
              <w:t xml:space="preserve">Your Price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DEAE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32"/>
                <w:szCs w:val="32"/>
              </w:rPr>
              <w:t xml:space="preserve">$21,800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B1A1A"/>
                <w:sz w:val="18"/>
                <w:szCs w:val="18"/>
              </w:rPr>
              <w:t xml:space="preserve">Typical Agency Rate</w:t>
            </w:r>
          </w:p>
        </w:tc>
        <w:tc>
          <w:tcPr>
            <w:tcW w:type="dxa" w:w="312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32"/>
                <w:szCs w:val="32"/>
              </w:rPr>
              <w:t xml:space="preserve">$11,875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B3A6B"/>
                <w:sz w:val="18"/>
                <w:szCs w:val="18"/>
              </w:rPr>
              <w:t xml:space="preserve">Our Standard Rate</w:t>
            </w:r>
          </w:p>
        </w:tc>
        <w:tc>
          <w:tcPr>
            <w:tcW w:type="dxa" w:w="312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EAF7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36"/>
                <w:szCs w:val="36"/>
              </w:rPr>
              <w:t xml:space="preserve">$9,500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6B3A"/>
                <w:sz w:val="18"/>
                <w:szCs w:val="18"/>
              </w:rPr>
              <w:t xml:space="preserve">Your Price (20% Bundle Discount)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You save $12,300 vs. other agencies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shd w:fill="1B3A6B" w:val="clear"/>
        <w:spacing w:after="0" w:before="0"/>
        <w:ind w:left="80"/>
      </w:pPr>
      <w:r>
        <w:rPr>
          <w:rFonts w:ascii="Arial" w:cs="Arial" w:eastAsia="Arial" w:hAnsi="Arial"/>
          <w:b/>
          <w:bCs/>
          <w:caps/>
          <w:color w:val="FFFFFF"/>
          <w:sz w:val="22"/>
          <w:szCs w:val="22"/>
        </w:rPr>
        <w:t xml:space="preserve">MONTHLY SYSTEM MAINTENANCE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Monthly System Maintenance</w:t>
            </w:r>
          </w:p>
        </w:tc>
        <w:tc>
          <w:tcPr>
            <w:tcW w:type="dxa" w:w="23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66666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$70.00 / 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AF0FB"/>
                <w:sz w:val="17"/>
                <w:szCs w:val="17"/>
              </w:rPr>
              <w:t xml:space="preserve">Regular Rate</w:t>
            </w:r>
          </w:p>
        </w:tc>
        <w:tc>
          <w:tcPr>
            <w:tcW w:type="dxa" w:w="234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$49.99 / 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AF7EE"/>
                <w:sz w:val="17"/>
                <w:szCs w:val="17"/>
              </w:rPr>
              <w:t xml:space="preserve">Client Rate  (save $20/mo)</w:t>
            </w:r>
          </w:p>
        </w:tc>
      </w:tr>
      <w:tr>
        <w:tc>
          <w:tcPr>
            <w:tcW w:type="auto" w:w="9360"/>
            <w:gridSpan w:val="3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EAF0FB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What Your Monthly Maintenance Fee Covers</w:t>
            </w:r>
          </w:p>
        </w:tc>
      </w:tr>
      <w:tr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24/7 system uptime monitoring — Retell AI, Twilio, and calendar integration</w:t>
            </w:r>
          </w:p>
        </w:tc>
        <w:tc>
          <w:tcPr>
            <w:tcW w:type="dxa" w:w="4680"/>
            <w:gridSpan w:val="2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Automated alert if any service goes offline or fails to connect</w:t>
            </w:r>
          </w:p>
        </w:tc>
      </w:tr>
      <w:tr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Retell AI agent review — response quality, missed intents, conversation gaps</w:t>
            </w:r>
          </w:p>
        </w:tc>
        <w:tc>
          <w:tcPr>
            <w:tcW w:type="dxa" w:w="4680"/>
            <w:gridSpan w:val="2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Google Calendar sync verification — confirms bookings write correctly</w:t>
            </w:r>
          </w:p>
        </w:tc>
      </w:tr>
      <w:tr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Google Sheets data integrity check — no duplicate or missing lead rows</w:t>
            </w:r>
          </w:p>
        </w:tc>
        <w:tc>
          <w:tcPr>
            <w:tcW w:type="dxa" w:w="4680"/>
            <w:gridSpan w:val="2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Twilio call routing audit — confirms correct number, SIP, and fallback paths</w:t>
            </w:r>
          </w:p>
        </w:tc>
      </w:tr>
      <w:tr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Minor conversation script adjustments (wording, FAQ updates, new service names)</w:t>
            </w:r>
          </w:p>
        </w:tc>
        <w:tc>
          <w:tcPr>
            <w:tcW w:type="dxa" w:w="4680"/>
            <w:gridSpan w:val="2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performance summary — call volume, booking rate, escalation rate</w:t>
            </w:r>
          </w:p>
        </w:tc>
      </w:tr>
      <w:tr>
        <w:tc>
          <w:tcPr>
            <w:tcW w:type="dxa" w:w="468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Priority email support — issues addressed within 1 business day</w:t>
            </w:r>
          </w:p>
        </w:tc>
        <w:tc>
          <w:tcPr>
            <w:tcW w:type="dxa" w:w="4680"/>
            <w:gridSpan w:val="2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auto" w:w="9360"/>
            <w:gridSpan w:val="3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DF3DC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Billed monthly. Cancel anytime with 30 days notice. </w:t>
            </w: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Fee covers labor and oversight only — Twilio and Retell platform costs remain billed directly by those providers.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hd w:fill="1B3A6B" w:val="clear"/>
        <w:spacing w:after="0" w:before="0"/>
        <w:ind w:left="80"/>
      </w:pPr>
      <w:r>
        <w:rPr>
          <w:rFonts w:ascii="Arial" w:cs="Arial" w:eastAsia="Arial" w:hAnsi="Arial"/>
          <w:b/>
          <w:bCs/>
          <w:caps/>
          <w:color w:val="FFFFFF"/>
          <w:sz w:val="22"/>
          <w:szCs w:val="22"/>
        </w:rPr>
        <w:t xml:space="preserve">PAYMENT SCHEDULE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1800"/>
        <w:gridCol w:w="300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Deposit — Stage 1</w:t>
            </w:r>
          </w:p>
        </w:tc>
        <w:tc>
          <w:tcPr>
            <w:tcW w:type="dxa" w:w="2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Upon signing</w:t>
            </w:r>
          </w:p>
        </w:tc>
        <w:tc>
          <w:tcPr>
            <w:tcW w:type="dxa" w:w="1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$2,375</w:t>
            </w:r>
          </w:p>
        </w:tc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25% — Foundation begins immediately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Milestone — Stage 2</w:t>
            </w:r>
          </w:p>
        </w:tc>
        <w:tc>
          <w:tcPr>
            <w:tcW w:type="dxa" w:w="2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Week 2 start</w:t>
            </w:r>
          </w:p>
        </w:tc>
        <w:tc>
          <w:tcPr>
            <w:tcW w:type="dxa" w:w="1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$2,375</w:t>
            </w:r>
          </w:p>
        </w:tc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25% — AI agent build commences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Milestone — Stage 3</w:t>
            </w:r>
          </w:p>
        </w:tc>
        <w:tc>
          <w:tcPr>
            <w:tcW w:type="dxa" w:w="2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Week 3 start</w:t>
            </w:r>
          </w:p>
        </w:tc>
        <w:tc>
          <w:tcPr>
            <w:tcW w:type="dxa" w:w="1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$2,375</w:t>
            </w:r>
          </w:p>
        </w:tc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4F7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25% — Integrations and testing</w:t>
            </w:r>
          </w:p>
        </w:tc>
      </w:tr>
      <w:tr>
        <w:tc>
          <w:tcPr>
            <w:tcW w:type="dxa" w:w="24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Final — Stage 4 + Launch</w:t>
            </w:r>
          </w:p>
        </w:tc>
        <w:tc>
          <w:tcPr>
            <w:tcW w:type="dxa" w:w="216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Week 4 delivery</w:t>
            </w:r>
          </w:p>
        </w:tc>
        <w:tc>
          <w:tcPr>
            <w:tcW w:type="dxa" w:w="18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$2,375</w:t>
            </w:r>
          </w:p>
        </w:tc>
        <w:tc>
          <w:tcPr>
            <w:tcW w:type="dxa" w:w="3000"/>
            <w:tcBorders>
              <w:top w:val="single" w:color="C5D5EF" w:sz="1"/>
              <w:left w:val="single" w:color="C5D5EF" w:sz="1"/>
              <w:bottom w:val="single" w:color="C5D5EF" w:sz="1"/>
              <w:right w:val="single" w:color="C5D5EF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25% — Website booking + full go-live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Bdr>
          <w:top w:val="single" w:color="B8860B" w:sz="6" w:space="1"/>
          <w:bottom w:val="single" w:color="B8860B" w:sz="6" w:space="1"/>
        </w:pBdr>
        <w:shd w:fill="FDF3DC" w:val="clear"/>
        <w:spacing w:after="100" w:before="100"/>
        <w:ind w:left="1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Note: 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Third-party platform costs (Twilio, Retell AI) are billed directly by those providers and are not included in this invoice. Estimated at $70–$300/month depending on call volume.</w:t>
      </w:r>
    </w:p>
    <w:p>
      <w:pPr>
        <w:spacing w:after="60" w:before="80"/>
      </w:pPr>
      <w:r>
        <w:t xml:space="preserve"/>
      </w:r>
    </w:p>
    <w:p>
      <w:pPr>
        <w:pBdr>
          <w:top w:val="single" w:color="1B3A6B" w:sz="6" w:space="1"/>
          <w:bottom w:val="single" w:color="1B3A6B" w:sz="6" w:space="1"/>
        </w:pBdr>
        <w:shd w:fill="EAF0FB" w:val="clear"/>
        <w:spacing w:after="100" w:before="100"/>
        <w:jc w:val="center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Questions?  </w:t>
      </w:r>
      <w:r>
        <w:rPr>
          <w:rFonts w:ascii="Arial" w:cs="Arial" w:eastAsia="Arial" w:hAnsi="Arial"/>
          <w:color w:val="1B3A6B"/>
          <w:sz w:val="20"/>
          <w:szCs w:val="20"/>
        </w:rPr>
        <w:t xml:space="preserve">kemperdesignservices@gmail.com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|   This invoice is confidential and prepared exclusively for Apex Regenerative Hair Center.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F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Thank you for your business.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aps/>
        <w:color w:val="1B3A6B"/>
        <w:sz w:val="18"/>
        <w:szCs w:val="18"/>
      </w:rPr>
      <w:t xml:space="preserve">KEMPER DESIGN SERVICES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kemperdesignservices@gmail.com</w:t>
    </w:r>
  </w:p>
  <w:p>
    <w:pPr>
      <w:pBdr>
        <w:bottom w:val="single" w:color="1B3A6B" w:sz="6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2026-04-25T08:57:28.272Z</dcterms:created>
  <dcterms:modified xsi:type="dcterms:W3CDTF">2026-04-25T08:57:28.273Z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