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0" w:before="20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36"/>
          <w:szCs w:val="36"/>
        </w:rPr>
        <w:t xml:space="preserve">APEX REGENERATIVE HAIR CENTER</w:t>
      </w:r>
    </w:p>
    <w:p>
      <w:pPr>
        <w:shd w:fill="B8860B" w:val="clear"/>
        <w:spacing w:after="0" w:before="0"/>
      </w:pPr>
      <w:r>
        <w:rPr>
          <w:sz w:val="12"/>
          <w:szCs w:val="12"/>
        </w:rPr>
        <w:t xml:space="preserve"> </w:t>
      </w:r>
    </w:p>
    <w:p>
      <w:pPr>
        <w:shd w:fill="1B3A6B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50"/>
          <w:szCs w:val="50"/>
        </w:rPr>
        <w:t xml:space="preserve">Monthly System Report</w:t>
      </w:r>
    </w:p>
    <w:p>
      <w:pPr>
        <w:shd w:fill="1B3A6B" w:val="clear"/>
        <w:spacing w:after="0" w:before="0"/>
        <w:jc w:val="center"/>
      </w:pPr>
      <w:r>
        <w:rPr>
          <w:rFonts w:ascii="Arial" w:cs="Arial" w:eastAsia="Arial" w:hAnsi="Arial"/>
          <w:i/>
          <w:iCs/>
          <w:color w:val="C5D5EF"/>
          <w:sz w:val="24"/>
          <w:szCs w:val="24"/>
        </w:rPr>
        <w:t xml:space="preserve">AI Voice Receptionist — Performance &amp; Maintenance Summary</w:t>
      </w:r>
    </w:p>
    <w:p>
      <w:pPr>
        <w:shd w:fill="1B3A6B" w:val="clear"/>
        <w:spacing w:after="320" w:before="0"/>
        <w:jc w:val="center"/>
      </w:pPr>
      <w:r>
        <w:rPr>
          <w:sz w:val="16"/>
          <w:szCs w:val="16"/>
        </w:rPr>
        <w:t xml:space="preserve"> 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AF0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aps/>
                <w:color w:val="555555"/>
                <w:sz w:val="19"/>
                <w:szCs w:val="19"/>
              </w:rPr>
              <w:t xml:space="preserve">Report Period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8"/>
                <w:szCs w:val="28"/>
              </w:rPr>
              <w:t xml:space="preserve">[MONTH YEAR]</w:t>
            </w:r>
          </w:p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Prepared by: Kemper Design Services</w:t>
            </w:r>
          </w:p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Prepared for: Apex Regenerative Hair Center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kemperdesignservices@gmail.com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AF0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aps/>
                <w:color w:val="555555"/>
                <w:sz w:val="19"/>
                <w:szCs w:val="19"/>
              </w:rPr>
              <w:t xml:space="preserve">Report Summary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Monthly Maintenance — $49.99/mo</w:t>
            </w:r>
          </w:p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System: Madison AI Voice Receptionist</w:t>
            </w:r>
          </w:p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Platforms: Retell AI, Twilio, Google Calendar, Google Sheets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D2D2D"/>
                <w:sz w:val="19"/>
                <w:szCs w:val="19"/>
              </w:rPr>
              <w:t xml:space="preserve">Report Date: [DATE]</w:t>
            </w:r>
          </w:p>
        </w:tc>
      </w:tr>
    </w:tbl>
    <w:p>
      <w:pPr>
        <w:shd w:fill="1B3A6B" w:val="clear"/>
        <w:spacing w:after="0" w:before="400"/>
      </w:pPr>
      <w:r>
        <w:rPr>
          <w:rFonts w:ascii="Arial" w:cs="Arial" w:eastAsia="Arial" w:hAnsi="Arial"/>
          <w:b/>
          <w:bCs/>
          <w:color w:val="C5D5EF"/>
          <w:sz w:val="26"/>
          <w:szCs w:val="26"/>
        </w:rPr>
        <w:t xml:space="preserve">  01  </w:t>
      </w: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System Health Summary</w:t>
      </w:r>
    </w:p>
    <w:p>
      <w:pPr>
        <w:spacing w:after="6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Current operational status of all system components as of report date: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AF7EE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A6B3A"/>
                <w:sz w:val="21"/>
                <w:szCs w:val="21"/>
              </w:rPr>
              <w:t xml:space="preserve">Retell AI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Operational</w:t>
            </w:r>
          </w:p>
        </w:tc>
        <w:tc>
          <w:tcPr>
            <w:tcW w:type="dxa" w:w="23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AF7EE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A6B3A"/>
                <w:sz w:val="21"/>
                <w:szCs w:val="21"/>
              </w:rPr>
              <w:t xml:space="preserve">Twilio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Operational</w:t>
            </w:r>
          </w:p>
        </w:tc>
        <w:tc>
          <w:tcPr>
            <w:tcW w:type="dxa" w:w="23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AF7EE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A6B3A"/>
                <w:sz w:val="21"/>
                <w:szCs w:val="21"/>
              </w:rPr>
              <w:t xml:space="preserve">Google Calendar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Operational</w:t>
            </w:r>
          </w:p>
        </w:tc>
        <w:tc>
          <w:tcPr>
            <w:tcW w:type="dxa" w:w="23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AF7EE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A6B3A"/>
                <w:sz w:val="21"/>
                <w:szCs w:val="21"/>
              </w:rPr>
              <w:t xml:space="preserve">Google Sheets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Operational</w:t>
            </w:r>
          </w:p>
        </w:tc>
      </w:tr>
    </w:tbl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Status Key</w:t>
            </w:r>
          </w:p>
        </w:tc>
        <w:tc>
          <w:tcPr>
            <w:tcW w:type="dxa" w:w="79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AF0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Operational = all systems functioning normally. Issue Detected = a problem was identified during the month (see Section 4 for details and resolution). Replace fills with LT_RED/RED_DK if an issue was present.</w:t>
            </w:r>
          </w:p>
        </w:tc>
      </w:tr>
    </w:tbl>
    <w:p>
      <w:pPr>
        <w:shd w:fill="1B3A6B" w:val="clear"/>
        <w:spacing w:after="0" w:before="400"/>
      </w:pPr>
      <w:r>
        <w:rPr>
          <w:rFonts w:ascii="Arial" w:cs="Arial" w:eastAsia="Arial" w:hAnsi="Arial"/>
          <w:b/>
          <w:bCs/>
          <w:color w:val="C5D5EF"/>
          <w:sz w:val="26"/>
          <w:szCs w:val="26"/>
        </w:rPr>
        <w:t xml:space="preserve">  02  </w:t>
      </w: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Call Volume &amp; Performance</w:t>
      </w:r>
    </w:p>
    <w:p>
      <w:pPr>
        <w:spacing w:after="6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Inbound call activity for the report period: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Value for Period</w:t>
            </w:r>
          </w:p>
        </w:tc>
      </w:tr>
      <w:tr>
        <w:tc>
          <w:tcPr>
            <w:tcW w:type="dxa" w:w="52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Total Inbound Calls</w:t>
            </w:r>
          </w:p>
        </w:tc>
        <w:tc>
          <w:tcPr>
            <w:tcW w:type="dxa" w:w="41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[VALUE]</w:t>
            </w:r>
          </w:p>
        </w:tc>
      </w:tr>
      <w:tr>
        <w:tc>
          <w:tcPr>
            <w:tcW w:type="dxa" w:w="52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AI-Handled Calls (Madison answered without transfer)</w:t>
            </w:r>
          </w:p>
        </w:tc>
        <w:tc>
          <w:tcPr>
            <w:tcW w:type="dxa" w:w="41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[VALUE]</w:t>
            </w:r>
          </w:p>
        </w:tc>
      </w:tr>
      <w:tr>
        <w:tc>
          <w:tcPr>
            <w:tcW w:type="dxa" w:w="52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Calls Transferred to Staff</w:t>
            </w:r>
          </w:p>
        </w:tc>
        <w:tc>
          <w:tcPr>
            <w:tcW w:type="dxa" w:w="41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[VALUE]</w:t>
            </w:r>
          </w:p>
        </w:tc>
      </w:tr>
      <w:tr>
        <w:tc>
          <w:tcPr>
            <w:tcW w:type="dxa" w:w="52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Calls Resulting in Booking</w:t>
            </w:r>
          </w:p>
        </w:tc>
        <w:tc>
          <w:tcPr>
            <w:tcW w:type="dxa" w:w="41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[VALUE]</w:t>
            </w:r>
          </w:p>
        </w:tc>
      </w:tr>
      <w:tr>
        <w:tc>
          <w:tcPr>
            <w:tcW w:type="dxa" w:w="52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Booking Rate %</w:t>
            </w:r>
          </w:p>
        </w:tc>
        <w:tc>
          <w:tcPr>
            <w:tcW w:type="dxa" w:w="41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[VALUE]%</w:t>
            </w:r>
          </w:p>
        </w:tc>
      </w:tr>
      <w:tr>
        <w:tc>
          <w:tcPr>
            <w:tcW w:type="dxa" w:w="52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Average Call Duration</w:t>
            </w:r>
          </w:p>
        </w:tc>
        <w:tc>
          <w:tcPr>
            <w:tcW w:type="dxa" w:w="41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[VALUE] min</w:t>
            </w:r>
          </w:p>
        </w:tc>
      </w:tr>
      <w:tr>
        <w:tc>
          <w:tcPr>
            <w:tcW w:type="dxa" w:w="52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After-Hours Calls Handled</w:t>
            </w:r>
          </w:p>
        </w:tc>
        <w:tc>
          <w:tcPr>
            <w:tcW w:type="dxa" w:w="41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[VALUE]</w:t>
            </w:r>
          </w:p>
        </w:tc>
      </w:tr>
      <w:tr>
        <w:tc>
          <w:tcPr>
            <w:tcW w:type="dxa" w:w="52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Calls with Failed Booking Attempt</w:t>
            </w:r>
          </w:p>
        </w:tc>
        <w:tc>
          <w:tcPr>
            <w:tcW w:type="dxa" w:w="41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[VALUE]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79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AF0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Booking Rate is calculated as (Calls Resulting in Booking) / (Total Inbound Calls). A rate above 60% indicates strong AI performance. Transferred calls are normal — Madison transfers when a patient requests a human or when an edge case is detected.</w:t>
            </w:r>
          </w:p>
        </w:tc>
      </w:tr>
    </w:tbl>
    <w:p>
      <w:pPr>
        <w:shd w:fill="1B3A6B" w:val="clear"/>
        <w:spacing w:after="0" w:before="400"/>
      </w:pPr>
      <w:r>
        <w:rPr>
          <w:rFonts w:ascii="Arial" w:cs="Arial" w:eastAsia="Arial" w:hAnsi="Arial"/>
          <w:b/>
          <w:bCs/>
          <w:color w:val="C5D5EF"/>
          <w:sz w:val="26"/>
          <w:szCs w:val="26"/>
        </w:rPr>
        <w:t xml:space="preserve">  03  </w:t>
      </w: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Booking Summary</w:t>
      </w:r>
    </w:p>
    <w:p>
      <w:pPr>
        <w:spacing w:after="6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Appointment and booking activity for the report period: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Booking Metric</w:t>
            </w:r>
          </w:p>
        </w:tc>
        <w:tc>
          <w:tcPr>
            <w:tcW w:type="dxa" w:w="4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Count</w:t>
            </w:r>
          </w:p>
        </w:tc>
      </w:tr>
      <w:tr>
        <w:tc>
          <w:tcPr>
            <w:tcW w:type="dxa" w:w="52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Total Bookings This Month</w:t>
            </w:r>
          </w:p>
        </w:tc>
        <w:tc>
          <w:tcPr>
            <w:tcW w:type="dxa" w:w="41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[VALUE]</w:t>
            </w:r>
          </w:p>
        </w:tc>
      </w:tr>
      <w:tr>
        <w:tc>
          <w:tcPr>
            <w:tcW w:type="dxa" w:w="52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 Patient Bookings</w:t>
            </w:r>
          </w:p>
        </w:tc>
        <w:tc>
          <w:tcPr>
            <w:tcW w:type="dxa" w:w="41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[VALUE]</w:t>
            </w:r>
          </w:p>
        </w:tc>
      </w:tr>
      <w:tr>
        <w:tc>
          <w:tcPr>
            <w:tcW w:type="dxa" w:w="52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Returning Patient Bookings</w:t>
            </w:r>
          </w:p>
        </w:tc>
        <w:tc>
          <w:tcPr>
            <w:tcW w:type="dxa" w:w="41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[VALUE]</w:t>
            </w:r>
          </w:p>
        </w:tc>
      </w:tr>
      <w:tr>
        <w:tc>
          <w:tcPr>
            <w:tcW w:type="dxa" w:w="52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Cancellations</w:t>
            </w:r>
          </w:p>
        </w:tc>
        <w:tc>
          <w:tcPr>
            <w:tcW w:type="dxa" w:w="41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[VALUE]</w:t>
            </w:r>
          </w:p>
        </w:tc>
      </w:tr>
      <w:tr>
        <w:tc>
          <w:tcPr>
            <w:tcW w:type="dxa" w:w="52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No-Shows</w:t>
            </w:r>
          </w:p>
        </w:tc>
        <w:tc>
          <w:tcPr>
            <w:tcW w:type="dxa" w:w="41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[VALUE]</w:t>
            </w:r>
          </w:p>
        </w:tc>
      </w:tr>
      <w:tr>
        <w:tc>
          <w:tcPr>
            <w:tcW w:type="dxa" w:w="52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Website Bookings (Cal.com)</w:t>
            </w:r>
          </w:p>
        </w:tc>
        <w:tc>
          <w:tcPr>
            <w:tcW w:type="dxa" w:w="41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[VALUE]</w:t>
            </w:r>
          </w:p>
        </w:tc>
      </w:tr>
      <w:tr>
        <w:tc>
          <w:tcPr>
            <w:tcW w:type="dxa" w:w="52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Phone Bookings (Madison AI)</w:t>
            </w:r>
          </w:p>
        </w:tc>
        <w:tc>
          <w:tcPr>
            <w:tcW w:type="dxa" w:w="41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[VALUE]</w:t>
            </w:r>
          </w:p>
        </w:tc>
      </w:tr>
      <w:tr>
        <w:tc>
          <w:tcPr>
            <w:tcW w:type="dxa" w:w="52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Net Confirmed Appointments</w:t>
            </w:r>
          </w:p>
        </w:tc>
        <w:tc>
          <w:tcPr>
            <w:tcW w:type="dxa" w:w="41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[VALUE]</w:t>
            </w:r>
          </w:p>
        </w:tc>
      </w:tr>
    </w:tbl>
    <w:p>
      <w:pPr>
        <w:shd w:fill="1B3A6B" w:val="clear"/>
        <w:spacing w:after="0" w:before="400"/>
      </w:pPr>
      <w:r>
        <w:rPr>
          <w:rFonts w:ascii="Arial" w:cs="Arial" w:eastAsia="Arial" w:hAnsi="Arial"/>
          <w:b/>
          <w:bCs/>
          <w:color w:val="C5D5EF"/>
          <w:sz w:val="26"/>
          <w:szCs w:val="26"/>
        </w:rPr>
        <w:t xml:space="preserve">  04  </w:t>
      </w: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Issues Encountered &amp; Resolved</w:t>
      </w:r>
    </w:p>
    <w:p>
      <w:pPr>
        <w:spacing w:after="6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All issues identified during the report period, including root cause and resolution status: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000"/>
        <w:gridCol w:w="2460"/>
        <w:gridCol w:w="1000"/>
      </w:tblGrid>
      <w:t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24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Resolution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</w:t>
            </w:r>
          </w:p>
        </w:tc>
        <w:tc>
          <w:tcPr>
            <w:tcW w:type="dxa" w:w="24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</w:t>
            </w:r>
          </w:p>
        </w:tc>
        <w:tc>
          <w:tcPr>
            <w:tcW w:type="dxa" w:w="24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</w:t>
            </w:r>
          </w:p>
        </w:tc>
        <w:tc>
          <w:tcPr>
            <w:tcW w:type="dxa" w:w="24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No Issues</w:t>
            </w:r>
          </w:p>
        </w:tc>
        <w:tc>
          <w:tcPr>
            <w:tcW w:type="dxa" w:w="79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AF7EE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If no issues were encountered this period, this section can be marked "No issues identified this month — all systems performed within normal parameters."</w:t>
            </w:r>
          </w:p>
        </w:tc>
      </w:tr>
    </w:tbl>
    <w:p>
      <w:pPr>
        <w:shd w:fill="1B3A6B" w:val="clear"/>
        <w:spacing w:after="0" w:before="400"/>
      </w:pPr>
      <w:r>
        <w:rPr>
          <w:rFonts w:ascii="Arial" w:cs="Arial" w:eastAsia="Arial" w:hAnsi="Arial"/>
          <w:b/>
          <w:bCs/>
          <w:color w:val="C5D5EF"/>
          <w:sz w:val="26"/>
          <w:szCs w:val="26"/>
        </w:rPr>
        <w:t xml:space="preserve">  05  </w:t>
      </w: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Actions Taken This Month</w:t>
      </w:r>
    </w:p>
    <w:p>
      <w:pPr>
        <w:spacing w:after="6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Maintenance and improvement activities completed this month by Kemper Design Services:</w:t>
      </w:r>
    </w:p>
    <w:p>
      <w:pPr>
        <w:spacing w:after="4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[ACTION TAKEN] — [DATE]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[ACTION TAKEN] — [DATE]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[ACTION TAKEN] — [DATE]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[ACTION TAKEN] — [DATE]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[ACTION TAKEN] — [DATE]</w:t>
      </w:r>
    </w:p>
    <w:p>
      <w:pPr>
        <w:spacing w:after="4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Replace each placeholder with a brief description of the actual maintenance action performed (e.g., "Reviewed 42 call transcripts for missed intents — none identified," or "Updated AI confirmation message wording per client request.").</w:t>
      </w:r>
    </w:p>
    <w:p>
      <w:pPr>
        <w:shd w:fill="1B3A6B" w:val="clear"/>
        <w:spacing w:after="0" w:before="400"/>
      </w:pPr>
      <w:r>
        <w:rPr>
          <w:rFonts w:ascii="Arial" w:cs="Arial" w:eastAsia="Arial" w:hAnsi="Arial"/>
          <w:b/>
          <w:bCs/>
          <w:color w:val="C5D5EF"/>
          <w:sz w:val="26"/>
          <w:szCs w:val="26"/>
        </w:rPr>
        <w:t xml:space="preserve">  06  </w:t>
      </w: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Recommended Actions for Next Month</w:t>
      </w:r>
    </w:p>
    <w:p>
      <w:pPr>
        <w:spacing w:after="6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Recommendations from Kemper Design Services for the upcoming month:</w:t>
      </w:r>
    </w:p>
    <w:p>
      <w:pPr>
        <w:spacing w:after="4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[RECOMMENDATION] — [REASON]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[RECOMMENDATION] — [REASON]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[RECOMMENDATION] — [REASON]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[RECOMMENDATION] — [REASON]</w:t>
      </w:r>
    </w:p>
    <w:p>
      <w:pPr>
        <w:shd w:fill="1B3A6B" w:val="clear"/>
        <w:spacing w:after="0" w:before="400"/>
      </w:pPr>
      <w:r>
        <w:rPr>
          <w:rFonts w:ascii="Arial" w:cs="Arial" w:eastAsia="Arial" w:hAnsi="Arial"/>
          <w:b/>
          <w:bCs/>
          <w:color w:val="C5D5EF"/>
          <w:sz w:val="26"/>
          <w:szCs w:val="26"/>
        </w:rPr>
        <w:t xml:space="preserve">  07  </w:t>
      </w: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Platform Health Checklist</w:t>
      </w:r>
    </w:p>
    <w:p>
      <w:pPr>
        <w:spacing w:after="6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Monthly maintenance tasks completed this period: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800"/>
        <w:gridCol w:w="800"/>
      </w:tblGrid>
      <w:tr>
        <w:tc>
          <w:tcPr>
            <w:tcW w:type="dxa" w:w="7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Maintenance Task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77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Retell AI agent call transcript review (random sample of 10+ calls)</w:t>
            </w:r>
          </w:p>
        </w:tc>
        <w:tc>
          <w:tcPr>
            <w:tcW w:type="dxa" w:w="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7EE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Completed</w:t>
            </w:r>
          </w:p>
        </w:tc>
        <w:tc>
          <w:tcPr>
            <w:tcW w:type="dxa" w:w="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7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Retell AI missed intent and fallback rate review</w:t>
            </w:r>
          </w:p>
        </w:tc>
        <w:tc>
          <w:tcPr>
            <w:tcW w:type="dxa" w:w="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7EE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Completed</w:t>
            </w:r>
          </w:p>
        </w:tc>
        <w:tc>
          <w:tcPr>
            <w:tcW w:type="dxa" w:w="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7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Twilio call log audit — routing, failed calls, error codes</w:t>
            </w:r>
          </w:p>
        </w:tc>
        <w:tc>
          <w:tcPr>
            <w:tcW w:type="dxa" w:w="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7EE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Completed</w:t>
            </w:r>
          </w:p>
        </w:tc>
        <w:tc>
          <w:tcPr>
            <w:tcW w:type="dxa" w:w="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7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Twilio SMS delivery log check — failed message investigation</w:t>
            </w:r>
          </w:p>
        </w:tc>
        <w:tc>
          <w:tcPr>
            <w:tcW w:type="dxa" w:w="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7EE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Completed</w:t>
            </w:r>
          </w:p>
        </w:tc>
        <w:tc>
          <w:tcPr>
            <w:tcW w:type="dxa" w:w="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7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Google Calendar sync verification — booking accuracy check</w:t>
            </w:r>
          </w:p>
        </w:tc>
        <w:tc>
          <w:tcPr>
            <w:tcW w:type="dxa" w:w="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7EE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Completed</w:t>
            </w:r>
          </w:p>
        </w:tc>
        <w:tc>
          <w:tcPr>
            <w:tcW w:type="dxa" w:w="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7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Google Sheets data integrity check — column mapping, row completeness</w:t>
            </w:r>
          </w:p>
        </w:tc>
        <w:tc>
          <w:tcPr>
            <w:tcW w:type="dxa" w:w="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7EE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Completed</w:t>
            </w:r>
          </w:p>
        </w:tc>
        <w:tc>
          <w:tcPr>
            <w:tcW w:type="dxa" w:w="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7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Cal.com availability sync with Google Calendar verification</w:t>
            </w:r>
          </w:p>
        </w:tc>
        <w:tc>
          <w:tcPr>
            <w:tcW w:type="dxa" w:w="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7EE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Completed</w:t>
            </w:r>
          </w:p>
        </w:tc>
        <w:tc>
          <w:tcPr>
            <w:tcW w:type="dxa" w:w="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7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AI agent conversation quality review — tone, accuracy, patient experience</w:t>
            </w:r>
          </w:p>
        </w:tc>
        <w:tc>
          <w:tcPr>
            <w:tcW w:type="dxa" w:w="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7EE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Completed</w:t>
            </w:r>
          </w:p>
        </w:tc>
        <w:tc>
          <w:tcPr>
            <w:tcW w:type="dxa" w:w="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7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Minor script adjustments (if any)</w:t>
            </w:r>
          </w:p>
        </w:tc>
        <w:tc>
          <w:tcPr>
            <w:tcW w:type="dxa" w:w="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7EE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Completed</w:t>
            </w:r>
          </w:p>
        </w:tc>
        <w:tc>
          <w:tcPr>
            <w:tcW w:type="dxa" w:w="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7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System uptime monitoring review — no undetected outages</w:t>
            </w:r>
          </w:p>
        </w:tc>
        <w:tc>
          <w:tcPr>
            <w:tcW w:type="dxa" w:w="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7EE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Completed</w:t>
            </w:r>
          </w:p>
        </w:tc>
        <w:tc>
          <w:tcPr>
            <w:tcW w:type="dxa" w:w="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7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Monthly performance report prepared and delivered to client</w:t>
            </w:r>
          </w:p>
        </w:tc>
        <w:tc>
          <w:tcPr>
            <w:tcW w:type="dxa" w:w="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7EE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Completed</w:t>
            </w:r>
          </w:p>
        </w:tc>
        <w:tc>
          <w:tcPr>
            <w:tcW w:type="dxa" w:w="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 </w:t>
            </w:r>
          </w:p>
        </w:tc>
      </w:tr>
    </w:tbl>
    <w:p>
      <w:pPr>
        <w:shd w:fill="1B3A6B" w:val="clear"/>
        <w:spacing w:after="0" w:before="400"/>
      </w:pPr>
      <w:r>
        <w:rPr>
          <w:rFonts w:ascii="Arial" w:cs="Arial" w:eastAsia="Arial" w:hAnsi="Arial"/>
          <w:b/>
          <w:bCs/>
          <w:color w:val="C5D5EF"/>
          <w:sz w:val="26"/>
          <w:szCs w:val="26"/>
        </w:rPr>
        <w:t xml:space="preserve">  08  </w:t>
      </w: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Notes from Kemper Design Services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AF0FB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B3A6B"/>
                <w:sz w:val="20"/>
                <w:szCs w:val="20"/>
              </w:rPr>
              <w:t xml:space="preserve">Open Notes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[Add custom notes for this month here. This is a free-form area for anything worth sharing with the client that does not fit neatly into the sections above — observations, upcoming changes, suggestions, or context about the numbers.]</w:t>
            </w:r>
          </w:p>
          <w:p>
            <w:r>
              <w:rPr>
                <w:sz w:val="40"/>
                <w:szCs w:val="40"/>
              </w:rPr>
              <w:t xml:space="preserve"> </w:t>
            </w:r>
          </w:p>
          <w:p>
            <w:r>
              <w:rPr>
                <w:sz w:val="40"/>
                <w:szCs w:val="40"/>
              </w:rPr>
              <w:t xml:space="preserve"> </w:t>
            </w:r>
          </w:p>
        </w:tc>
      </w:tr>
    </w:tbl>
    <w:p>
      <w:pPr>
        <w:shd w:fill="1B3A6B" w:val="clear"/>
        <w:spacing w:after="0" w:before="400"/>
      </w:pPr>
      <w:r>
        <w:rPr>
          <w:rFonts w:ascii="Arial" w:cs="Arial" w:eastAsia="Arial" w:hAnsi="Arial"/>
          <w:b/>
          <w:bCs/>
          <w:color w:val="C5D5EF"/>
          <w:sz w:val="26"/>
          <w:szCs w:val="26"/>
        </w:rPr>
        <w:t xml:space="preserve">  09  </w:t>
      </w: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Next Report Due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5D5EF"/>
                <w:sz w:val="22"/>
                <w:szCs w:val="22"/>
              </w:rPr>
              <w:t xml:space="preserve">Next Monthly Report Due: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[NEXT REPORT DATE]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5D5EF"/>
                <w:sz w:val="20"/>
                <w:szCs w:val="20"/>
              </w:rPr>
              <w:t xml:space="preserve">Questions about this report? Email </w:t>
            </w: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kemperdesignservices@gmail.com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C5D5EF"/>
                <w:sz w:val="19"/>
                <w:szCs w:val="19"/>
              </w:rPr>
              <w:t xml:space="preserve">Response within 1 business day.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5EF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Confidential — Monthly Report prepared by Kemper Design Services for Apex Regenerative Hair Center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aps/>
        <w:color w:val="1B3A6B"/>
        <w:sz w:val="18"/>
        <w:szCs w:val="18"/>
      </w:rPr>
      <w:t xml:space="preserve">KEMPER DESIGN SERVICES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Monthly System Report — Apex Regenerative Hair Center</w:t>
    </w:r>
  </w:p>
  <w:p>
    <w:pPr>
      <w:pBdr>
        <w:bottom w:val="single" w:color="1B3A6B" w:sz="6" w:space="1"/>
      </w:pBdr>
      <w:spacing w:after="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2026-04-26T11:33:27.896Z</dcterms:created>
  <dcterms:modified xsi:type="dcterms:W3CDTF">2026-04-26T11:33:27.897Z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