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40"/>
        <w:jc w:val="center"/>
      </w:pPr>
      <w:r>
        <w:rPr>
          <w:rFonts w:ascii="Arial" w:cs="Arial" w:eastAsia="Arial" w:hAnsi="Arial"/>
          <w:b/>
          <w:bCs/>
          <w:caps/>
          <w:color w:val="FFFFFF"/>
          <w:sz w:val="44"/>
          <w:szCs w:val="44"/>
        </w:rPr>
        <w:t xml:space="preserve">BUSINESS ASSOCIATE AGREEMENT</w:t>
      </w:r>
    </w:p>
    <w:p>
      <w:pPr>
        <w:shd w:fill="B8860B" w:val="clear"/>
        <w:spacing w:after="0" w:before="0"/>
      </w:pPr>
      <w:r>
        <w:rPr>
          <w:sz w:val="12"/>
          <w:szCs w:val="12"/>
        </w:rPr>
        <w:t xml:space="preserve"> </w:t>
      </w:r>
    </w:p>
    <w:p>
      <w:pPr>
        <w:shd w:fill="1B3A6B" w:val="clear"/>
        <w:spacing w:after="300" w:before="0"/>
        <w:jc w:val="center"/>
      </w:pPr>
      <w:r>
        <w:rPr>
          <w:rFonts w:ascii="Arial" w:cs="Arial" w:eastAsia="Arial" w:hAnsi="Arial"/>
          <w:color w:val="C5D5EF"/>
          <w:sz w:val="20"/>
          <w:szCs w:val="20"/>
        </w:rPr>
        <w:t xml:space="preserve">HIPAA Compliance Framework</w:t>
      </w:r>
    </w:p>
    <w:p>
      <w:pPr>
        <w:spacing w:after="60" w:before="80"/>
      </w:pPr>
      <w:r>
        <w:t xml:space="preserve"/>
      </w:r>
    </w:p>
    <w:p>
      <w:pPr>
        <w:pBdr>
          <w:top w:val="single" w:color="8B1A1A" w:sz="6" w:space="1"/>
          <w:bottom w:val="single" w:color="8B1A1A" w:sz="6" w:space="1"/>
          <w:left w:val="single" w:color="8B1A1A" w:sz="6" w:space="1"/>
          <w:right w:val="single" w:color="8B1A1A" w:sz="6" w:space="1"/>
        </w:pBdr>
        <w:shd w:fill="FDEAEA" w:val="clear"/>
        <w:spacing w:after="80" w:before="80"/>
        <w:ind w:left="200" w:right="200"/>
      </w:pPr>
      <w:r>
        <w:rPr>
          <w:rFonts w:ascii="Arial" w:cs="Arial" w:eastAsia="Arial" w:hAnsi="Arial"/>
          <w:b/>
          <w:bCs/>
          <w:caps/>
          <w:color w:val="8B1A1A"/>
          <w:sz w:val="22"/>
          <w:szCs w:val="22"/>
        </w:rPr>
        <w:t xml:space="preserve">REQUIRED AGREEMENT</w:t>
      </w:r>
      <w:r>
        <w:rPr>
          <w:rFonts w:ascii="Arial" w:cs="Arial" w:eastAsia="Arial" w:hAnsi="Arial"/>
          <w:color w:val="2D2D2D"/>
          <w:sz w:val="20"/>
          <w:szCs w:val="20"/>
        </w:rPr>
        <w:t xml:space="preserve">
This Business Associate Agreement (BAA) is required by HIPAA regulations 45 CFR §160 and §164. Your healthcare practice must execute this agreement with all vendors who access, use, or disclose Protected Health Information (PHI).</w:t>
      </w:r>
    </w:p>
    <w:p>
      <w:pPr>
        <w:shd w:fill="1B3A6B" w:val="clear"/>
        <w:spacing w:after="80" w:before="240"/>
      </w:pPr>
      <w:r>
        <w:rPr>
          <w:rFonts w:ascii="Arial" w:cs="Arial" w:eastAsia="Arial" w:hAnsi="Arial"/>
          <w:b/>
          <w:bCs/>
          <w:caps/>
          <w:color w:val="FFFFFF"/>
          <w:sz w:val="26"/>
          <w:szCs w:val="26"/>
        </w:rPr>
        <w:t xml:space="preserve">  1. Definitions</w:t>
      </w:r>
    </w:p>
    <w:p>
      <w:pPr>
        <w:spacing w:after="60" w:before="60"/>
      </w:pPr>
      <w:r>
        <w:rPr>
          <w:rFonts w:ascii="Arial" w:cs="Arial" w:eastAsia="Arial" w:hAnsi="Arial"/>
          <w:b w:val="false"/>
          <w:bCs w:val="false"/>
          <w:color w:val="2D2D2D"/>
          <w:sz w:val="22"/>
          <w:szCs w:val="22"/>
        </w:rPr>
        <w:t xml:space="preserve">Protected Health Information (PHI): Any information in a medical record or health plan that can identify an individual patient, including names, birthdates, phone numbers, and health conditions.</w:t>
      </w:r>
    </w:p>
    <w:p>
      <w:pPr>
        <w:spacing w:after="60" w:before="60"/>
      </w:pPr>
      <w:r>
        <w:rPr>
          <w:rFonts w:ascii="Arial" w:cs="Arial" w:eastAsia="Arial" w:hAnsi="Arial"/>
          <w:b w:val="false"/>
          <w:bCs w:val="false"/>
          <w:color w:val="2D2D2D"/>
          <w:sz w:val="22"/>
          <w:szCs w:val="22"/>
        </w:rPr>
        <w:t xml:space="preserve">Business Associate: Kemper Design Services, providing AI consulting services that may involve access to or disclosure of PHI.</w:t>
      </w:r>
    </w:p>
    <w:p>
      <w:pPr>
        <w:spacing w:after="60" w:before="60"/>
      </w:pPr>
      <w:r>
        <w:rPr>
          <w:rFonts w:ascii="Arial" w:cs="Arial" w:eastAsia="Arial" w:hAnsi="Arial"/>
          <w:b w:val="false"/>
          <w:bCs w:val="false"/>
          <w:color w:val="2D2D2D"/>
          <w:sz w:val="22"/>
          <w:szCs w:val="22"/>
        </w:rPr>
        <w:t xml:space="preserve">Covered Entity: Your healthcare practice (the Client).</w:t>
      </w:r>
    </w:p>
    <w:p>
      <w:pPr>
        <w:shd w:fill="1B3A6B" w:val="clear"/>
        <w:spacing w:after="80" w:before="240"/>
      </w:pPr>
      <w:r>
        <w:rPr>
          <w:rFonts w:ascii="Arial" w:cs="Arial" w:eastAsia="Arial" w:hAnsi="Arial"/>
          <w:b/>
          <w:bCs/>
          <w:caps/>
          <w:color w:val="FFFFFF"/>
          <w:sz w:val="26"/>
          <w:szCs w:val="26"/>
        </w:rPr>
        <w:t xml:space="preserve">  2. Services &amp; PHI Access</w:t>
      </w:r>
    </w:p>
    <w:p>
      <w:pPr>
        <w:spacing w:after="60" w:before="60"/>
      </w:pPr>
      <w:r>
        <w:rPr>
          <w:rFonts w:ascii="Arial" w:cs="Arial" w:eastAsia="Arial" w:hAnsi="Arial"/>
          <w:b w:val="false"/>
          <w:bCs w:val="false"/>
          <w:color w:val="2D2D2D"/>
          <w:sz w:val="22"/>
          <w:szCs w:val="22"/>
        </w:rPr>
        <w:t xml:space="preserve">Kemper Design Services will access PHI only to the extent necessary to:</w:t>
      </w:r>
    </w:p>
    <w:p>
      <w:pPr>
        <w:spacing w:after="60" w:before="60"/>
      </w:pPr>
      <w:r>
        <w:rPr>
          <w:rFonts w:ascii="Arial" w:cs="Arial" w:eastAsia="Arial" w:hAnsi="Arial"/>
          <w:b w:val="false"/>
          <w:bCs w:val="false"/>
          <w:color w:val="2D2D2D"/>
          <w:sz w:val="21"/>
          <w:szCs w:val="21"/>
        </w:rPr>
        <w:t xml:space="preserve">• Design and deploy the AI voice receptionist system (Madison)</w:t>
      </w:r>
    </w:p>
    <w:p>
      <w:pPr>
        <w:spacing w:after="60" w:before="60"/>
      </w:pPr>
      <w:r>
        <w:rPr>
          <w:rFonts w:ascii="Arial" w:cs="Arial" w:eastAsia="Arial" w:hAnsi="Arial"/>
          <w:b w:val="false"/>
          <w:bCs w:val="false"/>
          <w:color w:val="2D2D2D"/>
          <w:sz w:val="21"/>
          <w:szCs w:val="21"/>
        </w:rPr>
        <w:t xml:space="preserve">• Configure Google Calendar, Sheets, and scheduling systems</w:t>
      </w:r>
    </w:p>
    <w:p>
      <w:pPr>
        <w:spacing w:after="60" w:before="60"/>
      </w:pPr>
      <w:r>
        <w:rPr>
          <w:rFonts w:ascii="Arial" w:cs="Arial" w:eastAsia="Arial" w:hAnsi="Arial"/>
          <w:b w:val="false"/>
          <w:bCs w:val="false"/>
          <w:color w:val="2D2D2D"/>
          <w:sz w:val="21"/>
          <w:szCs w:val="21"/>
        </w:rPr>
        <w:t xml:space="preserve">• Perform system maintenance, monitoring, and updates</w:t>
      </w:r>
    </w:p>
    <w:p>
      <w:pPr>
        <w:spacing w:after="60" w:before="60"/>
      </w:pPr>
      <w:r>
        <w:rPr>
          <w:rFonts w:ascii="Arial" w:cs="Arial" w:eastAsia="Arial" w:hAnsi="Arial"/>
          <w:b w:val="false"/>
          <w:bCs w:val="false"/>
          <w:color w:val="2D2D2D"/>
          <w:sz w:val="21"/>
          <w:szCs w:val="21"/>
        </w:rPr>
        <w:t xml:space="preserve">• Log call outcomes and patient data in your systems</w:t>
      </w:r>
    </w:p>
    <w:p>
      <w:pPr>
        <w:shd w:fill="1B3A6B" w:val="clear"/>
        <w:spacing w:after="80" w:before="240"/>
      </w:pPr>
      <w:r>
        <w:rPr>
          <w:rFonts w:ascii="Arial" w:cs="Arial" w:eastAsia="Arial" w:hAnsi="Arial"/>
          <w:b/>
          <w:bCs/>
          <w:caps/>
          <w:color w:val="FFFFFF"/>
          <w:sz w:val="26"/>
          <w:szCs w:val="26"/>
        </w:rPr>
        <w:t xml:space="preserve">  3. Security Safeguards</w:t>
      </w:r>
    </w:p>
    <w:p>
      <w:pPr>
        <w:spacing w:after="60" w:before="60"/>
      </w:pPr>
      <w:r>
        <w:rPr>
          <w:rFonts w:ascii="Arial" w:cs="Arial" w:eastAsia="Arial" w:hAnsi="Arial"/>
          <w:b w:val="false"/>
          <w:bCs w:val="false"/>
          <w:color w:val="2D2D2D"/>
          <w:sz w:val="22"/>
          <w:szCs w:val="22"/>
        </w:rPr>
        <w:t xml:space="preserve">Kemper Design Services agrees to implement and maintain the following safeguards:</w:t>
      </w:r>
    </w:p>
    <w:p>
      <w:pPr>
        <w:spacing w:after="60" w:before="60"/>
      </w:pPr>
      <w:r>
        <w:rPr>
          <w:rFonts w:ascii="Arial" w:cs="Arial" w:eastAsia="Arial" w:hAnsi="Arial"/>
          <w:b w:val="false"/>
          <w:bCs w:val="false"/>
          <w:color w:val="2D2D2D"/>
          <w:sz w:val="21"/>
          <w:szCs w:val="21"/>
        </w:rPr>
        <w:t xml:space="preserve">• Limit PHI access to only employees who need it for stated purposes</w:t>
      </w:r>
    </w:p>
    <w:p>
      <w:pPr>
        <w:spacing w:after="60" w:before="60"/>
      </w:pPr>
      <w:r>
        <w:rPr>
          <w:rFonts w:ascii="Arial" w:cs="Arial" w:eastAsia="Arial" w:hAnsi="Arial"/>
          <w:b w:val="false"/>
          <w:bCs w:val="false"/>
          <w:color w:val="2D2D2D"/>
          <w:sz w:val="21"/>
          <w:szCs w:val="21"/>
        </w:rPr>
        <w:t xml:space="preserve">• Encrypt all PHI in transit (TLS 1.2+) and at rest (AES-256)</w:t>
      </w:r>
    </w:p>
    <w:p>
      <w:pPr>
        <w:spacing w:after="60" w:before="60"/>
      </w:pPr>
      <w:r>
        <w:rPr>
          <w:rFonts w:ascii="Arial" w:cs="Arial" w:eastAsia="Arial" w:hAnsi="Arial"/>
          <w:b w:val="false"/>
          <w:bCs w:val="false"/>
          <w:color w:val="2D2D2D"/>
          <w:sz w:val="21"/>
          <w:szCs w:val="21"/>
        </w:rPr>
        <w:t xml:space="preserve">• Use secure authentication (OAuth 2.0, multi-factor authentication)</w:t>
      </w:r>
    </w:p>
    <w:p>
      <w:pPr>
        <w:spacing w:after="60" w:before="60"/>
      </w:pPr>
      <w:r>
        <w:rPr>
          <w:rFonts w:ascii="Arial" w:cs="Arial" w:eastAsia="Arial" w:hAnsi="Arial"/>
          <w:b w:val="false"/>
          <w:bCs w:val="false"/>
          <w:color w:val="2D2D2D"/>
          <w:sz w:val="21"/>
          <w:szCs w:val="21"/>
        </w:rPr>
        <w:t xml:space="preserve">• Audit and monitor all PHI access via system logs</w:t>
      </w:r>
    </w:p>
    <w:p>
      <w:pPr>
        <w:spacing w:after="60" w:before="60"/>
      </w:pPr>
      <w:r>
        <w:rPr>
          <w:rFonts w:ascii="Arial" w:cs="Arial" w:eastAsia="Arial" w:hAnsi="Arial"/>
          <w:b w:val="false"/>
          <w:bCs w:val="false"/>
          <w:color w:val="2D2D2D"/>
          <w:sz w:val="21"/>
          <w:szCs w:val="21"/>
        </w:rPr>
        <w:t xml:space="preserve">• Conduct annual security risk assessments</w:t>
      </w:r>
    </w:p>
    <w:p>
      <w:pPr>
        <w:shd w:fill="1B3A6B" w:val="clear"/>
        <w:spacing w:after="80" w:before="240"/>
      </w:pPr>
      <w:r>
        <w:rPr>
          <w:rFonts w:ascii="Arial" w:cs="Arial" w:eastAsia="Arial" w:hAnsi="Arial"/>
          <w:b/>
          <w:bCs/>
          <w:caps/>
          <w:color w:val="FFFFFF"/>
          <w:sz w:val="26"/>
          <w:szCs w:val="26"/>
        </w:rPr>
        <w:t xml:space="preserve">  4. Permitted Uses &amp; Disclosures</w:t>
      </w:r>
    </w:p>
    <w:p>
      <w:pPr>
        <w:spacing w:after="60" w:before="60"/>
      </w:pPr>
      <w:r>
        <w:rPr>
          <w:rFonts w:ascii="Arial" w:cs="Arial" w:eastAsia="Arial" w:hAnsi="Arial"/>
          <w:b w:val="false"/>
          <w:bCs w:val="false"/>
          <w:color w:val="2D2D2D"/>
          <w:sz w:val="22"/>
          <w:szCs w:val="22"/>
        </w:rPr>
        <w:t xml:space="preserve">PHI may be used or disclosed only:</w:t>
      </w:r>
    </w:p>
    <w:p>
      <w:pPr>
        <w:spacing w:after="60" w:before="60"/>
      </w:pPr>
      <w:r>
        <w:rPr>
          <w:rFonts w:ascii="Arial" w:cs="Arial" w:eastAsia="Arial" w:hAnsi="Arial"/>
          <w:b w:val="false"/>
          <w:bCs w:val="false"/>
          <w:color w:val="2D2D2D"/>
          <w:sz w:val="21"/>
          <w:szCs w:val="21"/>
        </w:rPr>
        <w:t xml:space="preserve">• As necessary to provide the agreed-upon services</w:t>
      </w:r>
    </w:p>
    <w:p>
      <w:pPr>
        <w:spacing w:after="60" w:before="60"/>
      </w:pPr>
      <w:r>
        <w:rPr>
          <w:rFonts w:ascii="Arial" w:cs="Arial" w:eastAsia="Arial" w:hAnsi="Arial"/>
          <w:b w:val="false"/>
          <w:bCs w:val="false"/>
          <w:color w:val="2D2D2D"/>
          <w:sz w:val="21"/>
          <w:szCs w:val="21"/>
        </w:rPr>
        <w:t xml:space="preserve">• As required by law, with notice to Covered Entity</w:t>
      </w:r>
    </w:p>
    <w:p>
      <w:pPr>
        <w:spacing w:after="60" w:before="60"/>
      </w:pPr>
      <w:r>
        <w:rPr>
          <w:rFonts w:ascii="Arial" w:cs="Arial" w:eastAsia="Arial" w:hAnsi="Arial"/>
          <w:b w:val="false"/>
          <w:bCs w:val="false"/>
          <w:color w:val="2D2D2D"/>
          <w:sz w:val="21"/>
          <w:szCs w:val="21"/>
        </w:rPr>
        <w:t xml:space="preserve">• To protect public health or safety emergencies</w:t>
      </w:r>
    </w:p>
    <w:p>
      <w:pPr>
        <w:shd w:fill="1B3A6B" w:val="clear"/>
        <w:spacing w:after="80" w:before="240"/>
      </w:pPr>
      <w:r>
        <w:rPr>
          <w:rFonts w:ascii="Arial" w:cs="Arial" w:eastAsia="Arial" w:hAnsi="Arial"/>
          <w:b/>
          <w:bCs/>
          <w:caps/>
          <w:color w:val="FFFFFF"/>
          <w:sz w:val="26"/>
          <w:szCs w:val="26"/>
        </w:rPr>
        <w:t xml:space="preserve">  5. Breach Notification</w:t>
      </w:r>
    </w:p>
    <w:p>
      <w:pPr>
        <w:spacing w:after="60" w:before="60"/>
      </w:pPr>
      <w:r>
        <w:rPr>
          <w:rFonts w:ascii="Arial" w:cs="Arial" w:eastAsia="Arial" w:hAnsi="Arial"/>
          <w:b w:val="false"/>
          <w:bCs w:val="false"/>
          <w:color w:val="2D2D2D"/>
          <w:sz w:val="22"/>
          <w:szCs w:val="22"/>
        </w:rPr>
        <w:t xml:space="preserve">If unauthorized access to PHI occurs, Kemper Design Services will:</w:t>
      </w:r>
    </w:p>
    <w:p>
      <w:pPr>
        <w:spacing w:after="60" w:before="60"/>
      </w:pPr>
      <w:r>
        <w:rPr>
          <w:rFonts w:ascii="Arial" w:cs="Arial" w:eastAsia="Arial" w:hAnsi="Arial"/>
          <w:b w:val="false"/>
          <w:bCs w:val="false"/>
          <w:color w:val="2D2D2D"/>
          <w:sz w:val="21"/>
          <w:szCs w:val="21"/>
        </w:rPr>
        <w:t xml:space="preserve">• Notify Covered Entity without unreasonable delay (within 24 hours)</w:t>
      </w:r>
    </w:p>
    <w:p>
      <w:pPr>
        <w:spacing w:after="60" w:before="60"/>
      </w:pPr>
      <w:r>
        <w:rPr>
          <w:rFonts w:ascii="Arial" w:cs="Arial" w:eastAsia="Arial" w:hAnsi="Arial"/>
          <w:b w:val="false"/>
          <w:bCs w:val="false"/>
          <w:color w:val="2D2D2D"/>
          <w:sz w:val="21"/>
          <w:szCs w:val="21"/>
        </w:rPr>
        <w:t xml:space="preserve">• Provide details of affected individuals and PHI types</w:t>
      </w:r>
    </w:p>
    <w:p>
      <w:pPr>
        <w:spacing w:after="60" w:before="60"/>
      </w:pPr>
      <w:r>
        <w:rPr>
          <w:rFonts w:ascii="Arial" w:cs="Arial" w:eastAsia="Arial" w:hAnsi="Arial"/>
          <w:b w:val="false"/>
          <w:bCs w:val="false"/>
          <w:color w:val="2D2D2D"/>
          <w:sz w:val="21"/>
          <w:szCs w:val="21"/>
        </w:rPr>
        <w:t xml:space="preserve">• Cooperate with breach investigation and notification to patients</w:t>
      </w:r>
    </w:p>
    <w:p>
      <w:pPr>
        <w:spacing w:after="60" w:before="60"/>
      </w:pPr>
      <w:r>
        <w:rPr>
          <w:rFonts w:ascii="Arial" w:cs="Arial" w:eastAsia="Arial" w:hAnsi="Arial"/>
          <w:b w:val="false"/>
          <w:bCs w:val="false"/>
          <w:color w:val="2D2D2D"/>
          <w:sz w:val="21"/>
          <w:szCs w:val="21"/>
        </w:rPr>
        <w:t xml:space="preserve">• Assist with mitigation of harm</w:t>
      </w:r>
    </w:p>
    <w:p>
      <w:pPr>
        <w:shd w:fill="1B3A6B" w:val="clear"/>
        <w:spacing w:after="80" w:before="240"/>
      </w:pPr>
      <w:r>
        <w:rPr>
          <w:rFonts w:ascii="Arial" w:cs="Arial" w:eastAsia="Arial" w:hAnsi="Arial"/>
          <w:b/>
          <w:bCs/>
          <w:caps/>
          <w:color w:val="FFFFFF"/>
          <w:sz w:val="26"/>
          <w:szCs w:val="26"/>
        </w:rPr>
        <w:t xml:space="preserve">  6. Data Ownership &amp; Return</w:t>
      </w:r>
    </w:p>
    <w:p>
      <w:pPr>
        <w:spacing w:after="60" w:before="60"/>
      </w:pPr>
      <w:r>
        <w:rPr>
          <w:rFonts w:ascii="Arial" w:cs="Arial" w:eastAsia="Arial" w:hAnsi="Arial"/>
          <w:b w:val="false"/>
          <w:bCs w:val="false"/>
          <w:color w:val="2D2D2D"/>
          <w:sz w:val="22"/>
          <w:szCs w:val="22"/>
        </w:rPr>
        <w:t xml:space="preserve">All PHI remains the property of Covered Entity. Upon termination or request, Kemper Design Services will:</w:t>
      </w:r>
    </w:p>
    <w:p>
      <w:pPr>
        <w:spacing w:after="60" w:before="60"/>
      </w:pPr>
      <w:r>
        <w:rPr>
          <w:rFonts w:ascii="Arial" w:cs="Arial" w:eastAsia="Arial" w:hAnsi="Arial"/>
          <w:b w:val="false"/>
          <w:bCs w:val="false"/>
          <w:color w:val="2D2D2D"/>
          <w:sz w:val="21"/>
          <w:szCs w:val="21"/>
        </w:rPr>
        <w:t xml:space="preserve">• Return or securely destroy all PHI in its possession</w:t>
      </w:r>
    </w:p>
    <w:p>
      <w:pPr>
        <w:spacing w:after="60" w:before="60"/>
      </w:pPr>
      <w:r>
        <w:rPr>
          <w:rFonts w:ascii="Arial" w:cs="Arial" w:eastAsia="Arial" w:hAnsi="Arial"/>
          <w:b w:val="false"/>
          <w:bCs w:val="false"/>
          <w:color w:val="2D2D2D"/>
          <w:sz w:val="21"/>
          <w:szCs w:val="21"/>
        </w:rPr>
        <w:t xml:space="preserve">• Certify completion in writing within 30 days</w:t>
      </w:r>
    </w:p>
    <w:p>
      <w:pPr>
        <w:shd w:fill="1B3A6B" w:val="clear"/>
        <w:spacing w:after="80" w:before="240"/>
      </w:pPr>
      <w:r>
        <w:rPr>
          <w:rFonts w:ascii="Arial" w:cs="Arial" w:eastAsia="Arial" w:hAnsi="Arial"/>
          <w:b/>
          <w:bCs/>
          <w:caps/>
          <w:color w:val="FFFFFF"/>
          <w:sz w:val="26"/>
          <w:szCs w:val="26"/>
        </w:rPr>
        <w:t xml:space="preserve">  7. Term &amp; Termination</w:t>
      </w:r>
    </w:p>
    <w:p>
      <w:pPr>
        <w:spacing w:after="60" w:before="60"/>
      </w:pPr>
      <w:r>
        <w:rPr>
          <w:rFonts w:ascii="Arial" w:cs="Arial" w:eastAsia="Arial" w:hAnsi="Arial"/>
          <w:b w:val="false"/>
          <w:bCs w:val="false"/>
          <w:color w:val="2D2D2D"/>
          <w:sz w:val="22"/>
          <w:szCs w:val="22"/>
        </w:rPr>
        <w:t xml:space="preserve">This BAA is effective upon execution and continues for the duration of the service agreement. Either party may terminate for material breach with 30 days written notice and opportunity to cure.</w:t>
      </w:r>
    </w:p>
    <w:p>
      <w:pPr>
        <w:shd w:fill="1B3A6B" w:val="clear"/>
        <w:spacing w:after="80" w:before="240"/>
      </w:pPr>
      <w:r>
        <w:rPr>
          <w:rFonts w:ascii="Arial" w:cs="Arial" w:eastAsia="Arial" w:hAnsi="Arial"/>
          <w:b/>
          <w:bCs/>
          <w:caps/>
          <w:color w:val="FFFFFF"/>
          <w:sz w:val="26"/>
          <w:szCs w:val="26"/>
        </w:rPr>
        <w:t xml:space="preserve">  8. Subcontractors</w:t>
      </w:r>
    </w:p>
    <w:p>
      <w:pPr>
        <w:spacing w:after="60" w:before="60"/>
      </w:pPr>
      <w:r>
        <w:rPr>
          <w:rFonts w:ascii="Arial" w:cs="Arial" w:eastAsia="Arial" w:hAnsi="Arial"/>
          <w:b w:val="false"/>
          <w:bCs w:val="false"/>
          <w:color w:val="2D2D2D"/>
          <w:sz w:val="22"/>
          <w:szCs w:val="22"/>
        </w:rPr>
        <w:t xml:space="preserve">If Kemper Design Services uses subcontractors to access PHI (e.g., Retell AI, Twilio, Google), a written BAA must be in place with each subcontractor before access is granted.</w:t>
      </w:r>
    </w:p>
    <w:p>
      <w:pPr>
        <w:shd w:fill="1B3A6B" w:val="clear"/>
        <w:spacing w:after="80" w:before="240"/>
      </w:pPr>
      <w:r>
        <w:rPr>
          <w:rFonts w:ascii="Arial" w:cs="Arial" w:eastAsia="Arial" w:hAnsi="Arial"/>
          <w:b/>
          <w:bCs/>
          <w:caps/>
          <w:color w:val="FFFFFF"/>
          <w:sz w:val="26"/>
          <w:szCs w:val="26"/>
        </w:rPr>
        <w:t xml:space="preserve">  9. Compliance &amp; Monitoring</w:t>
      </w:r>
    </w:p>
    <w:p>
      <w:pPr>
        <w:spacing w:after="60" w:before="60"/>
      </w:pPr>
      <w:r>
        <w:rPr>
          <w:rFonts w:ascii="Arial" w:cs="Arial" w:eastAsia="Arial" w:hAnsi="Arial"/>
          <w:b w:val="false"/>
          <w:bCs w:val="false"/>
          <w:color w:val="2D2D2D"/>
          <w:sz w:val="22"/>
          <w:szCs w:val="22"/>
        </w:rPr>
        <w:t xml:space="preserve">Kemper Design Services will cooperate with Covered Entity's HIPAA compliance audits and provide documentation of security controls upon request.</w:t>
      </w:r>
    </w:p>
    <w:p>
      <w:pPr>
        <w:spacing w:after="80" w:before="120"/>
      </w:pPr>
      <w:r>
        <w:t xml:space="preserve"/>
      </w:r>
    </w:p>
    <w:p>
      <w:pPr>
        <w:spacing w:after="100" w:before="40"/>
      </w:pPr>
      <w:r>
        <w:rPr>
          <w:rFonts w:ascii="Arial" w:cs="Arial" w:eastAsia="Arial" w:hAnsi="Arial"/>
          <w:b/>
          <w:bCs/>
          <w:color w:val="1B3A6B"/>
          <w:sz w:val="22"/>
          <w:szCs w:val="22"/>
        </w:rPr>
        <w:t xml:space="preserve">ACKNOWLEDGED AND AGREED:</w:t>
      </w:r>
    </w:p>
    <w:p>
      <w:pPr>
        <w:spacing w:after="40" w:before="40"/>
      </w:pPr>
      <w:r>
        <w:t xml:space="preserve"/>
      </w:r>
    </w:p>
    <w:p>
      <w:pPr>
        <w:spacing w:after="100" w:before="40"/>
      </w:pPr>
      <w:r>
        <w:rPr>
          <w:rFonts w:ascii="Arial" w:cs="Arial" w:eastAsia="Arial" w:hAnsi="Arial"/>
          <w:b/>
          <w:bCs/>
          <w:color w:val="1B3A6B"/>
          <w:sz w:val="20"/>
          <w:szCs w:val="20"/>
        </w:rPr>
        <w:t xml:space="preserve">KEMPER DESIGN SERVICES</w:t>
      </w:r>
    </w:p>
    <w:p>
      <w:pPr>
        <w:pBdr>
          <w:bottom w:val="single" w:color="1B3A6B" w:sz="4" w:space="1"/>
        </w:pBdr>
        <w:spacing w:after="0" w:before="60"/>
      </w:pPr>
      <w:r>
        <w:rPr>
          <w:rFonts w:ascii="Arial" w:cs="Arial" w:eastAsia="Arial" w:hAnsi="Arial"/>
          <w:color w:val="555555"/>
          <w:sz w:val="18"/>
          <w:szCs w:val="18"/>
        </w:rPr>
        <w:t xml:space="preserve">Signature</w:t>
      </w:r>
    </w:p>
    <w:p>
      <w:pPr>
        <w:spacing w:after="100" w:before="40"/>
      </w:pPr>
      <w:r>
        <w:rPr>
          <w:rFonts w:ascii="Arial" w:cs="Arial" w:eastAsia="Arial" w:hAnsi="Arial"/>
          <w:color w:val="2D2D2D"/>
          <w:sz w:val="20"/>
          <w:szCs w:val="20"/>
        </w:rPr>
        <w:t xml:space="preserve">Damian Kemper, Principal | Date: _____________</w:t>
      </w:r>
    </w:p>
    <w:p>
      <w:pPr>
        <w:spacing w:after="40" w:before="40"/>
      </w:pPr>
      <w:r>
        <w:t xml:space="preserve"/>
      </w:r>
    </w:p>
    <w:p>
      <w:pPr>
        <w:spacing w:after="100" w:before="40"/>
      </w:pPr>
      <w:r>
        <w:rPr>
          <w:rFonts w:ascii="Arial" w:cs="Arial" w:eastAsia="Arial" w:hAnsi="Arial"/>
          <w:b/>
          <w:bCs/>
          <w:color w:val="1B3A6B"/>
          <w:sz w:val="20"/>
          <w:szCs w:val="20"/>
        </w:rPr>
        <w:t xml:space="preserve">COVERED ENTITY / CLIENT</w:t>
      </w:r>
    </w:p>
    <w:p>
      <w:pPr>
        <w:pBdr>
          <w:bottom w:val="single" w:color="1B3A6B" w:sz="4" w:space="1"/>
        </w:pBdr>
        <w:spacing w:after="0" w:before="60"/>
      </w:pPr>
      <w:r>
        <w:rPr>
          <w:rFonts w:ascii="Arial" w:cs="Arial" w:eastAsia="Arial" w:hAnsi="Arial"/>
          <w:color w:val="555555"/>
          <w:sz w:val="18"/>
          <w:szCs w:val="18"/>
        </w:rPr>
        <w:t xml:space="preserve">Signature</w:t>
      </w:r>
    </w:p>
    <w:p>
      <w:pPr>
        <w:spacing w:after="0" w:before="40"/>
      </w:pPr>
      <w:r>
        <w:rPr>
          <w:rFonts w:ascii="Arial" w:cs="Arial" w:eastAsia="Arial" w:hAnsi="Arial"/>
          <w:color w:val="2D2D2D"/>
          <w:sz w:val="20"/>
          <w:szCs w:val="20"/>
        </w:rPr>
        <w:t xml:space="preserve">Name/Title: _____________________________  Date: 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555555"/>
        <w:sz w:val="16"/>
        <w:szCs w:val="16"/>
      </w:rPr>
      <w:t xml:space="preserve">Confidential — HIPAA Business Associate Agreement</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KEMPER DESIGN SERVICES</w:t>
    </w:r>
    <w:r>
      <w:rPr>
        <w:rFonts w:ascii="Arial" w:cs="Arial" w:eastAsia="Arial" w:hAnsi="Arial"/>
      </w:rPr>
      <w:t xml:space="preserve">	</w:t>
    </w:r>
    <w:r>
      <w:rPr>
        <w:rFonts w:ascii="Arial" w:cs="Arial" w:eastAsia="Arial" w:hAnsi="Arial"/>
        <w:i/>
        <w:iCs/>
        <w:color w:val="555555"/>
        <w:sz w:val="18"/>
        <w:szCs w:val="18"/>
      </w:rPr>
      <w:t xml:space="preserve">Business Associate Agreement</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2026-04-26T17:42:45.055Z</dcterms:created>
  <dcterms:modified xsi:type="dcterms:W3CDTF">2026-04-26T17:42:45.055Z</dcterms:modified>
</cp:coreProperties>
</file>

<file path=docProps/custom.xml><?xml version="1.0" encoding="utf-8"?>
<Properties xmlns="http://schemas.openxmlformats.org/officeDocument/2006/custom-properties" xmlns:vt="http://schemas.openxmlformats.org/officeDocument/2006/docPropsVTypes"/>
</file>