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45409" w14:textId="28259864" w:rsidR="00E40D37" w:rsidRDefault="00E40D37" w:rsidP="00E40D3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3. Setting Up FBA Inputs</w:t>
      </w:r>
    </w:p>
    <w:p w14:paraId="14C8A38E" w14:textId="77777777" w:rsidR="00E40D37" w:rsidRDefault="00E40D37" w:rsidP="00E40D37">
      <w:pPr>
        <w:pStyle w:val="NoSpacing"/>
        <w:rPr>
          <w:rFonts w:ascii="Arial" w:hAnsi="Arial" w:cs="Arial"/>
          <w:sz w:val="24"/>
          <w:szCs w:val="24"/>
        </w:rPr>
      </w:pPr>
    </w:p>
    <w:p w14:paraId="70374098" w14:textId="421CCF6E" w:rsidR="00E40D37" w:rsidRDefault="00304335" w:rsidP="00E40D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folder within the “FBA-pipeline\Code + Models\fba\input” folder. For each FBA analysis you want to run, place a new copy of “_TEMPLATE_.xlsx” in this input folder, and provide each copy with a separate file name. The _TEMPLATE_ file provides instructions to the FBA code, and each tab in the file will be explained here.</w:t>
      </w:r>
    </w:p>
    <w:p w14:paraId="037A463E" w14:textId="77777777" w:rsidR="00867096" w:rsidRDefault="000A2D51" w:rsidP="00E40D37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Unless otherwise stated</w:t>
      </w:r>
      <w:r w:rsidR="00867096">
        <w:rPr>
          <w:rFonts w:ascii="Arial" w:hAnsi="Arial" w:cs="Arial"/>
          <w:sz w:val="24"/>
          <w:szCs w:val="24"/>
        </w:rPr>
        <w:t>:</w:t>
      </w:r>
    </w:p>
    <w:p w14:paraId="664E9636" w14:textId="1EF2ECFF" w:rsidR="000A2D51" w:rsidRDefault="00867096" w:rsidP="00867096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</w:t>
      </w:r>
      <w:r w:rsidR="000A2D51">
        <w:rPr>
          <w:rFonts w:ascii="Arial" w:hAnsi="Arial" w:cs="Arial"/>
          <w:sz w:val="24"/>
          <w:szCs w:val="24"/>
        </w:rPr>
        <w:t>tions can be chosen by placing a capital “X” in yellow cells.</w:t>
      </w:r>
    </w:p>
    <w:p w14:paraId="6F4882B7" w14:textId="54093596" w:rsidR="00B9332E" w:rsidRDefault="00B9332E" w:rsidP="00B9332E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 reactions can be entered by inputting the reaction formula with Recon3D metabolite names.</w:t>
      </w:r>
    </w:p>
    <w:p w14:paraId="0101ECEB" w14:textId="593DD688" w:rsidR="003101AE" w:rsidRDefault="003101AE" w:rsidP="00B9332E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cellular compartment for each metabolite (e.g. “nadph[c]”). To signify a reaction for every cellular compartment, wrap (“all( )”) around the reaction formula, and use empty compartment names for each metabolite (e.g. “nadph[]”)</w:t>
      </w:r>
      <w:r w:rsidR="00015EA6">
        <w:rPr>
          <w:rFonts w:ascii="Arial" w:hAnsi="Arial" w:cs="Arial"/>
          <w:sz w:val="24"/>
          <w:szCs w:val="24"/>
        </w:rPr>
        <w:t>.</w:t>
      </w:r>
    </w:p>
    <w:p w14:paraId="7AF0C449" w14:textId="3D18F1D2" w:rsidR="00B9332E" w:rsidRDefault="00B9332E" w:rsidP="00B9332E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a numerical stoichiometry for each metabolite in the formula. Separate all stoichiometries and reaction names with one space.</w:t>
      </w:r>
    </w:p>
    <w:p w14:paraId="48A75210" w14:textId="5C3BB349" w:rsidR="003101AE" w:rsidRPr="003101AE" w:rsidRDefault="003101AE" w:rsidP="003101AE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“--&gt;” for irreversible reactions, and “&lt;=&gt;” for reversible reactions.</w:t>
      </w:r>
    </w:p>
    <w:p w14:paraId="3A5FFB96" w14:textId="77777777" w:rsidR="00867096" w:rsidRDefault="00304335" w:rsidP="0086709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General</w:t>
      </w:r>
      <w:r>
        <w:rPr>
          <w:rFonts w:ascii="Arial" w:hAnsi="Arial" w:cs="Arial"/>
          <w:sz w:val="24"/>
          <w:szCs w:val="24"/>
        </w:rPr>
        <w:t xml:space="preserve"> – Here you choose which type of analysis to perform and provide analysis parameters.</w:t>
      </w:r>
      <w:r w:rsidR="000A2D51">
        <w:rPr>
          <w:rFonts w:ascii="Arial" w:hAnsi="Arial" w:cs="Arial"/>
          <w:sz w:val="24"/>
          <w:szCs w:val="24"/>
        </w:rPr>
        <w:t xml:space="preserve"> Options for type of analysis are:</w:t>
      </w:r>
    </w:p>
    <w:p w14:paraId="27FA74F1" w14:textId="77777777" w:rsidR="00867096" w:rsidRDefault="00304335" w:rsidP="00867096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867096">
        <w:rPr>
          <w:rFonts w:ascii="Arial" w:hAnsi="Arial" w:cs="Arial"/>
          <w:b/>
          <w:bCs/>
          <w:sz w:val="24"/>
          <w:szCs w:val="24"/>
        </w:rPr>
        <w:t>Objective function value</w:t>
      </w:r>
      <w:r w:rsidRPr="00867096">
        <w:rPr>
          <w:rFonts w:ascii="Arial" w:hAnsi="Arial" w:cs="Arial"/>
          <w:sz w:val="24"/>
          <w:szCs w:val="24"/>
        </w:rPr>
        <w:t xml:space="preserve"> – Only calculates the maximum objective function value for each sample</w:t>
      </w:r>
    </w:p>
    <w:p w14:paraId="4CC874E7" w14:textId="77777777" w:rsidR="00867096" w:rsidRDefault="00304335" w:rsidP="00867096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867096">
        <w:rPr>
          <w:rFonts w:ascii="Arial" w:hAnsi="Arial" w:cs="Arial"/>
          <w:b/>
          <w:bCs/>
          <w:sz w:val="24"/>
          <w:szCs w:val="24"/>
        </w:rPr>
        <w:t>Parsimonious FBA (pFBA)</w:t>
      </w:r>
      <w:r w:rsidRPr="00867096">
        <w:rPr>
          <w:rFonts w:ascii="Arial" w:hAnsi="Arial" w:cs="Arial"/>
          <w:sz w:val="24"/>
          <w:szCs w:val="24"/>
        </w:rPr>
        <w:t xml:space="preserve"> – pFBA calculates the reactions fluxes which minimize the total sum of fluxes while maintaining some fraction of the maximum objective function value. Required options are:</w:t>
      </w:r>
    </w:p>
    <w:p w14:paraId="78B600E1" w14:textId="77777777" w:rsidR="00867096" w:rsidRDefault="00304335" w:rsidP="00867096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867096">
        <w:rPr>
          <w:rFonts w:ascii="Arial" w:hAnsi="Arial" w:cs="Arial"/>
          <w:sz w:val="24"/>
          <w:szCs w:val="24"/>
        </w:rPr>
        <w:t>Fraction of maximum objective value (between 0 and 1). Typically want 1, but may need to choose some value very close to 1 (e.g. 0.9999) for optimization software to find solution.</w:t>
      </w:r>
    </w:p>
    <w:p w14:paraId="3591B921" w14:textId="77777777" w:rsidR="00867096" w:rsidRDefault="00233373" w:rsidP="00867096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867096">
        <w:rPr>
          <w:rFonts w:ascii="Arial" w:hAnsi="Arial" w:cs="Arial"/>
          <w:b/>
          <w:bCs/>
          <w:sz w:val="24"/>
          <w:szCs w:val="24"/>
        </w:rPr>
        <w:t>Flux variability analysis (FVA)</w:t>
      </w:r>
      <w:r w:rsidRPr="00867096">
        <w:rPr>
          <w:rFonts w:ascii="Arial" w:hAnsi="Arial" w:cs="Arial"/>
          <w:sz w:val="24"/>
          <w:szCs w:val="24"/>
        </w:rPr>
        <w:t xml:space="preserve"> – FVA calculates the minimum and maximum flux for each reaction while maintaining some fraction of the maximum objective function value. </w:t>
      </w:r>
      <w:r w:rsidR="00075C4A" w:rsidRPr="00867096">
        <w:rPr>
          <w:rFonts w:ascii="Arial" w:hAnsi="Arial" w:cs="Arial"/>
          <w:sz w:val="24"/>
          <w:szCs w:val="24"/>
        </w:rPr>
        <w:t xml:space="preserve">This can be performed for “All reactions” or “Select reactions”. </w:t>
      </w:r>
      <w:r w:rsidRPr="00867096">
        <w:rPr>
          <w:rFonts w:ascii="Arial" w:hAnsi="Arial" w:cs="Arial"/>
          <w:sz w:val="24"/>
          <w:szCs w:val="24"/>
        </w:rPr>
        <w:t xml:space="preserve">Required options </w:t>
      </w:r>
      <w:r w:rsidR="00075C4A" w:rsidRPr="00867096">
        <w:rPr>
          <w:rFonts w:ascii="Arial" w:hAnsi="Arial" w:cs="Arial"/>
          <w:sz w:val="24"/>
          <w:szCs w:val="24"/>
        </w:rPr>
        <w:t xml:space="preserve">for both </w:t>
      </w:r>
      <w:r w:rsidRPr="00867096">
        <w:rPr>
          <w:rFonts w:ascii="Arial" w:hAnsi="Arial" w:cs="Arial"/>
          <w:sz w:val="24"/>
          <w:szCs w:val="24"/>
        </w:rPr>
        <w:t>are:</w:t>
      </w:r>
    </w:p>
    <w:p w14:paraId="38683304" w14:textId="1058B12D" w:rsidR="00075C4A" w:rsidRPr="00867096" w:rsidRDefault="00075C4A" w:rsidP="00867096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867096">
        <w:rPr>
          <w:rFonts w:ascii="Arial" w:hAnsi="Arial" w:cs="Arial"/>
          <w:sz w:val="24"/>
          <w:szCs w:val="24"/>
        </w:rPr>
        <w:t>Fraction of maximum objective value (between 0 and 1). Typically want 1, but may need to choose some value very close to 1 (e.g. 0.9999) for optimization software to find solution.</w:t>
      </w:r>
    </w:p>
    <w:p w14:paraId="705BFE4F" w14:textId="77777777" w:rsidR="00867096" w:rsidRDefault="00075C4A" w:rsidP="00867096">
      <w:pPr>
        <w:pStyle w:val="NoSpacing"/>
        <w:spacing w:before="12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select reactions, can choose any number of premade groups (e.g. all reactions which reduce NADP+ to NADPH), and can name individual Recon3D reactions of interest.</w:t>
      </w:r>
    </w:p>
    <w:p w14:paraId="647454C5" w14:textId="77777777" w:rsidR="00867096" w:rsidRDefault="00086357" w:rsidP="00867096">
      <w:pPr>
        <w:pStyle w:val="NoSpacing"/>
        <w:numPr>
          <w:ilvl w:val="0"/>
          <w:numId w:val="4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Uniform sampling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Currently not implemented for Recon3D.</w:t>
      </w:r>
    </w:p>
    <w:p w14:paraId="56FDFA7C" w14:textId="079E717C" w:rsidR="00086357" w:rsidRPr="00867096" w:rsidRDefault="00086357" w:rsidP="00867096">
      <w:pPr>
        <w:pStyle w:val="NoSpacing"/>
        <w:numPr>
          <w:ilvl w:val="0"/>
          <w:numId w:val="4"/>
        </w:numPr>
        <w:spacing w:before="120"/>
        <w:rPr>
          <w:rFonts w:ascii="Arial" w:hAnsi="Arial" w:cs="Arial"/>
          <w:sz w:val="24"/>
          <w:szCs w:val="24"/>
        </w:rPr>
      </w:pPr>
      <w:r w:rsidRPr="00867096">
        <w:rPr>
          <w:rFonts w:ascii="Arial" w:hAnsi="Arial" w:cs="Arial"/>
          <w:b/>
          <w:bCs/>
          <w:sz w:val="24"/>
          <w:szCs w:val="24"/>
        </w:rPr>
        <w:t>Media sensitivity</w:t>
      </w:r>
      <w:r w:rsidRPr="00867096">
        <w:rPr>
          <w:rFonts w:ascii="Arial" w:hAnsi="Arial" w:cs="Arial"/>
          <w:sz w:val="24"/>
          <w:szCs w:val="24"/>
        </w:rPr>
        <w:t xml:space="preserve"> – Not completed.</w:t>
      </w:r>
    </w:p>
    <w:p w14:paraId="7677A300" w14:textId="13601075" w:rsidR="00724061" w:rsidRDefault="000A2D51" w:rsidP="000A2D51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Constraints – Proliferation</w:t>
      </w:r>
      <w:r>
        <w:rPr>
          <w:rFonts w:ascii="Arial" w:hAnsi="Arial" w:cs="Arial"/>
          <w:sz w:val="24"/>
          <w:szCs w:val="24"/>
        </w:rPr>
        <w:t xml:space="preserve"> – </w:t>
      </w:r>
      <w:r w:rsidR="003101AE">
        <w:rPr>
          <w:rFonts w:ascii="Arial" w:hAnsi="Arial" w:cs="Arial"/>
          <w:sz w:val="24"/>
          <w:szCs w:val="24"/>
        </w:rPr>
        <w:t xml:space="preserve">Custom </w:t>
      </w:r>
      <w:r>
        <w:rPr>
          <w:rFonts w:ascii="Arial" w:hAnsi="Arial" w:cs="Arial"/>
          <w:sz w:val="24"/>
          <w:szCs w:val="24"/>
        </w:rPr>
        <w:t>constraints on the biomass production rate of samples relative to experimental values denoted in the sample “Clinical” files. Values here are the factor multiplied by experimental values.</w:t>
      </w:r>
    </w:p>
    <w:p w14:paraId="578E5BEF" w14:textId="345BF3DA" w:rsidR="000A2D51" w:rsidRDefault="00867096" w:rsidP="000A2D51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Constraints – Value</w:t>
      </w:r>
      <w:r>
        <w:rPr>
          <w:rFonts w:ascii="Arial" w:hAnsi="Arial" w:cs="Arial"/>
          <w:sz w:val="24"/>
          <w:szCs w:val="24"/>
        </w:rPr>
        <w:t xml:space="preserve"> – </w:t>
      </w:r>
      <w:r w:rsidR="003101AE">
        <w:rPr>
          <w:rFonts w:ascii="Arial" w:hAnsi="Arial" w:cs="Arial"/>
          <w:sz w:val="24"/>
          <w:szCs w:val="24"/>
        </w:rPr>
        <w:t>Custom constraints on the value of select reactions.</w:t>
      </w:r>
    </w:p>
    <w:p w14:paraId="46A6C0DF" w14:textId="1F83F56C" w:rsidR="00015EA6" w:rsidRDefault="00015EA6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Constraints – </w:t>
      </w:r>
      <w:r>
        <w:rPr>
          <w:rFonts w:ascii="Arial" w:hAnsi="Arial" w:cs="Arial"/>
          <w:b/>
          <w:bCs/>
          <w:sz w:val="24"/>
          <w:szCs w:val="24"/>
        </w:rPr>
        <w:t>Fraction</w:t>
      </w:r>
      <w:r>
        <w:rPr>
          <w:rFonts w:ascii="Arial" w:hAnsi="Arial" w:cs="Arial"/>
          <w:sz w:val="24"/>
          <w:szCs w:val="24"/>
        </w:rPr>
        <w:t xml:space="preserve"> – Custom constraints on the value of select reactions</w:t>
      </w:r>
      <w:r>
        <w:rPr>
          <w:rFonts w:ascii="Arial" w:hAnsi="Arial" w:cs="Arial"/>
          <w:sz w:val="24"/>
          <w:szCs w:val="24"/>
        </w:rPr>
        <w:t>, expressed as a fraction of maximum possible flux value (FVA is used to find this maximum value).</w:t>
      </w:r>
    </w:p>
    <w:p w14:paraId="364941DA" w14:textId="45648BF1" w:rsidR="00015EA6" w:rsidRDefault="00015EA6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Constraints – Max Multi</w:t>
      </w:r>
      <w:r>
        <w:rPr>
          <w:rFonts w:ascii="Arial" w:hAnsi="Arial" w:cs="Arial"/>
          <w:sz w:val="24"/>
          <w:szCs w:val="24"/>
        </w:rPr>
        <w:t xml:space="preserve"> – </w:t>
      </w:r>
      <w:r w:rsidR="006163AE">
        <w:rPr>
          <w:rFonts w:ascii="Arial" w:hAnsi="Arial" w:cs="Arial"/>
          <w:sz w:val="24"/>
          <w:szCs w:val="24"/>
        </w:rPr>
        <w:t xml:space="preserve">Implement a custom constraint simultaneously maximizing multiple reaction fluxes. Relative weights for each reaction can be provided. </w:t>
      </w:r>
    </w:p>
    <w:p w14:paraId="3D596FDF" w14:textId="37DF3C02" w:rsidR="006163AE" w:rsidRDefault="00E752D6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Objective </w:t>
      </w:r>
      <w:r w:rsidR="00CC3E48">
        <w:rPr>
          <w:rFonts w:ascii="Arial" w:hAnsi="Arial" w:cs="Arial"/>
          <w:b/>
          <w:bCs/>
          <w:sz w:val="24"/>
          <w:szCs w:val="24"/>
        </w:rPr>
        <w:t>Function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209E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538BB">
        <w:rPr>
          <w:rFonts w:ascii="Arial" w:hAnsi="Arial" w:cs="Arial"/>
          <w:sz w:val="24"/>
          <w:szCs w:val="24"/>
        </w:rPr>
        <w:t>Choice of objective function, either a preset Recon3D reaction or new custom reaction. Multiple objective functions can be simultaneously maximized with provided relative weights.</w:t>
      </w:r>
    </w:p>
    <w:p w14:paraId="53AC409C" w14:textId="3ED822B8" w:rsidR="007538BB" w:rsidRDefault="00D209E3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Samples – TCGA </w:t>
      </w:r>
      <w:r w:rsidRPr="00D209E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Choose TCGA samples to run based on cancer type, primary tumors versus normal tissue, and available sample information.</w:t>
      </w:r>
    </w:p>
    <w:p w14:paraId="16C9D985" w14:textId="5C0AB211" w:rsidR="00D209E3" w:rsidRDefault="00D209E3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Samples 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CCLE </w:t>
      </w:r>
      <w:r>
        <w:rPr>
          <w:rFonts w:ascii="Arial" w:hAnsi="Arial" w:cs="Arial"/>
          <w:sz w:val="24"/>
          <w:szCs w:val="24"/>
        </w:rPr>
        <w:t xml:space="preserve">– Choose CCLE samples to run based on </w:t>
      </w:r>
      <w:r w:rsidR="00261FC7">
        <w:rPr>
          <w:rFonts w:ascii="Arial" w:hAnsi="Arial" w:cs="Arial"/>
          <w:sz w:val="24"/>
          <w:szCs w:val="24"/>
        </w:rPr>
        <w:t>cancer type</w:t>
      </w:r>
      <w:r>
        <w:rPr>
          <w:rFonts w:ascii="Arial" w:hAnsi="Arial" w:cs="Arial"/>
          <w:sz w:val="24"/>
          <w:szCs w:val="24"/>
        </w:rPr>
        <w:t xml:space="preserve"> and available sample information.</w:t>
      </w:r>
    </w:p>
    <w:p w14:paraId="14D4FF6F" w14:textId="284A859B" w:rsidR="00D209E3" w:rsidRDefault="00261FC7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Samples – GTEx</w:t>
      </w:r>
      <w:r>
        <w:rPr>
          <w:rFonts w:ascii="Arial" w:hAnsi="Arial" w:cs="Arial"/>
          <w:sz w:val="24"/>
          <w:szCs w:val="24"/>
        </w:rPr>
        <w:t xml:space="preserve"> – Choose GTEx samples to run based on tissue type.</w:t>
      </w:r>
    </w:p>
    <w:p w14:paraId="4DF45BC8" w14:textId="5D4A37D9" w:rsidR="00261FC7" w:rsidRDefault="00261FC7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Samples – Other</w:t>
      </w:r>
      <w:r>
        <w:rPr>
          <w:rFonts w:ascii="Arial" w:hAnsi="Arial" w:cs="Arial"/>
          <w:sz w:val="24"/>
          <w:szCs w:val="24"/>
        </w:rPr>
        <w:t xml:space="preserve"> – Choose </w:t>
      </w:r>
      <w:r w:rsidR="006C5E22">
        <w:rPr>
          <w:rFonts w:ascii="Arial" w:hAnsi="Arial" w:cs="Arial"/>
          <w:sz w:val="24"/>
          <w:szCs w:val="24"/>
        </w:rPr>
        <w:t>individual samples to run, either within the TCGA/CCLE/GTEx datasets or from other datasets. “Folder Name” and “Sample Name” are the names of the folder and sample file within the “</w:t>
      </w:r>
      <w:r w:rsidR="006C5E22">
        <w:rPr>
          <w:rFonts w:ascii="Arial" w:hAnsi="Arial" w:cs="Arial"/>
          <w:sz w:val="24"/>
          <w:szCs w:val="24"/>
        </w:rPr>
        <w:t>“FBA-pipeline\Code + Models\</w:t>
      </w:r>
      <w:r w:rsidR="006C5E22">
        <w:rPr>
          <w:rFonts w:ascii="Arial" w:hAnsi="Arial" w:cs="Arial"/>
          <w:sz w:val="24"/>
          <w:szCs w:val="24"/>
        </w:rPr>
        <w:t>data\vmax\” folder, respectively.</w:t>
      </w:r>
    </w:p>
    <w:p w14:paraId="034D72C7" w14:textId="1AE464C7" w:rsidR="00112162" w:rsidRDefault="00112162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Drugs </w:t>
      </w:r>
      <w:r>
        <w:rPr>
          <w:rFonts w:ascii="Arial" w:hAnsi="Arial" w:cs="Arial"/>
          <w:sz w:val="24"/>
          <w:szCs w:val="24"/>
        </w:rPr>
        <w:t>– Restrict samples to only those with responses for particular drugs in the “Clinical” file.</w:t>
      </w:r>
    </w:p>
    <w:p w14:paraId="46FAE455" w14:textId="28CE32EF" w:rsidR="00112162" w:rsidRDefault="009C3A74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Mutations</w:t>
      </w:r>
      <w:r>
        <w:rPr>
          <w:rFonts w:ascii="Arial" w:hAnsi="Arial" w:cs="Arial"/>
          <w:sz w:val="24"/>
          <w:szCs w:val="24"/>
        </w:rPr>
        <w:t xml:space="preserve"> – Decide whether </w:t>
      </w:r>
      <w:r w:rsidR="00203177">
        <w:rPr>
          <w:rFonts w:ascii="Arial" w:hAnsi="Arial" w:cs="Arial"/>
          <w:sz w:val="24"/>
          <w:szCs w:val="24"/>
        </w:rPr>
        <w:t>sample mutation information should be used to alter reaction kcat values (based on Envision scores).</w:t>
      </w:r>
    </w:p>
    <w:p w14:paraId="0984BA71" w14:textId="5DF48BBA" w:rsidR="00203177" w:rsidRDefault="00203177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Media </w:t>
      </w:r>
      <w:r>
        <w:rPr>
          <w:rFonts w:ascii="Arial" w:hAnsi="Arial" w:cs="Arial"/>
          <w:sz w:val="24"/>
          <w:szCs w:val="24"/>
        </w:rPr>
        <w:t>– Choose cell culture media formulation to simulate. Multiple formulations can be chosen (e.g. both “RPMI-1640” and “FBS”). Specific media uptake constraints can be set for individual metabolites.</w:t>
      </w:r>
    </w:p>
    <w:p w14:paraId="09A14C92" w14:textId="334436EB" w:rsidR="00203177" w:rsidRDefault="00203177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Concentrations </w:t>
      </w:r>
      <w:r>
        <w:rPr>
          <w:rFonts w:ascii="Arial" w:hAnsi="Arial" w:cs="Arial"/>
          <w:sz w:val="24"/>
          <w:szCs w:val="24"/>
        </w:rPr>
        <w:t>– Choose whether to use default thermodynamic parameters, or recalculate based on different default concentration ranges and sample metabolite concentration ranges.</w:t>
      </w:r>
    </w:p>
    <w:p w14:paraId="5AFB9788" w14:textId="090B22A6" w:rsidR="00203177" w:rsidRDefault="00203177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Modules </w:t>
      </w:r>
      <w:r>
        <w:rPr>
          <w:rFonts w:ascii="Arial" w:hAnsi="Arial" w:cs="Arial"/>
          <w:sz w:val="24"/>
          <w:szCs w:val="24"/>
        </w:rPr>
        <w:t>– Choose (a) whether to implement NADPH dependence on catalase reactions; and (b) whether to implement drug metabolism modules.</w:t>
      </w:r>
    </w:p>
    <w:p w14:paraId="0B3CE817" w14:textId="392E7DFF" w:rsidR="00203177" w:rsidRDefault="00203177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Gene Knockdown </w:t>
      </w:r>
      <w:r>
        <w:rPr>
          <w:rFonts w:ascii="Arial" w:hAnsi="Arial" w:cs="Arial"/>
          <w:sz w:val="24"/>
          <w:szCs w:val="24"/>
        </w:rPr>
        <w:t>– Choose whether to knock down a particular metabolic gene for all samples. Knockdown fraction is the fractional protein abundance to use (e.g. “0.25” is 75% knockdown, “0” is complete knockout).</w:t>
      </w:r>
    </w:p>
    <w:p w14:paraId="47A47BE0" w14:textId="124779C2" w:rsidR="00203177" w:rsidRDefault="00203177" w:rsidP="00015EA6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implement a gene knockdown screen (</w:t>
      </w:r>
      <w:r w:rsidR="00DC2608">
        <w:rPr>
          <w:rFonts w:ascii="Arial" w:hAnsi="Arial" w:cs="Arial"/>
          <w:sz w:val="24"/>
          <w:szCs w:val="24"/>
        </w:rPr>
        <w:t>test effect of knocking down each individual gene in Recon3D):</w:t>
      </w:r>
    </w:p>
    <w:p w14:paraId="5B16BD93" w14:textId="37D12D96" w:rsidR="00DC2608" w:rsidRDefault="00374398" w:rsidP="00DC2608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_TEMPLATE_ file will all user inputs except for “Gene Knockdown”. Place file in the “_create_gene_knockdown_screen_” folder.</w:t>
      </w:r>
    </w:p>
    <w:p w14:paraId="78DAA6BC" w14:textId="0AA2A0FE" w:rsidR="00374398" w:rsidRDefault="00374398" w:rsidP="00DC2608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>
        <w:rPr>
          <w:rFonts w:ascii="Arial" w:hAnsi="Arial" w:cs="Arial"/>
          <w:sz w:val="24"/>
          <w:szCs w:val="24"/>
        </w:rPr>
        <w:t>“_create_gene_knockdown_screen_</w:t>
      </w:r>
      <w:r>
        <w:rPr>
          <w:rFonts w:ascii="Arial" w:hAnsi="Arial" w:cs="Arial"/>
          <w:sz w:val="24"/>
          <w:szCs w:val="24"/>
        </w:rPr>
        <w:t>.m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in MATLAB, enter user inputs:</w:t>
      </w:r>
    </w:p>
    <w:p w14:paraId="1C06F489" w14:textId="29BE8ED9" w:rsidR="00374398" w:rsidRDefault="00374398" w:rsidP="00374398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_TEMPLATE_ file</w:t>
      </w:r>
    </w:p>
    <w:p w14:paraId="0E7AD9A0" w14:textId="59E76E49" w:rsidR="00374398" w:rsidRDefault="00374398" w:rsidP="00374398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Desired output folder name</w:t>
      </w:r>
    </w:p>
    <w:p w14:paraId="1E7ED7BD" w14:textId="3F4058C8" w:rsidR="00374398" w:rsidRDefault="00374398" w:rsidP="00374398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Desired output file name (</w:t>
      </w:r>
      <w:r w:rsidR="009C65B9">
        <w:rPr>
          <w:rFonts w:ascii="Arial" w:hAnsi="Arial" w:cs="Arial"/>
          <w:sz w:val="24"/>
          <w:szCs w:val="24"/>
        </w:rPr>
        <w:t xml:space="preserve">separate _TEMPLATE_ </w:t>
      </w:r>
      <w:r>
        <w:rPr>
          <w:rFonts w:ascii="Arial" w:hAnsi="Arial" w:cs="Arial"/>
          <w:sz w:val="24"/>
          <w:szCs w:val="24"/>
        </w:rPr>
        <w:t>file</w:t>
      </w:r>
      <w:r w:rsidR="009C65B9">
        <w:rPr>
          <w:rFonts w:ascii="Arial" w:hAnsi="Arial" w:cs="Arial"/>
          <w:sz w:val="24"/>
          <w:szCs w:val="24"/>
        </w:rPr>
        <w:t>s will be generated for each gene knockdown, with file name</w:t>
      </w:r>
      <w:r>
        <w:rPr>
          <w:rFonts w:ascii="Arial" w:hAnsi="Arial" w:cs="Arial"/>
          <w:sz w:val="24"/>
          <w:szCs w:val="24"/>
        </w:rPr>
        <w:t xml:space="preserve"> “*CHOICE*_geneX.xlsx”, where X is the number</w:t>
      </w:r>
      <w:r w:rsidR="009C65B9">
        <w:rPr>
          <w:rFonts w:ascii="Arial" w:hAnsi="Arial" w:cs="Arial"/>
          <w:sz w:val="24"/>
          <w:szCs w:val="24"/>
        </w:rPr>
        <w:t>.</w:t>
      </w:r>
    </w:p>
    <w:p w14:paraId="39017F2D" w14:textId="0FCA6FDE" w:rsidR="009C65B9" w:rsidRDefault="009C65B9" w:rsidP="00374398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Knockdown fraction</w:t>
      </w:r>
    </w:p>
    <w:p w14:paraId="64323E3C" w14:textId="21A147AD" w:rsidR="009C65B9" w:rsidRDefault="009C65B9" w:rsidP="009C65B9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</w:t>
      </w:r>
      <w:r>
        <w:rPr>
          <w:rFonts w:ascii="Arial" w:hAnsi="Arial" w:cs="Arial"/>
          <w:sz w:val="24"/>
          <w:szCs w:val="24"/>
        </w:rPr>
        <w:t>“_create_gene_knockdown_screen_.m”</w:t>
      </w:r>
      <w:r>
        <w:rPr>
          <w:rFonts w:ascii="Arial" w:hAnsi="Arial" w:cs="Arial"/>
          <w:sz w:val="24"/>
          <w:szCs w:val="24"/>
        </w:rPr>
        <w:t>. A new input folder will be created with separate _TEMPLATE_ files for each gene knockdown.</w:t>
      </w:r>
    </w:p>
    <w:p w14:paraId="43478433" w14:textId="35F39C6A" w:rsidR="009C65B9" w:rsidRDefault="00CC3E48" w:rsidP="00A96A5F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C3E48">
        <w:rPr>
          <w:rFonts w:ascii="Arial" w:hAnsi="Arial" w:cs="Arial"/>
          <w:sz w:val="24"/>
          <w:szCs w:val="24"/>
        </w:rPr>
        <w:t xml:space="preserve">To implement a </w:t>
      </w:r>
      <w:r>
        <w:rPr>
          <w:rFonts w:ascii="Arial" w:hAnsi="Arial" w:cs="Arial"/>
          <w:sz w:val="24"/>
          <w:szCs w:val="24"/>
        </w:rPr>
        <w:t>metabolome-wide metabolite production screen</w:t>
      </w:r>
      <w:r>
        <w:rPr>
          <w:rFonts w:ascii="Arial" w:hAnsi="Arial" w:cs="Arial"/>
          <w:sz w:val="24"/>
          <w:szCs w:val="24"/>
        </w:rPr>
        <w:t>:</w:t>
      </w:r>
    </w:p>
    <w:p w14:paraId="1807006B" w14:textId="46BB6802" w:rsidR="00CC3E48" w:rsidRDefault="00CC3E48" w:rsidP="00CC3E48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_TEMPLATE_ file will all user inputs except for “</w:t>
      </w:r>
      <w:r>
        <w:rPr>
          <w:rFonts w:ascii="Arial" w:hAnsi="Arial" w:cs="Arial"/>
          <w:sz w:val="24"/>
          <w:szCs w:val="24"/>
        </w:rPr>
        <w:t>Objective Function</w:t>
      </w:r>
      <w:r>
        <w:rPr>
          <w:rFonts w:ascii="Arial" w:hAnsi="Arial" w:cs="Arial"/>
          <w:sz w:val="24"/>
          <w:szCs w:val="24"/>
        </w:rPr>
        <w:t>”. Place file in the “_create_</w:t>
      </w:r>
      <w:r>
        <w:rPr>
          <w:rFonts w:ascii="Arial" w:hAnsi="Arial" w:cs="Arial"/>
          <w:sz w:val="24"/>
          <w:szCs w:val="24"/>
        </w:rPr>
        <w:t>objective_function</w:t>
      </w:r>
      <w:r>
        <w:rPr>
          <w:rFonts w:ascii="Arial" w:hAnsi="Arial" w:cs="Arial"/>
          <w:sz w:val="24"/>
          <w:szCs w:val="24"/>
        </w:rPr>
        <w:t>_screen_” folder.</w:t>
      </w:r>
    </w:p>
    <w:p w14:paraId="5FA7D479" w14:textId="5F58BF48" w:rsidR="00CC3E48" w:rsidRDefault="00CC3E48" w:rsidP="00CC3E48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941CC9">
        <w:rPr>
          <w:rFonts w:ascii="Arial" w:hAnsi="Arial" w:cs="Arial"/>
          <w:sz w:val="24"/>
          <w:szCs w:val="24"/>
        </w:rPr>
        <w:t>“_create_objective_function_screen_</w:t>
      </w:r>
      <w:r>
        <w:rPr>
          <w:rFonts w:ascii="Arial" w:hAnsi="Arial" w:cs="Arial"/>
          <w:sz w:val="24"/>
          <w:szCs w:val="24"/>
        </w:rPr>
        <w:t>” in MATLAB, enter user inputs:</w:t>
      </w:r>
    </w:p>
    <w:p w14:paraId="448F0A5C" w14:textId="77777777" w:rsidR="00CC3E48" w:rsidRDefault="00CC3E48" w:rsidP="00CC3E48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_TEMPLATE_ file</w:t>
      </w:r>
    </w:p>
    <w:p w14:paraId="3E8D548C" w14:textId="77777777" w:rsidR="00CC3E48" w:rsidRDefault="00CC3E48" w:rsidP="00CC3E48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Desired output folder name</w:t>
      </w:r>
    </w:p>
    <w:p w14:paraId="4EF152A1" w14:textId="7B993901" w:rsidR="00CC3E48" w:rsidRDefault="00CC3E48" w:rsidP="00CC3E48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Desired output file name (separate _TEMPLATE_ files will be generated for each </w:t>
      </w:r>
      <w:r w:rsidR="00941CC9">
        <w:rPr>
          <w:rFonts w:ascii="Arial" w:hAnsi="Arial" w:cs="Arial"/>
          <w:sz w:val="24"/>
          <w:szCs w:val="24"/>
        </w:rPr>
        <w:t>metabolite</w:t>
      </w:r>
      <w:r>
        <w:rPr>
          <w:rFonts w:ascii="Arial" w:hAnsi="Arial" w:cs="Arial"/>
          <w:sz w:val="24"/>
          <w:szCs w:val="24"/>
        </w:rPr>
        <w:t xml:space="preserve">, with file name “*CHOICE*_X.xlsx”, where X is the </w:t>
      </w:r>
      <w:r w:rsidR="00941CC9">
        <w:rPr>
          <w:rFonts w:ascii="Arial" w:hAnsi="Arial" w:cs="Arial"/>
          <w:sz w:val="24"/>
          <w:szCs w:val="24"/>
        </w:rPr>
        <w:t>metabolite</w:t>
      </w:r>
      <w:r>
        <w:rPr>
          <w:rFonts w:ascii="Arial" w:hAnsi="Arial" w:cs="Arial"/>
          <w:sz w:val="24"/>
          <w:szCs w:val="24"/>
        </w:rPr>
        <w:t>.</w:t>
      </w:r>
    </w:p>
    <w:p w14:paraId="4814D746" w14:textId="1161BC22" w:rsidR="00CC3E48" w:rsidRDefault="00CC3E48" w:rsidP="00CC3E48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“_create_</w:t>
      </w:r>
      <w:r w:rsidR="00941CC9">
        <w:rPr>
          <w:rFonts w:ascii="Arial" w:hAnsi="Arial" w:cs="Arial"/>
          <w:sz w:val="24"/>
          <w:szCs w:val="24"/>
        </w:rPr>
        <w:t>objective_function</w:t>
      </w:r>
      <w:r>
        <w:rPr>
          <w:rFonts w:ascii="Arial" w:hAnsi="Arial" w:cs="Arial"/>
          <w:sz w:val="24"/>
          <w:szCs w:val="24"/>
        </w:rPr>
        <w:t xml:space="preserve">_screen_.m”. A new input folder will be created with separate _TEMPLATE_ files for each </w:t>
      </w:r>
      <w:r w:rsidR="00941CC9">
        <w:rPr>
          <w:rFonts w:ascii="Arial" w:hAnsi="Arial" w:cs="Arial"/>
          <w:sz w:val="24"/>
          <w:szCs w:val="24"/>
        </w:rPr>
        <w:t>metabolite</w:t>
      </w:r>
      <w:r>
        <w:rPr>
          <w:rFonts w:ascii="Arial" w:hAnsi="Arial" w:cs="Arial"/>
          <w:sz w:val="24"/>
          <w:szCs w:val="24"/>
        </w:rPr>
        <w:t>.</w:t>
      </w:r>
    </w:p>
    <w:p w14:paraId="6D965C19" w14:textId="31888F85" w:rsidR="00BD79E9" w:rsidRDefault="00BD79E9" w:rsidP="00BD79E9">
      <w:pPr>
        <w:pStyle w:val="NoSpacing"/>
        <w:numPr>
          <w:ilvl w:val="0"/>
          <w:numId w:val="1"/>
        </w:numPr>
        <w:spacing w:before="120"/>
        <w:rPr>
          <w:rFonts w:ascii="Arial" w:hAnsi="Arial" w:cs="Arial"/>
          <w:sz w:val="24"/>
          <w:szCs w:val="24"/>
        </w:rPr>
      </w:pPr>
      <w:r w:rsidRPr="00CC3E48">
        <w:rPr>
          <w:rFonts w:ascii="Arial" w:hAnsi="Arial" w:cs="Arial"/>
          <w:sz w:val="24"/>
          <w:szCs w:val="24"/>
        </w:rPr>
        <w:t xml:space="preserve">To implement </w:t>
      </w:r>
      <w:r>
        <w:rPr>
          <w:rFonts w:ascii="Arial" w:hAnsi="Arial" w:cs="Arial"/>
          <w:sz w:val="24"/>
          <w:szCs w:val="24"/>
        </w:rPr>
        <w:t>an objective function screen for chemotherapy response</w:t>
      </w:r>
      <w:r>
        <w:rPr>
          <w:rFonts w:ascii="Arial" w:hAnsi="Arial" w:cs="Arial"/>
          <w:sz w:val="24"/>
          <w:szCs w:val="24"/>
        </w:rPr>
        <w:t>:</w:t>
      </w:r>
    </w:p>
    <w:p w14:paraId="3C581F85" w14:textId="66AAB843" w:rsidR="00BD79E9" w:rsidRDefault="00BD79E9" w:rsidP="00BD79E9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_TEMPLATE_ file will all user inputs except for “Objective Function”. Place file in the “_create_</w:t>
      </w:r>
      <w:r>
        <w:rPr>
          <w:rFonts w:ascii="Arial" w:hAnsi="Arial" w:cs="Arial"/>
          <w:sz w:val="24"/>
          <w:szCs w:val="24"/>
        </w:rPr>
        <w:t>drug_objective</w:t>
      </w:r>
      <w:r>
        <w:rPr>
          <w:rFonts w:ascii="Arial" w:hAnsi="Arial" w:cs="Arial"/>
          <w:sz w:val="24"/>
          <w:szCs w:val="24"/>
        </w:rPr>
        <w:t>_screen_” folder.</w:t>
      </w:r>
    </w:p>
    <w:p w14:paraId="1BBE15A6" w14:textId="4D1D232E" w:rsidR="00BD79E9" w:rsidRDefault="00BD79E9" w:rsidP="00BD79E9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“_create_</w:t>
      </w:r>
      <w:r>
        <w:rPr>
          <w:rFonts w:ascii="Arial" w:hAnsi="Arial" w:cs="Arial"/>
          <w:sz w:val="24"/>
          <w:szCs w:val="24"/>
        </w:rPr>
        <w:t>drug_objective</w:t>
      </w:r>
      <w:r>
        <w:rPr>
          <w:rFonts w:ascii="Arial" w:hAnsi="Arial" w:cs="Arial"/>
          <w:sz w:val="24"/>
          <w:szCs w:val="24"/>
        </w:rPr>
        <w:t>_screen_” in MATLAB, enter user inputs:</w:t>
      </w:r>
    </w:p>
    <w:p w14:paraId="394E8FC5" w14:textId="305EA84F" w:rsidR="00BD79E9" w:rsidRDefault="00BD79E9" w:rsidP="00BD79E9">
      <w:pPr>
        <w:pStyle w:val="NoSpacing"/>
        <w:numPr>
          <w:ilvl w:val="2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Drug name (either “5fu”, “cis”, “cpa”, or “dox”)</w:t>
      </w:r>
    </w:p>
    <w:p w14:paraId="15EE4A04" w14:textId="27DE7786" w:rsidR="00BD79E9" w:rsidRDefault="00BD79E9" w:rsidP="00BD79E9">
      <w:pPr>
        <w:pStyle w:val="NoSpacing"/>
        <w:numPr>
          <w:ilvl w:val="1"/>
          <w:numId w:val="1"/>
        </w:num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“_create_</w:t>
      </w:r>
      <w:r>
        <w:rPr>
          <w:rFonts w:ascii="Arial" w:hAnsi="Arial" w:cs="Arial"/>
          <w:sz w:val="24"/>
          <w:szCs w:val="24"/>
        </w:rPr>
        <w:t>drug_objective</w:t>
      </w:r>
      <w:r>
        <w:rPr>
          <w:rFonts w:ascii="Arial" w:hAnsi="Arial" w:cs="Arial"/>
          <w:sz w:val="24"/>
          <w:szCs w:val="24"/>
        </w:rPr>
        <w:t xml:space="preserve">_screen_.m”. A new input folder will be created with separate _TEMPLATE_ files for each </w:t>
      </w:r>
      <w:r>
        <w:rPr>
          <w:rFonts w:ascii="Arial" w:hAnsi="Arial" w:cs="Arial"/>
          <w:sz w:val="24"/>
          <w:szCs w:val="24"/>
        </w:rPr>
        <w:t>objective function.</w:t>
      </w:r>
    </w:p>
    <w:p w14:paraId="5DC44F78" w14:textId="77777777" w:rsidR="00CC3E48" w:rsidRPr="00015EA6" w:rsidRDefault="00CC3E48" w:rsidP="00BD79E9">
      <w:pPr>
        <w:pStyle w:val="NoSpacing"/>
        <w:spacing w:before="120"/>
        <w:rPr>
          <w:rFonts w:ascii="Arial" w:hAnsi="Arial" w:cs="Arial"/>
          <w:sz w:val="24"/>
          <w:szCs w:val="24"/>
        </w:rPr>
      </w:pPr>
    </w:p>
    <w:sectPr w:rsidR="00CC3E48" w:rsidRPr="0001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7C96"/>
    <w:multiLevelType w:val="hybridMultilevel"/>
    <w:tmpl w:val="9E04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37457A"/>
    <w:multiLevelType w:val="hybridMultilevel"/>
    <w:tmpl w:val="1F242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9D08E0"/>
    <w:multiLevelType w:val="hybridMultilevel"/>
    <w:tmpl w:val="AA6A1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015EA6"/>
    <w:rsid w:val="00075C4A"/>
    <w:rsid w:val="00086357"/>
    <w:rsid w:val="000A2D51"/>
    <w:rsid w:val="000F5B37"/>
    <w:rsid w:val="00112162"/>
    <w:rsid w:val="00203177"/>
    <w:rsid w:val="00233373"/>
    <w:rsid w:val="00261FC7"/>
    <w:rsid w:val="00304335"/>
    <w:rsid w:val="003101AE"/>
    <w:rsid w:val="00374398"/>
    <w:rsid w:val="006163AE"/>
    <w:rsid w:val="006C5E22"/>
    <w:rsid w:val="00724061"/>
    <w:rsid w:val="007538BB"/>
    <w:rsid w:val="0077441B"/>
    <w:rsid w:val="00867096"/>
    <w:rsid w:val="00941CC9"/>
    <w:rsid w:val="00970251"/>
    <w:rsid w:val="009C3A74"/>
    <w:rsid w:val="009C65B9"/>
    <w:rsid w:val="00B9332E"/>
    <w:rsid w:val="00BD79E9"/>
    <w:rsid w:val="00CC3E48"/>
    <w:rsid w:val="00CF03D6"/>
    <w:rsid w:val="00D209E3"/>
    <w:rsid w:val="00DC2608"/>
    <w:rsid w:val="00E40D37"/>
    <w:rsid w:val="00E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6787"/>
  <w15:chartTrackingRefBased/>
  <w15:docId w15:val="{796A242D-6B9C-485D-9CAC-0A212D1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Lewis</dc:creator>
  <cp:keywords/>
  <dc:description/>
  <cp:lastModifiedBy>Joshua Lewis</cp:lastModifiedBy>
  <cp:revision>24</cp:revision>
  <dcterms:created xsi:type="dcterms:W3CDTF">2020-04-06T21:31:00Z</dcterms:created>
  <dcterms:modified xsi:type="dcterms:W3CDTF">2020-04-13T02:26:00Z</dcterms:modified>
</cp:coreProperties>
</file>