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40"/>
          <w:szCs w:val="40"/>
        </w:rPr>
        <w:t xml:space="preserve">IT AUDIT WORKPAPER — LAB 2</w:t>
      </w:r>
    </w:p>
    <w:p>
      <w:pPr>
        <w:spacing w:after="40" w:before="0"/>
        <w:jc w:val="center"/>
      </w:pPr>
      <w:r>
        <w:rPr>
          <w:rFonts w:ascii="Arial" w:cs="Arial" w:eastAsia="Arial" w:hAnsi="Arial"/>
          <w:b/>
          <w:bCs/>
          <w:color w:val="2E5496"/>
          <w:sz w:val="28"/>
          <w:szCs w:val="28"/>
        </w:rPr>
        <w:t xml:space="preserve">IT General Controls (ITGC) Audit Program</w:t>
      </w:r>
    </w:p>
    <w:p>
      <w:pPr>
        <w:pBdr>
          <w:bottom w:val="single" w:color="1F3864" w:sz="8" w:space="2"/>
        </w:pBdr>
        <w:spacing w:after="200" w:before="0"/>
        <w:jc w:val="center"/>
      </w:pPr>
      <w:r>
        <w:rPr>
          <w:rFonts w:ascii="Arial" w:cs="Arial" w:eastAsia="Arial" w:hAnsi="Arial"/>
          <w:i/>
          <w:iCs/>
          <w:color w:val="595959"/>
          <w:sz w:val="19"/>
          <w:szCs w:val="19"/>
        </w:rPr>
        <w:t xml:space="preserve">Access Controls | Change Management | IT Operations  •  IT Audit Portfolio — Marion Ongwae  •  June 2026</w:t>
      </w:r>
    </w:p>
    <w:p>
      <w:pPr>
        <w:spacing w:after="80" w:before="80"/>
      </w:pPr>
      <w:r>
        <w:t xml:space="preserve"/>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200"/>
        <w:gridCol w:w="4700"/>
      </w:tblGrid>
      <w:tr>
        <w:tc>
          <w:tcPr>
            <w:gridSpan w:val="4"/>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AUDIT OVERVIEW</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Audit Area:</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IT General Controls (ITGC) — Access Controls, Change Management, IT Operations</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Frameworks: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SOX ITGC | PCI DSS v4.0 | ISO 27001 | FISCAM | COSO</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Control Type: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IT General Controls (ITGC) — also known as General Computer Controls (GCC)</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Risk Rating:</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HIGH</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Audit Period:</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January 1, 2024 – December 31, 2024</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Prepared By:</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Marion Ongwae | IT Audit Training Portfolio</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Source Material:</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IA 1-3: IT Audit Introduction — Homework Answers (Class PDF)</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Status: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Draft — Lab Exercise</w:t>
            </w:r>
          </w:p>
        </w:tc>
      </w:tr>
    </w:tbl>
    <w:p>
      <w:pPr>
        <w:spacing w:after="80" w:before="80"/>
      </w:pPr>
      <w:r>
        <w:t xml:space="preserve"/>
      </w:r>
    </w:p>
    <w:p>
      <w:pPr>
        <w:spacing w:after="80" w:before="80"/>
      </w:pPr>
      <w:r>
        <w:t xml:space="preserve"/>
      </w:r>
    </w:p>
    <w:p>
      <w:pPr>
        <w:pBdr>
          <w:bottom w:val="single" w:color="1F3864" w:sz="8" w:space="2"/>
        </w:pBdr>
        <w:spacing w:after="80" w:before="280"/>
      </w:pPr>
      <w:r>
        <w:rPr>
          <w:rFonts w:ascii="Arial" w:cs="Arial" w:eastAsia="Arial" w:hAnsi="Arial"/>
          <w:b/>
          <w:bCs/>
          <w:color w:val="1F3864"/>
          <w:sz w:val="26"/>
          <w:szCs w:val="26"/>
        </w:rPr>
        <w:t xml:space="preserve">1. WHAT ARE IT GENERAL CONTROLS (ITGC)?</w:t>
      </w:r>
    </w:p>
    <w:p>
      <w:pPr>
        <w:spacing w:after="80" w:before="80"/>
      </w:pPr>
      <w:r>
        <w:t xml:space="preserve"/>
      </w:r>
    </w:p>
    <w:p>
      <w:pPr>
        <w:spacing w:after="50" w:before="50"/>
      </w:pPr>
      <w:r>
        <w:rPr>
          <w:rFonts w:ascii="Arial" w:cs="Arial" w:eastAsia="Arial" w:hAnsi="Arial"/>
          <w:b w:val="false"/>
          <w:bCs w:val="false"/>
          <w:sz w:val="20"/>
          <w:szCs w:val="20"/>
        </w:rPr>
        <w:t xml:space="preserve">Per the course material: IT General Controls (ITGC) — also known as General Computer Controls (GCC) — are defined as:</w:t>
      </w:r>
    </w:p>
    <w:p>
      <w:pPr>
        <w:spacing w:after="80" w:before="80"/>
      </w:pPr>
      <w:r>
        <w:t xml:space="preserve"/>
      </w:r>
    </w:p>
    <w:p>
      <w:pPr>
        <w:spacing w:after="50" w:before="50"/>
      </w:pPr>
      <w:r>
        <w:rPr>
          <w:rFonts w:ascii="Arial" w:cs="Arial" w:eastAsia="Arial" w:hAnsi="Arial"/>
          <w:b w:val="false"/>
          <w:bCs w:val="false"/>
          <w:sz w:val="20"/>
          <w:szCs w:val="20"/>
        </w:rPr>
        <w:t xml:space="preserve">"Controls, other than application controls, which relate to the environment within which computer-based application systems are developed, maintained and operated, and which are therefore applicable to all applications."</w:t>
      </w:r>
    </w:p>
    <w:p>
      <w:pPr>
        <w:spacing w:after="80" w:before="80"/>
      </w:pPr>
      <w:r>
        <w:t xml:space="preserve"/>
      </w:r>
    </w:p>
    <w:p>
      <w:pPr>
        <w:spacing w:after="50" w:before="50"/>
      </w:pPr>
      <w:r>
        <w:rPr>
          <w:rFonts w:ascii="Arial" w:cs="Arial" w:eastAsia="Arial" w:hAnsi="Arial"/>
          <w:b w:val="false"/>
          <w:bCs w:val="false"/>
          <w:sz w:val="20"/>
          <w:szCs w:val="20"/>
        </w:rPr>
        <w:t xml:space="preserve">ITGC testing is the process of assessing an organization's access control, change management controls, and IT operations controls to evaluate the system's internal control design and operating effectiveness.</w:t>
      </w:r>
    </w:p>
    <w:p>
      <w:pPr>
        <w:spacing w:after="80" w:before="80"/>
      </w:pPr>
      <w:r>
        <w:t xml:space="preserve"/>
      </w:r>
    </w:p>
    <w:p>
      <w:pPr>
        <w:spacing w:after="50" w:before="50"/>
      </w:pPr>
      <w:r>
        <w:rPr>
          <w:rFonts w:ascii="Arial" w:cs="Arial" w:eastAsia="Arial" w:hAnsi="Arial"/>
          <w:b/>
          <w:bCs/>
          <w:sz w:val="20"/>
          <w:szCs w:val="20"/>
        </w:rPr>
        <w:t xml:space="preserve">The 3 primary ITGC domains are:</w:t>
      </w:r>
    </w:p>
    <w:p>
      <w:pPr>
        <w:pStyle w:val="ListParagraph"/>
        <w:numPr>
          <w:ilvl w:val="0"/>
          <w:numId w:val="2"/>
        </w:numPr>
        <w:spacing w:after="40" w:before="40"/>
      </w:pPr>
      <w:r>
        <w:rPr>
          <w:rFonts w:ascii="Arial" w:cs="Arial" w:eastAsia="Arial" w:hAnsi="Arial"/>
          <w:sz w:val="20"/>
          <w:szCs w:val="20"/>
        </w:rPr>
        <w:t xml:space="preserve">(A) Access Controls — logical access and physical access controls over infrastructure, applications, and data</w:t>
      </w:r>
    </w:p>
    <w:p>
      <w:pPr>
        <w:pStyle w:val="ListParagraph"/>
        <w:numPr>
          <w:ilvl w:val="0"/>
          <w:numId w:val="2"/>
        </w:numPr>
        <w:spacing w:after="40" w:before="40"/>
      </w:pPr>
      <w:r>
        <w:rPr>
          <w:rFonts w:ascii="Arial" w:cs="Arial" w:eastAsia="Arial" w:hAnsi="Arial"/>
          <w:sz w:val="20"/>
          <w:szCs w:val="20"/>
        </w:rPr>
        <w:t xml:space="preserve">(B) Change Management Controls — program change management and SDLC controls</w:t>
      </w:r>
    </w:p>
    <w:p>
      <w:pPr>
        <w:pStyle w:val="ListParagraph"/>
        <w:numPr>
          <w:ilvl w:val="0"/>
          <w:numId w:val="2"/>
        </w:numPr>
        <w:spacing w:after="40" w:before="40"/>
      </w:pPr>
      <w:r>
        <w:rPr>
          <w:rFonts w:ascii="Arial" w:cs="Arial" w:eastAsia="Arial" w:hAnsi="Arial"/>
          <w:sz w:val="20"/>
          <w:szCs w:val="20"/>
        </w:rPr>
        <w:t xml:space="preserve">(C) IT / Computer Operations Controls — system/data backup and recovery, and job scheduling controls</w:t>
      </w:r>
    </w:p>
    <w:p>
      <w:pPr>
        <w:spacing w:after="80" w:before="80"/>
      </w:pPr>
      <w:r>
        <w:t xml:space="preserve"/>
      </w:r>
    </w:p>
    <w:p>
      <w:pPr>
        <w:spacing w:after="80" w:before="80"/>
      </w:pPr>
      <w:r>
        <w:t xml:space="preserve"/>
      </w:r>
    </w:p>
    <w:p>
      <w:pPr>
        <w:pBdr>
          <w:bottom w:val="single" w:color="1F3864" w:sz="8" w:space="2"/>
        </w:pBdr>
        <w:spacing w:after="80" w:before="280"/>
      </w:pPr>
      <w:r>
        <w:rPr>
          <w:rFonts w:ascii="Arial" w:cs="Arial" w:eastAsia="Arial" w:hAnsi="Arial"/>
          <w:b/>
          <w:bCs/>
          <w:color w:val="1F3864"/>
          <w:sz w:val="26"/>
          <w:szCs w:val="26"/>
        </w:rPr>
        <w:t xml:space="preserve">2. AUDIT PROGRAM — (A) ACCESS CONTROLS</w:t>
      </w:r>
    </w:p>
    <w:p>
      <w:pPr>
        <w:spacing w:after="80" w:before="80"/>
      </w:pPr>
      <w:r>
        <w:t xml:space="preserve"/>
      </w:r>
    </w:p>
    <w:p>
      <w:pPr>
        <w:spacing w:after="50" w:before="50"/>
      </w:pPr>
      <w:r>
        <w:rPr>
          <w:rFonts w:ascii="Arial" w:cs="Arial" w:eastAsia="Arial" w:hAnsi="Arial"/>
          <w:b w:val="false"/>
          <w:bCs w:val="false"/>
          <w:sz w:val="20"/>
          <w:szCs w:val="20"/>
        </w:rPr>
        <w:t xml:space="preserve">Objective (from PDF): "Only authorized persons have access to data and applications and that they can perform only specifically authorized functions."</w:t>
      </w:r>
    </w:p>
    <w:p>
      <w:pPr>
        <w:spacing w:after="80" w:before="80"/>
      </w:pPr>
      <w:r>
        <w:t xml:space="preserve"/>
      </w:r>
    </w:p>
    <w:p>
      <w:pPr>
        <w:spacing w:after="50" w:before="50"/>
      </w:pPr>
      <w:r>
        <w:rPr>
          <w:rFonts w:ascii="Arial" w:cs="Arial" w:eastAsia="Arial" w:hAnsi="Arial"/>
          <w:b w:val="false"/>
          <w:bCs w:val="false"/>
          <w:sz w:val="20"/>
          <w:szCs w:val="20"/>
        </w:rPr>
        <w:t xml:space="preserve">The objective of access control testing is to confirm there are effective controls in place around adding, updating, deleting and restricting user access to financial data and that access to that data is appropriately restricted.</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80"/>
        <w:gridCol w:w="1100"/>
        <w:gridCol w:w="1300"/>
        <w:gridCol w:w="2400"/>
        <w:gridCol w:w="1300"/>
        <w:gridCol w:w="1380"/>
        <w:gridCol w:w="120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Step</w:t>
            </w:r>
          </w:p>
        </w:tc>
        <w:tc>
          <w:tcPr>
            <w:tcW w:type="dxa" w:w="11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Test Area</w:t>
            </w:r>
          </w:p>
        </w:tc>
        <w:tc>
          <w:tcPr>
            <w:tcW w:type="dxa" w:w="13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PDF Objective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Audit Procedure</w:t>
            </w:r>
          </w:p>
        </w:tc>
        <w:tc>
          <w:tcPr>
            <w:tcW w:type="dxa" w:w="13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Evidence to Request</w:t>
            </w:r>
          </w:p>
        </w:tc>
        <w:tc>
          <w:tcPr>
            <w:tcW w:type="dxa" w:w="13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Pass Criteria</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Risk If Fails</w:t>
            </w:r>
          </w:p>
        </w:tc>
      </w:tr>
      <w:tr>
        <w:tc>
          <w:tcPr>
            <w:tcW w:type="dxa" w:w="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AC-1</w:t>
            </w:r>
          </w:p>
        </w:tc>
        <w:tc>
          <w:tcPr>
            <w:tcW w:type="dxa" w:w="1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Password Settings</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Password settings are appropriate.</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Obtain the organization's IT Security Policy for password configuration requirements.
Extract current system configuration settings from Active Directory or the identity provider.
Compare settings against policy for each of the following attributes:
  • Minimum password length
  • Initial log-on uses a one-time password
  • Password composition (alpha/numeric, not dictionary words)
  • Frequency of forced password changes
  • Number of unsuccessful log-on attempts allowed before lockout
  • Ability of users to assign their own passwords
  • Number of passwords used before reuse is permitted
  • Idle session timeout
Document any settings that deviate from policy as exceptions.</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IT Security Policy; Active Directory / system configuration screenshots; Identity provider settings (e.g., Azure AD, Okta)</w:t>
            </w:r>
          </w:p>
        </w:tc>
        <w:tc>
          <w:tcPr>
            <w:tcW w:type="dxa" w:w="13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All password configuration settings match the organization's documented policy. No deviations noted.</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Weak authentication increases likelihood of unauthorized account compromise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sz w:val="18"/>
                <w:szCs w:val="18"/>
              </w:rPr>
              <w:t xml:space="preserve">AC-2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User Access Authorization (Provisioning)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User access is authorized and appropriately established.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NEW USERS: Select a sample of new user accounts created during the audit period.
For each, confirm: (1) access aligns with job function, (2) access was approved by the appropriate manager, (3) access granted by system administrator matches the approval.
TERMINATED USERS: Obtain HR termination listing for the period.
Cross-reference against Active Directory and application access logs.
Identify any accounts still active after termination date beyond the SLA.
TRANSFERRED USERS: Obtain a list of employees who changed roles during the period.
Confirm access for the previous function was removed or deactivated and new access reflects current job function only.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HR new hire list; Access request/approval tickets; Active Directory user export; HR termination report; Transfer notifications; IT offboarding records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100% of sampled new users: access matches job function and is properly approved. Zero terminated users with active accounts beyond SLA. Transferred users show prior access removed and new access appropriate.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Unauthorized access to systems and financial data; former/transferred employees retain inappropriate privileges</w:t>
            </w:r>
          </w:p>
        </w:tc>
      </w:tr>
      <w:tr>
        <w:tc>
          <w:tcPr>
            <w:tcW w:type="dxa" w:w="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AC-3</w:t>
            </w:r>
          </w:p>
        </w:tc>
        <w:tc>
          <w:tcPr>
            <w:tcW w:type="dxa" w:w="1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Physical Access to Data Center</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Physical access to computer hardware is limited to appropriate individuals.</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Obtain the list of all employees with physical access to the data center / server room.
Determine the list is complete and review each individual for appropriateness based on job function.
Confirm that controls are in place to restrict access to only those individuals (e.g., badge readers, biometrics, security cameras).
Confirm the existence and frequency of a formal physical access review.</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Physical access roster; Badge/keycard access logs; Physical access review documentation</w:t>
            </w:r>
          </w:p>
        </w:tc>
        <w:tc>
          <w:tcPr>
            <w:tcW w:type="dxa" w:w="13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All individuals with data center access have documented business justification. Physical access review completed at required frequency with no unresolved exceptions.</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Unauthorized physical access to servers enabling hardware tampering, theft, or destruction of financial data</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sz w:val="18"/>
                <w:szCs w:val="18"/>
              </w:rPr>
              <w:t xml:space="preserve">AC-4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Privileged User Rights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Access to privileged IT functions is limited to appropriate individuals.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Obtain a complete list of accounts with privileged/admin/superuser access, including sensitive utility access.
For each privileged account, verify: (1) the individual's job description justifies the access, (2) the access was formally approved, (3) no shared privileged accounts exist.
Include review of sensitive system accounts (e.g., service accounts with elevated rights).
Identify any privileged users whose access exceeds what their job function requires.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Privileged account listing; Job descriptions; Access approval documentation; IT policy on privileged access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All privileged accounts are individually assigned, documented, and approved. No shared admin credentials. All access aligns with current job function.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Excessive privilege enables insider threat, fraud, or undetected system manipulation</w:t>
            </w:r>
          </w:p>
        </w:tc>
      </w:tr>
      <w:tr>
        <w:tc>
          <w:tcPr>
            <w:tcW w:type="dxa" w:w="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AC-5</w:t>
            </w:r>
          </w:p>
        </w:tc>
        <w:tc>
          <w:tcPr>
            <w:tcW w:type="dxa" w:w="1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Logical Access Monitoring</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Logical access process is monitored.</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Identify all monitoring controls in place for logical access during the audit period.
Confirm that periodic logical access reviews for continued appropriateness are performed and documented.
Verify that violation and violation attempt reporting is configured and reviewed on a regular basis.
Confirm that logs surrounding privileged user access are reviewed at defined intervals.
Obtain evidence of actual log review activity (e.g., sign-off sheets, SIEM reports, ticketing system records).</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Access recertification reports; SIEM alert configuration and review logs; Violation/exception reports; Privileged user access logs with evidence of review</w:t>
            </w:r>
          </w:p>
        </w:tc>
        <w:tc>
          <w:tcPr>
            <w:tcW w:type="dxa" w:w="13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Periodic access reviews completed on schedule with management sign-off. Violation reports reviewed at defined frequency. Log reviews evidenced and documented.</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Without monitoring, unauthorized access or privilege abuse may go undetected for extended periods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sz w:val="18"/>
                <w:szCs w:val="18"/>
              </w:rPr>
              <w:t xml:space="preserve">AC-6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Segregation of Incompatible Duties (SoD)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Segregation of incompatible duties exists within the access control environment.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Confirm that the following duties are performed by DIFFERENT individuals both organizationally and logically:
  • Requesting access vs. Approving access
  • Approving access vs. Setting up access (system administration)
  • Setting up access vs. Monitoring access violations/violation attempts
  • Performing privileged user functions vs. Monitoring use of privileged user accounts
Review user role matrix for conflicting combinations.
Document any SoD conflicts identified and confirm whether compensating controls exist and are documented.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User role/access matrix; SoD conflict report; Organizational chart; Compensating control documentation approved by management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No individual has conflicting duties without a documented compensating control. All four SoD separations confirmed both organizationally and logically.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SoD violations enable one individual to initiate, approve, and conceal unauthorized transactions — a primary fraud risk</w:t>
            </w:r>
          </w:p>
        </w:tc>
      </w:tr>
    </w:tbl>
    <w:p>
      <w:pPr>
        <w:spacing w:after="80" w:before="80"/>
      </w:pPr>
      <w:r>
        <w:t xml:space="preserve"/>
      </w:r>
    </w:p>
    <w:p>
      <w:pPr>
        <w:spacing w:after="80" w:before="80"/>
      </w:pPr>
      <w:r>
        <w:t xml:space="preserve"/>
      </w:r>
    </w:p>
    <w:p>
      <w:pPr>
        <w:pBdr>
          <w:bottom w:val="single" w:color="1F3864" w:sz="8" w:space="2"/>
        </w:pBdr>
        <w:spacing w:after="80" w:before="280"/>
      </w:pPr>
      <w:r>
        <w:rPr>
          <w:rFonts w:ascii="Arial" w:cs="Arial" w:eastAsia="Arial" w:hAnsi="Arial"/>
          <w:b/>
          <w:bCs/>
          <w:color w:val="1F3864"/>
          <w:sz w:val="26"/>
          <w:szCs w:val="26"/>
        </w:rPr>
        <w:t xml:space="preserve">3. AUDIT PROGRAM — (B) CHANGE MANAGEMENT CONTROLS</w:t>
      </w:r>
    </w:p>
    <w:p>
      <w:pPr>
        <w:spacing w:after="80" w:before="80"/>
      </w:pPr>
      <w:r>
        <w:t xml:space="preserve"/>
      </w:r>
    </w:p>
    <w:p>
      <w:pPr>
        <w:spacing w:after="50" w:before="50"/>
      </w:pPr>
      <w:r>
        <w:rPr>
          <w:rFonts w:ascii="Arial" w:cs="Arial" w:eastAsia="Arial" w:hAnsi="Arial"/>
          <w:b w:val="false"/>
          <w:bCs w:val="false"/>
          <w:sz w:val="20"/>
          <w:szCs w:val="20"/>
        </w:rPr>
        <w:t xml:space="preserve">Objective (from PDF): "Only appropriately authorized, tested, and approved changes are made to applications, databases, and operating systems."</w:t>
      </w:r>
    </w:p>
    <w:p>
      <w:pPr>
        <w:spacing w:after="80" w:before="80"/>
      </w:pPr>
      <w:r>
        <w:t xml:space="preserve"/>
      </w:r>
    </w:p>
    <w:p>
      <w:pPr>
        <w:spacing w:after="50" w:before="50"/>
      </w:pPr>
      <w:r>
        <w:rPr>
          <w:rFonts w:ascii="Arial" w:cs="Arial" w:eastAsia="Arial" w:hAnsi="Arial"/>
          <w:b w:val="false"/>
          <w:bCs w:val="false"/>
          <w:sz w:val="20"/>
          <w:szCs w:val="20"/>
        </w:rPr>
        <w:t xml:space="preserve">Types of changes covered: System Development / Acquisition (SDLC), Program Changes, Maintenance (patches, OS upgrades), Emergency Changes.</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80"/>
        <w:gridCol w:w="1100"/>
        <w:gridCol w:w="1300"/>
        <w:gridCol w:w="2400"/>
        <w:gridCol w:w="1300"/>
        <w:gridCol w:w="1380"/>
        <w:gridCol w:w="120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Step</w:t>
            </w:r>
          </w:p>
        </w:tc>
        <w:tc>
          <w:tcPr>
            <w:tcW w:type="dxa" w:w="11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Test Area</w:t>
            </w:r>
          </w:p>
        </w:tc>
        <w:tc>
          <w:tcPr>
            <w:tcW w:type="dxa" w:w="13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PDF Objective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Audit Procedure</w:t>
            </w:r>
          </w:p>
        </w:tc>
        <w:tc>
          <w:tcPr>
            <w:tcW w:type="dxa" w:w="13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Evidence to Request</w:t>
            </w:r>
          </w:p>
        </w:tc>
        <w:tc>
          <w:tcPr>
            <w:tcW w:type="dxa" w:w="13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Pass Criteria</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Risk If Fails</w:t>
            </w:r>
          </w:p>
        </w:tc>
      </w:tr>
      <w:tr>
        <w:tc>
          <w:tcPr>
            <w:tcW w:type="dxa" w:w="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CM-1</w:t>
            </w:r>
          </w:p>
        </w:tc>
        <w:tc>
          <w:tcPr>
            <w:tcW w:type="dxa" w:w="1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Change Authorization</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Changes are authorized.</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Select a sample of changes (program changes, patches, SDLC implementations, emergency changes) from the audit period. For each, confirm a formal change request was submitted and approved by the appropriate authority before work began. For emergency changes, confirm approval was obtained after the fact and documented.</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Change request tickets (e.g., ServiceNow, Jira); Change Advisory Board (CAB) meeting minutes; Manager/stakeholder approval records</w:t>
            </w:r>
          </w:p>
        </w:tc>
        <w:tc>
          <w:tcPr>
            <w:tcW w:type="dxa" w:w="13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100% of sampled changes have documented authorization. Emergency changes have retroactive approval documented.</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Unauthorized changes may introduce errors, vulnerabilities, or fraud into production systems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sz w:val="18"/>
                <w:szCs w:val="18"/>
              </w:rPr>
              <w:t xml:space="preserve">CM-2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Change Testing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Changes are tested.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For the same sample of changes, confirm that unit testing, integration testing, performance testing, and/or user acceptance testing (UAT) was completed before migration to production. Verify that test results are documented and approved.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Test plans; Test results/sign-off documents; UAT approval records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All sampled changes have documented test results and sign-off prior to production migration.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Untested changes may introduce system errors that affect accuracy of financial reporting</w:t>
            </w:r>
          </w:p>
        </w:tc>
      </w:tr>
      <w:tr>
        <w:tc>
          <w:tcPr>
            <w:tcW w:type="dxa" w:w="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CM-3</w:t>
            </w:r>
          </w:p>
        </w:tc>
        <w:tc>
          <w:tcPr>
            <w:tcW w:type="dxa" w:w="1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Change Approval Before Production Migration</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Changes are approved before being migrated to production environment.</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Confirm that formal approval to migrate each sampled change to the production environment was obtained from the appropriate authority (e.g., IT manager, Change Advisory Board). Verify the approval timestamp precedes the production migration timestamp.</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Change approval records; Production migration logs with timestamps; CAB approvals</w:t>
            </w:r>
          </w:p>
        </w:tc>
        <w:tc>
          <w:tcPr>
            <w:tcW w:type="dxa" w:w="13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Production migration approval timestamp precedes actual migration for 100% of sampled changes.</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Unapproved migrations may introduce unauthorized modifications to financial systems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sz w:val="18"/>
                <w:szCs w:val="18"/>
              </w:rPr>
              <w:t xml:space="preserve">CM-4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Segregation of Duties — Change Management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Segregation of incompatible duties exists within the change management environment.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Confirm that the following duties are performed by DIFFERENT individuals both organizationally and logically:
  • Requesting/Approving the development or change
  • Programming (developing) the change
  • Moving changes in and out of production (migration)
Verify no single individual has the ability to both develop and migrate changes to production.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Access rights for development vs. production environments; Organizational chart; Change management role assignments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No individual can both develop and migrate changes. The three duties are separated across different roles.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Without SoD in change management, a developer could introduce and deploy unauthorized code changes undetected</w:t>
            </w:r>
          </w:p>
        </w:tc>
      </w:tr>
    </w:tbl>
    <w:p>
      <w:pPr>
        <w:spacing w:after="80" w:before="80"/>
      </w:pPr>
      <w:r>
        <w:t xml:space="preserve"/>
      </w:r>
    </w:p>
    <w:p>
      <w:pPr>
        <w:spacing w:after="80" w:before="80"/>
      </w:pPr>
      <w:r>
        <w:t xml:space="preserve"/>
      </w:r>
    </w:p>
    <w:p>
      <w:pPr>
        <w:pBdr>
          <w:bottom w:val="single" w:color="1F3864" w:sz="8" w:space="2"/>
        </w:pBdr>
        <w:spacing w:after="80" w:before="280"/>
      </w:pPr>
      <w:r>
        <w:rPr>
          <w:rFonts w:ascii="Arial" w:cs="Arial" w:eastAsia="Arial" w:hAnsi="Arial"/>
          <w:b/>
          <w:bCs/>
          <w:color w:val="1F3864"/>
          <w:sz w:val="26"/>
          <w:szCs w:val="26"/>
        </w:rPr>
        <w:t xml:space="preserve">4. AUDIT PROGRAM — (C) IT OPERATIONS CONTROLS</w:t>
      </w:r>
    </w:p>
    <w:p>
      <w:pPr>
        <w:spacing w:after="80" w:before="80"/>
      </w:pPr>
      <w:r>
        <w:t xml:space="preserve"/>
      </w:r>
    </w:p>
    <w:p>
      <w:pPr>
        <w:spacing w:after="50" w:before="50"/>
      </w:pPr>
      <w:r>
        <w:rPr>
          <w:rFonts w:ascii="Arial" w:cs="Arial" w:eastAsia="Arial" w:hAnsi="Arial"/>
          <w:b w:val="false"/>
          <w:bCs w:val="false"/>
          <w:sz w:val="20"/>
          <w:szCs w:val="20"/>
        </w:rPr>
        <w:t xml:space="preserve">Objectives (from PDF): (1) Data supporting financial information is properly backed up so such data can be accurately and completely recovered if there is a system outage or data integrity issue. (2) Programs are executed as planned and deviations from scheduled processing are identified and resolved in a timely manner.</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80"/>
        <w:gridCol w:w="1100"/>
        <w:gridCol w:w="1300"/>
        <w:gridCol w:w="2400"/>
        <w:gridCol w:w="1300"/>
        <w:gridCol w:w="1380"/>
        <w:gridCol w:w="120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Step</w:t>
            </w:r>
          </w:p>
        </w:tc>
        <w:tc>
          <w:tcPr>
            <w:tcW w:type="dxa" w:w="11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Test Area</w:t>
            </w:r>
          </w:p>
        </w:tc>
        <w:tc>
          <w:tcPr>
            <w:tcW w:type="dxa" w:w="13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PDF Objective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Audit Procedure</w:t>
            </w:r>
          </w:p>
        </w:tc>
        <w:tc>
          <w:tcPr>
            <w:tcW w:type="dxa" w:w="13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Evidence to Request</w:t>
            </w:r>
          </w:p>
        </w:tc>
        <w:tc>
          <w:tcPr>
            <w:tcW w:type="dxa" w:w="13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Pass Criteria</w:t>
            </w:r>
          </w:p>
        </w:tc>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Risk If Fails</w:t>
            </w:r>
          </w:p>
        </w:tc>
      </w:tr>
      <w:tr>
        <w:tc>
          <w:tcPr>
            <w:tcW w:type="dxa" w:w="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OP-1</w:t>
            </w:r>
          </w:p>
        </w:tc>
        <w:tc>
          <w:tcPr>
            <w:tcW w:type="dxa" w:w="1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Backup and Recovery</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Financial data has been backed-up and is recoverable.</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Determine that data supporting financial information is properly backed up. Obtain evidence that the organization has performed a backup recovery test during the financial year (this may be part of a Contingency Plan test or Disaster Recovery test). Verify that the test confirmed data was accurately and completely recoverable from backup. Review help desk tickets or documented test results as evidence.</w:t>
            </w:r>
          </w:p>
        </w:tc>
        <w:tc>
          <w:tcPr>
            <w:tcW w:type="dxa" w:w="13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Backup policy; Backup logs; Help desk ticket for recovery event; Contingency Plan test results / Disaster Recovery test documentation</w:t>
            </w:r>
          </w:p>
        </w:tc>
        <w:tc>
          <w:tcPr>
            <w:tcW w:type="dxa" w:w="13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At least one documented backup recovery test performed during the audit period with confirmed successful recovery of financial data.</w:t>
            </w:r>
          </w:p>
        </w:tc>
        <w:tc>
          <w:tcPr>
            <w:tcW w:type="dxa" w:w="1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Inability to recover financial data after a system outage results in loss of financial records and reporting failure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sz w:val="18"/>
                <w:szCs w:val="18"/>
              </w:rPr>
              <w:t xml:space="preserve">OP-2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Job Scheduling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Deviations from scheduled processing are identified and resolved in a timely manner.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Obtain the job scheduling calendar/run book for financial processing jobs (e.g., batch processing, data feeds, report generation). Select a sample of scheduled jobs from the audit period and confirm they executed as planned. For any deviations or failures, verify they were identified, escalated, and resolved within the defined SLA. Review incident/help desk tickets for job failures.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Job scheduling run book; Job execution logs; Incident/help desk tickets for job failures; Resolution documentation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All sampled scheduled jobs executed as planned OR deviations were identified and resolved within SLA with documented evidence.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Undetected job failures may result in incomplete or inaccurate financial data processing</w:t>
            </w:r>
          </w:p>
        </w:tc>
      </w:tr>
    </w:tbl>
    <w:p>
      <w:pPr>
        <w:spacing w:after="80" w:before="80"/>
      </w:pPr>
      <w:r>
        <w:t xml:space="preserve"/>
      </w:r>
    </w:p>
    <w:p>
      <w:pPr>
        <w:spacing w:after="80" w:before="80"/>
      </w:pPr>
      <w:r>
        <w:t xml:space="preserve"/>
      </w:r>
    </w:p>
    <w:p>
      <w:pPr>
        <w:pBdr>
          <w:bottom w:val="single" w:color="1F3864" w:sz="8" w:space="2"/>
        </w:pBdr>
        <w:spacing w:after="80" w:before="280"/>
      </w:pPr>
      <w:r>
        <w:rPr>
          <w:rFonts w:ascii="Arial" w:cs="Arial" w:eastAsia="Arial" w:hAnsi="Arial"/>
          <w:b/>
          <w:bCs/>
          <w:color w:val="1F3864"/>
          <w:sz w:val="26"/>
          <w:szCs w:val="26"/>
        </w:rPr>
        <w:t xml:space="preserve">5. IT APPLICATION CONTROLS — REFERENCE</w:t>
      </w:r>
    </w:p>
    <w:p>
      <w:pPr>
        <w:spacing w:after="80" w:before="80"/>
      </w:pPr>
      <w:r>
        <w:t xml:space="preserve"/>
      </w:r>
    </w:p>
    <w:p>
      <w:pPr>
        <w:spacing w:after="50" w:before="50"/>
      </w:pPr>
      <w:r>
        <w:rPr>
          <w:rFonts w:ascii="Arial" w:cs="Arial" w:eastAsia="Arial" w:hAnsi="Arial"/>
          <w:b w:val="false"/>
          <w:bCs w:val="false"/>
          <w:sz w:val="20"/>
          <w:szCs w:val="20"/>
        </w:rPr>
        <w:t xml:space="preserve">Per the PDF: "IT application or program controls are fully automated (i.e., performed automatically by the systems) designed to ensure the complete and accurate processing of data, from input through output (input–processing–output controls)."</w:t>
      </w:r>
    </w:p>
    <w:p>
      <w:pPr>
        <w:spacing w:after="80" w:before="80"/>
      </w:pPr>
      <w:r>
        <w:t xml:space="preserve"/>
      </w:r>
    </w:p>
    <w:p>
      <w:pPr>
        <w:spacing w:after="50" w:before="50"/>
      </w:pPr>
      <w:r>
        <w:rPr>
          <w:rFonts w:ascii="Arial" w:cs="Arial" w:eastAsia="Arial" w:hAnsi="Arial"/>
          <w:b/>
          <w:bCs/>
          <w:sz w:val="20"/>
          <w:szCs w:val="20"/>
        </w:rPr>
        <w:t xml:space="preserve">The 5 categories of IT Application Controls are:</w:t>
      </w:r>
    </w:p>
    <w:p>
      <w:pPr>
        <w:spacing w:after="80" w:before="80"/>
      </w:pPr>
      <w:r>
        <w:t xml:space="preserve"/>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4640"/>
        <w:gridCol w:w="6640"/>
      </w:tblGrid>
      <w:tr>
        <w:trPr>
          <w:tblHeader/>
        </w:trPr>
        <w:tc>
          <w:tcPr>
            <w:tcW w:type="dxa" w:w="5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Category</w:t>
            </w:r>
          </w:p>
        </w:tc>
        <w:tc>
          <w:tcPr>
            <w:tcW w:type="dxa" w:w="46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Definition (from PDF)</w:t>
            </w:r>
          </w:p>
        </w:tc>
        <w:tc>
          <w:tcPr>
            <w:tcW w:type="dxa" w:w="66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Practical Example</w:t>
            </w:r>
          </w:p>
        </w:tc>
      </w:tr>
      <w:tr>
        <w:tc>
          <w:tcPr>
            <w:tcW w:type="dxa" w:w="5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1</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Completeness Checks</w:t>
            </w:r>
          </w:p>
        </w:tc>
        <w:tc>
          <w:tcPr>
            <w:tcW w:type="dxa" w:w="4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Controls that ensure all records were processed from initiation to completion.</w:t>
            </w:r>
          </w:p>
        </w:tc>
        <w:tc>
          <w:tcPr>
            <w:tcW w:type="dxa" w:w="6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System confirms all invoice records submitted in a batch are fully processed before closing the batch run.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Data Edit / Validity Checks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Controls that ensure only valid data is input or processed.</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System rejects a vendor payment entry if the vendor ID does not exist in the approved vendor master list.</w:t>
            </w:r>
          </w:p>
        </w:tc>
      </w:tr>
      <w:tr>
        <w:tc>
          <w:tcPr>
            <w:tcW w:type="dxa" w:w="5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3</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Calculation Checks</w:t>
            </w:r>
          </w:p>
        </w:tc>
        <w:tc>
          <w:tcPr>
            <w:tcW w:type="dxa" w:w="4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Controls that ensure computation is occurring accurately.</w:t>
            </w:r>
          </w:p>
        </w:tc>
        <w:tc>
          <w:tcPr>
            <w:tcW w:type="dxa" w:w="6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System automatically extends and foots an invoice — multiplying unit price by quantity and summing line items — without manual intervention.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sz w:val="18"/>
                <w:szCs w:val="18"/>
              </w:rPr>
              <w:t xml:space="preserve">Interface Checks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Controls that limit the risk of incomplete transfer or exchange of data among different systems.</w:t>
            </w:r>
          </w:p>
        </w:tc>
        <w:tc>
          <w:tcPr>
            <w:tcW w:type="dxa" w:w="6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Automated reconciliation confirms that all records transmitted from the ERP to the general ledger were received completely and without data corruption.</w:t>
            </w:r>
          </w:p>
        </w:tc>
      </w:tr>
      <w:tr>
        <w:tc>
          <w:tcPr>
            <w:tcW w:type="dxa" w:w="5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center"/>
            </w:pPr>
            <w:r>
              <w:rPr>
                <w:rFonts w:ascii="Arial" w:cs="Arial" w:eastAsia="Arial" w:hAnsi="Arial"/>
                <w:b/>
                <w:bCs/>
                <w:sz w:val="18"/>
                <w:szCs w:val="18"/>
              </w:rPr>
              <w:t xml:space="preserve">5</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bCs/>
                <w:sz w:val="18"/>
                <w:szCs w:val="18"/>
              </w:rPr>
              <w:t xml:space="preserve">Authorization Checks</w:t>
            </w:r>
          </w:p>
        </w:tc>
        <w:tc>
          <w:tcPr>
            <w:tcW w:type="dxa" w:w="4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Controls that ensure approvals and overrides are performed only by authorized users, and that individuals do not have capabilities that conflict with SoD and fraud prevention.</w:t>
            </w:r>
          </w:p>
        </w:tc>
        <w:tc>
          <w:tcPr>
            <w:tcW w:type="dxa" w:w="6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System prevents a user from both creating and approving a purchase order if those roles are flagged as conflicting in the access matrix.</w:t>
            </w:r>
          </w:p>
        </w:tc>
      </w:tr>
    </w:tbl>
    <w:p>
      <w:pPr>
        <w:spacing w:after="80" w:before="80"/>
      </w:pPr>
      <w:r>
        <w:t xml:space="preserve"/>
      </w:r>
    </w:p>
    <w:p>
      <w:pPr>
        <w:spacing w:after="80" w:before="80"/>
      </w:pPr>
      <w:r>
        <w:t xml:space="preserve"/>
      </w:r>
    </w:p>
    <w:p>
      <w:pPr>
        <w:pBdr>
          <w:bottom w:val="single" w:color="1F3864" w:sz="8" w:space="2"/>
        </w:pBdr>
        <w:spacing w:after="80" w:before="280"/>
      </w:pPr>
      <w:r>
        <w:rPr>
          <w:rFonts w:ascii="Arial" w:cs="Arial" w:eastAsia="Arial" w:hAnsi="Arial"/>
          <w:b/>
          <w:bCs/>
          <w:color w:val="1F3864"/>
          <w:sz w:val="26"/>
          <w:szCs w:val="26"/>
        </w:rPr>
        <w:t xml:space="preserve">6. SAMPLE AUDIT FINDING — HOW TO WRITE IT UP</w:t>
      </w:r>
    </w:p>
    <w:p>
      <w:pPr>
        <w:spacing w:after="80" w:before="80"/>
      </w:pPr>
      <w:r>
        <w:t xml:space="preserve"/>
      </w:r>
    </w:p>
    <w:p>
      <w:pPr>
        <w:spacing w:after="50" w:before="50"/>
      </w:pPr>
      <w:r>
        <w:rPr>
          <w:rFonts w:ascii="Arial" w:cs="Arial" w:eastAsia="Arial" w:hAnsi="Arial"/>
          <w:b w:val="false"/>
          <w:bCs w:val="false"/>
          <w:sz w:val="20"/>
          <w:szCs w:val="20"/>
        </w:rPr>
        <w:t xml:space="preserve">When testing reveals a control exception, the IT auditor documents it in this standard format. This is the structure used in real audit reports and SOX workpapers.</w:t>
      </w:r>
    </w:p>
    <w:p>
      <w:pPr>
        <w:spacing w:after="80" w:before="80"/>
      </w:pPr>
      <w:r>
        <w:t xml:space="preserve"/>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000"/>
        <w:gridCol w:w="11800"/>
      </w:tblGrid>
      <w:tr>
        <w:tc>
          <w:tcPr>
            <w:gridSpan w:val="2"/>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SAMPLE FINDING: Terminated Employee Accounts Not Disabled Within SLA  |  Step AC-2  |  Risk: HIGH</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Finding Title</w:t>
            </w:r>
          </w:p>
        </w:tc>
        <w:tc>
          <w:tcPr>
            <w:tcW w:type="dxa" w:w="1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Terminated Employee Accounts Not Disabled Within Policy SLA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Risk Rating</w:t>
            </w:r>
          </w:p>
        </w:tc>
        <w:tc>
          <w:tcPr>
            <w:tcW w:type="dxa" w:w="1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ITGC Domain</w:t>
            </w:r>
          </w:p>
        </w:tc>
        <w:tc>
          <w:tcPr>
            <w:tcW w:type="dxa" w:w="1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Access Controls — User Access Authorization (Step AC-2)</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Condition</w:t>
            </w:r>
          </w:p>
        </w:tc>
        <w:tc>
          <w:tcPr>
            <w:tcW w:type="dxa" w:w="1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During testing of 30 terminated employees, 6 accounts (20%) remained active in Active Directory for more than 5 business days after the HR-confirmed termination date, exceeding the company's 48-hour SLA.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Criteria</w:t>
            </w:r>
          </w:p>
        </w:tc>
        <w:tc>
          <w:tcPr>
            <w:tcW w:type="dxa" w:w="1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Per the organization's IT Access Management Policy, all terminated employee accounts must be disabled within 48 hours of the HR-confirmed termination date.</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Cause</w:t>
            </w:r>
          </w:p>
        </w:tc>
        <w:tc>
          <w:tcPr>
            <w:tcW w:type="dxa" w:w="1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The IT offboarding process relies on manual email notification from HR to IT. There is no automated integration between the HRIS system and Active Directory to trigger immediate account deactivation upon termination processing.</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Effect</w:t>
            </w:r>
          </w:p>
        </w:tc>
        <w:tc>
          <w:tcPr>
            <w:tcW w:type="dxa" w:w="1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Terminated employees retained the ability to access company systems and financial data after separation, increasing the risk of unauthorized access, data theft, and non-compliance with SOX access control requirements.</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Recommendation</w:t>
            </w:r>
          </w:p>
        </w:tc>
        <w:tc>
          <w:tcPr>
            <w:tcW w:type="dxa" w:w="1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Implement an automated integration between the HRIS and Active Directory to trigger account deactivation upon HR processing of a termination. In the interim, establish a daily reconciliation report comparing HR terminations against active AD accounts, reviewed by IT Security.</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vAlign w:val="top"/>
          </w:tcPr>
          <w:p>
            <w:pPr>
              <w:jc w:val="left"/>
            </w:pPr>
            <w:r>
              <w:rPr>
                <w:rFonts w:ascii="Arial" w:cs="Arial" w:eastAsia="Arial" w:hAnsi="Arial"/>
                <w:b/>
                <w:bCs/>
                <w:sz w:val="18"/>
                <w:szCs w:val="18"/>
              </w:rPr>
              <w:t xml:space="preserve">Management Response</w:t>
            </w:r>
          </w:p>
        </w:tc>
        <w:tc>
          <w:tcPr>
            <w:tcW w:type="dxa" w:w="1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[To be completed by management — include agreed corrective action and target remediation date]</w:t>
            </w:r>
          </w:p>
        </w:tc>
      </w:tr>
    </w:tbl>
    <w:p>
      <w:pPr>
        <w:spacing w:after="80" w:before="80"/>
      </w:pPr>
      <w:r>
        <w:t xml:space="preserve"/>
      </w:r>
    </w:p>
    <w:p>
      <w:pPr>
        <w:spacing w:after="80" w:before="80"/>
      </w:pPr>
      <w:r>
        <w:t xml:space="preserve"/>
      </w:r>
    </w:p>
    <w:p>
      <w:pPr>
        <w:pBdr>
          <w:top w:val="single" w:color="1F3864" w:sz="6" w:space="4"/>
        </w:pBdr>
        <w:spacing w:after="0" w:before="200"/>
        <w:jc w:val="center"/>
      </w:pPr>
      <w:r>
        <w:rPr>
          <w:rFonts w:ascii="Arial" w:cs="Arial" w:eastAsia="Arial" w:hAnsi="Arial"/>
          <w:i/>
          <w:iCs/>
          <w:color w:val="595959"/>
          <w:sz w:val="16"/>
          <w:szCs w:val="16"/>
        </w:rPr>
        <w:t xml:space="preserve">IT Audit Portfolio  |  Lab 2: ITGC Audit Program  |  Source: IA 1-3 IT Audit Introduction Class PDF  |  Marion Ongwae  |  June 2026</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2026-06-20T19:43:28.789Z</dcterms:created>
  <dcterms:modified xsi:type="dcterms:W3CDTF">2026-06-20T19:43:28.802Z</dcterms:modified>
</cp:coreProperties>
</file>

<file path=docProps/custom.xml><?xml version="1.0" encoding="utf-8"?>
<Properties xmlns="http://schemas.openxmlformats.org/officeDocument/2006/custom-properties" xmlns:vt="http://schemas.openxmlformats.org/officeDocument/2006/docPropsVTypes"/>
</file>