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529B"/>
          <w:sz w:val="56"/>
        </w:rPr>
        <w:t>NYOTA TECH</w:t>
      </w:r>
    </w:p>
    <w:p>
      <w:pPr>
        <w:jc w:val="center"/>
      </w:pPr>
      <w:r>
        <w:rPr>
          <w:i/>
          <w:color w:val="00529B"/>
          <w:sz w:val="28"/>
        </w:rPr>
        <w:t>Software &amp; Systems</w:t>
      </w:r>
    </w:p>
    <w:p>
      <w:pPr>
        <w:spacing w:before="80" w:after="80"/>
        <w:pBdr>
          <w:bottom w:val="single" w:sz="6" w:space="1" w:color="00529B"/>
        </w:pBdr>
      </w:pPr>
    </w:p>
    <w:p>
      <w:pPr>
        <w:jc w:val="center"/>
      </w:pPr>
      <w:r>
        <w:rPr>
          <w:b/>
          <w:color w:val="000000"/>
          <w:sz w:val="40"/>
        </w:rPr>
        <w:t>Proposal &amp; Quotation</w:t>
      </w:r>
    </w:p>
    <w:p>
      <w:pPr>
        <w:jc w:val="center"/>
      </w:pPr>
      <w:r>
        <w:rPr>
          <w:color w:val="00326E"/>
          <w:sz w:val="32"/>
        </w:rPr>
        <w:t>WhatsApp Business API Integration</w:t>
      </w:r>
    </w:p>
    <w:p/>
    <w:p>
      <w:pPr>
        <w:jc w:val="center"/>
      </w:pPr>
      <w:r>
        <w:rPr>
          <w:color w:val="000000"/>
          <w:sz w:val="24"/>
        </w:rPr>
        <w:t>Prepared for: [Client Name]</w:t>
      </w:r>
    </w:p>
    <w:p>
      <w:pPr>
        <w:jc w:val="center"/>
      </w:pPr>
      <w:r>
        <w:rPr>
          <w:color w:val="000000"/>
          <w:sz w:val="24"/>
        </w:rPr>
        <w:t>Date: 23 May 2026</w:t>
      </w:r>
    </w:p>
    <w:p>
      <w:pPr>
        <w:jc w:val="center"/>
      </w:pPr>
      <w:r>
        <w:rPr>
          <w:color w:val="000000"/>
          <w:sz w:val="22"/>
        </w:rPr>
        <w:t>Reference: NT-Q-2026-001</w:t>
      </w:r>
    </w:p>
    <w:p/>
    <w:p/>
    <w:p/>
    <w:p/>
    <w:p>
      <w:pPr>
        <w:jc w:val="center"/>
      </w:pPr>
      <w:r>
        <w:rPr>
          <w:color w:val="00529B"/>
          <w:sz w:val="22"/>
        </w:rPr>
        <w:t>Nyota Tech Limited</w:t>
      </w:r>
    </w:p>
    <w:p>
      <w:pPr>
        <w:jc w:val="center"/>
      </w:pPr>
      <w:r>
        <w:rPr>
          <w:color w:val="00529B"/>
          <w:sz w:val="20"/>
        </w:rPr>
        <w:t>nyotatech.info@gmail.com</w:t>
      </w:r>
    </w:p>
    <w:p>
      <w:r>
        <w:br w:type="page"/>
      </w:r>
    </w:p>
    <w:p>
      <w:pPr>
        <w:jc w:val="center"/>
      </w:pPr>
      <w:r>
        <w:rPr>
          <w:b/>
          <w:color w:val="00529B"/>
          <w:sz w:val="32"/>
        </w:rPr>
        <w:t>Table of Contents</w:t>
      </w:r>
    </w:p>
    <w:p>
      <w:pPr>
        <w:spacing w:before="80" w:after="80"/>
        <w:pBdr>
          <w:bottom w:val="single" w:sz="6" w:space="1" w:color="00529B"/>
        </w:pBdr>
      </w:pPr>
    </w:p>
    <w:p>
      <w:r>
        <w:rPr>
          <w:color w:val="000000"/>
          <w:sz w:val="24"/>
        </w:rPr>
        <w:t>1.  Executive Summary</w:t>
      </w:r>
    </w:p>
    <w:p>
      <w:r>
        <w:rPr>
          <w:color w:val="000000"/>
          <w:sz w:val="24"/>
        </w:rPr>
        <w:t>2.  Technical Solution Overview</w:t>
      </w:r>
    </w:p>
    <w:p>
      <w:r>
        <w:rPr>
          <w:color w:val="000000"/>
          <w:sz w:val="24"/>
        </w:rPr>
        <w:t>3.  Scope of Work</w:t>
      </w:r>
    </w:p>
    <w:p>
      <w:r>
        <w:rPr>
          <w:color w:val="000000"/>
          <w:sz w:val="24"/>
        </w:rPr>
        <w:t>4.  Pricing &amp; Fees</w:t>
      </w:r>
    </w:p>
    <w:p>
      <w:r>
        <w:rPr>
          <w:color w:val="000000"/>
          <w:sz w:val="24"/>
        </w:rPr>
        <w:t>5.  Payment Terms</w:t>
      </w:r>
    </w:p>
    <w:p>
      <w:r>
        <w:rPr>
          <w:color w:val="000000"/>
          <w:sz w:val="24"/>
        </w:rPr>
        <w:t>6.  Timeline</w:t>
      </w:r>
    </w:p>
    <w:p>
      <w:r>
        <w:rPr>
          <w:color w:val="000000"/>
          <w:sz w:val="24"/>
        </w:rPr>
        <w:t>7.  Client Responsibilities</w:t>
      </w:r>
    </w:p>
    <w:p>
      <w:r>
        <w:rPr>
          <w:color w:val="000000"/>
          <w:sz w:val="24"/>
        </w:rPr>
        <w:t>8.  Terms &amp; Conditions</w:t>
      </w:r>
    </w:p>
    <w:p/>
    <w:p>
      <w:r>
        <w:rPr>
          <w:b/>
          <w:color w:val="00529B"/>
          <w:sz w:val="32"/>
        </w:rPr>
        <w:t>1.  Executive Summary</w:t>
      </w:r>
    </w:p>
    <w:p>
      <w:pPr>
        <w:spacing w:before="80" w:after="80"/>
        <w:pBdr>
          <w:bottom w:val="single" w:sz="6" w:space="1" w:color="00529B"/>
        </w:pBdr>
      </w:pPr>
    </w:p>
    <w:p>
      <w:r>
        <w:rPr>
          <w:color w:val="000000"/>
          <w:sz w:val="22"/>
        </w:rPr>
        <w:t>This proposal outlines an integration of Meta's official WhatsApp Cloud API into [Client]'s website, enabling the site to send WhatsApp messages to three designated mobile numbers programmatically — triggered by user form input.</w:t>
      </w:r>
    </w:p>
    <w:p>
      <w:r>
        <w:rPr>
          <w:color w:val="000000"/>
          <w:sz w:val="22"/>
        </w:rPr>
        <w:t>The solution uses the WhatsApp Cloud API hosted by Meta (no on-premise infrastructure). A lightweight backend receives website form submissions and dispatches messages to each of the three recipients via approved message templates. All communications comply with WhatsApp's platform policies, including business verification, template approvals, and user opt-in consent requirements.</w:t>
      </w:r>
    </w:p>
    <w:p>
      <w:r>
        <w:rPr>
          <w:b/>
          <w:sz w:val="22"/>
        </w:rPr>
        <w:t>Target recipient numbers:</w:t>
      </w:r>
    </w:p>
    <w:p>
      <w:pPr>
        <w:pStyle w:val="ListBullet"/>
      </w:pPr>
      <w:r>
        <w:rPr>
          <w:b/>
          <w:color w:val="00326E"/>
          <w:sz w:val="22"/>
        </w:rPr>
        <w:t>+260 977 161 191</w:t>
      </w:r>
    </w:p>
    <w:p>
      <w:pPr>
        <w:pStyle w:val="ListBullet"/>
      </w:pPr>
      <w:r>
        <w:rPr>
          <w:b/>
          <w:color w:val="00326E"/>
          <w:sz w:val="22"/>
        </w:rPr>
        <w:t>+260 770 097 348</w:t>
      </w:r>
    </w:p>
    <w:p>
      <w:pPr>
        <w:pStyle w:val="ListBullet"/>
      </w:pPr>
      <w:r>
        <w:rPr>
          <w:b/>
          <w:color w:val="00326E"/>
          <w:sz w:val="22"/>
        </w:rPr>
        <w:t>+260 973 971 192</w:t>
      </w:r>
    </w:p>
    <w:p/>
    <w:p>
      <w:r>
        <w:rPr>
          <w:b/>
          <w:color w:val="00529B"/>
          <w:sz w:val="32"/>
        </w:rPr>
        <w:t>2.  Technical Solution Overview</w:t>
      </w:r>
    </w:p>
    <w:p>
      <w:pPr>
        <w:spacing w:before="80" w:after="80"/>
        <w:pBdr>
          <w:bottom w:val="single" w:sz="6" w:space="1" w:color="00529B"/>
        </w:pBdr>
      </w:pPr>
    </w:p>
    <w:p>
      <w:r>
        <w:rPr>
          <w:b/>
          <w:color w:val="00326E"/>
          <w:sz w:val="26"/>
        </w:rPr>
        <w:t>Architecture</w:t>
      </w:r>
    </w:p>
    <w:p>
      <w:r>
        <w:rPr>
          <w:b/>
          <w:color w:val="00326E"/>
          <w:sz w:val="22"/>
        </w:rPr>
        <w:t xml:space="preserve">Website Form  —  </w:t>
      </w:r>
      <w:r>
        <w:rPr>
          <w:color w:val="000000"/>
          <w:sz w:val="22"/>
        </w:rPr>
        <w:t>A user fills in a web form on [Client]'s site and submits it.</w:t>
      </w:r>
    </w:p>
    <w:p>
      <w:r>
        <w:rPr>
          <w:b/>
          <w:color w:val="00326E"/>
          <w:sz w:val="22"/>
        </w:rPr>
        <w:t xml:space="preserve">Backend Receiver  —  </w:t>
      </w:r>
      <w:r>
        <w:rPr>
          <w:color w:val="000000"/>
          <w:sz w:val="22"/>
        </w:rPr>
        <w:t>The form data is sent to a lightweight backend endpoint (Node.js / Python).</w:t>
      </w:r>
    </w:p>
    <w:p>
      <w:r>
        <w:rPr>
          <w:b/>
          <w:color w:val="00326E"/>
          <w:sz w:val="22"/>
        </w:rPr>
        <w:t xml:space="preserve">WhatsApp Cloud API  —  </w:t>
      </w:r>
      <w:r>
        <w:rPr>
          <w:color w:val="000000"/>
          <w:sz w:val="22"/>
        </w:rPr>
        <w:t>The backend calls Meta's Graph API (POST /messages) three times — once per recipient.</w:t>
      </w:r>
    </w:p>
    <w:p>
      <w:r>
        <w:rPr>
          <w:b/>
          <w:color w:val="00326E"/>
          <w:sz w:val="22"/>
        </w:rPr>
        <w:t xml:space="preserve">Message Delivery  —  </w:t>
      </w:r>
      <w:r>
        <w:rPr>
          <w:color w:val="000000"/>
          <w:sz w:val="22"/>
        </w:rPr>
        <w:t>Each recipient receives a WhatsApp message via a pre-approved template with personalised content.</w:t>
      </w:r>
    </w:p>
    <w:p>
      <w:r>
        <w:rPr>
          <w:b/>
          <w:color w:val="00326E"/>
          <w:sz w:val="26"/>
        </w:rPr>
        <w:t>Key Technical Details</w:t>
      </w:r>
    </w:p>
    <w:p>
      <w:pPr>
        <w:pStyle w:val="ListBullet"/>
      </w:pPr>
      <w:r>
        <w:rPr>
          <w:color w:val="000000"/>
          <w:sz w:val="21"/>
        </w:rPr>
        <w:t>API Endpoint: POST https://graph.facebook.com/v25.0/{Phone-Number-ID}/messages</w:t>
      </w:r>
    </w:p>
    <w:p>
      <w:pPr>
        <w:pStyle w:val="ListBullet"/>
      </w:pPr>
      <w:r>
        <w:rPr>
          <w:color w:val="000000"/>
          <w:sz w:val="21"/>
        </w:rPr>
        <w:t>Authentication: Permanent system-user token (no 24-hour expiry)</w:t>
      </w:r>
    </w:p>
    <w:p>
      <w:pPr>
        <w:pStyle w:val="ListBullet"/>
      </w:pPr>
      <w:r>
        <w:rPr>
          <w:color w:val="000000"/>
          <w:sz w:val="21"/>
        </w:rPr>
        <w:t>Message types supported: Text, template, media, interactive</w:t>
      </w:r>
    </w:p>
    <w:p>
      <w:pPr>
        <w:pStyle w:val="ListBullet"/>
      </w:pPr>
      <w:r>
        <w:rPr>
          <w:color w:val="000000"/>
          <w:sz w:val="21"/>
        </w:rPr>
        <w:t>Template categories: Utility (updates) and Marketing (promotions)</w:t>
      </w:r>
    </w:p>
    <w:p>
      <w:pPr>
        <w:pStyle w:val="ListBullet"/>
      </w:pPr>
      <w:r>
        <w:rPr>
          <w:color w:val="000000"/>
          <w:sz w:val="21"/>
        </w:rPr>
        <w:t>Meta infrastructure: Fully hosted — no servers, Docker, or on-premise maintenance</w:t>
      </w:r>
    </w:p>
    <w:p>
      <w:r>
        <w:rPr>
          <w:b/>
          <w:color w:val="00326E"/>
          <w:sz w:val="26"/>
        </w:rPr>
        <w:t>Platform Policy Compliance</w:t>
      </w:r>
    </w:p>
    <w:p>
      <w:pPr>
        <w:pStyle w:val="ListBullet"/>
      </w:pPr>
      <w:r>
        <w:rPr>
          <w:color w:val="000000"/>
          <w:sz w:val="21"/>
        </w:rPr>
        <w:t>Business verification via Meta Business Manager (company documentation required)</w:t>
      </w:r>
    </w:p>
    <w:p>
      <w:pPr>
        <w:pStyle w:val="ListBullet"/>
      </w:pPr>
      <w:r>
        <w:rPr>
          <w:color w:val="000000"/>
          <w:sz w:val="21"/>
        </w:rPr>
        <w:t>Pre-approved message templates for all business-initiated outbound messages</w:t>
      </w:r>
    </w:p>
    <w:p>
      <w:pPr>
        <w:pStyle w:val="ListBullet"/>
      </w:pPr>
      <w:r>
        <w:rPr>
          <w:color w:val="000000"/>
          <w:sz w:val="21"/>
        </w:rPr>
        <w:t>Explicit opt-in consent from each recipient before sending (auditable record)</w:t>
      </w:r>
    </w:p>
    <w:p>
      <w:pPr>
        <w:pStyle w:val="ListBullet"/>
      </w:pPr>
      <w:r>
        <w:rPr>
          <w:color w:val="000000"/>
          <w:sz w:val="21"/>
        </w:rPr>
        <w:t>24-hour customer-service window for free-form follow-up replies</w:t>
      </w:r>
    </w:p>
    <w:p/>
    <w:p>
      <w:r>
        <w:rPr>
          <w:b/>
          <w:color w:val="00529B"/>
          <w:sz w:val="32"/>
        </w:rPr>
        <w:t>3.  Scope of Work</w:t>
      </w:r>
    </w:p>
    <w:p>
      <w:pPr>
        <w:spacing w:before="80" w:after="80"/>
        <w:pBdr>
          <w:bottom w:val="single" w:sz="6" w:space="1" w:color="00529B"/>
        </w:pBdr>
      </w:pPr>
    </w:p>
    <w:p>
      <w:r>
        <w:rPr>
          <w:b/>
          <w:color w:val="00326E"/>
          <w:sz w:val="26"/>
        </w:rPr>
        <w:t>Phase 1 — Setup (one-time)</w:t>
      </w:r>
    </w:p>
    <w:p>
      <w:pPr>
        <w:pStyle w:val="ListBullet"/>
      </w:pPr>
      <w:r>
        <w:rPr>
          <w:color w:val="000000"/>
          <w:sz w:val="21"/>
        </w:rPr>
        <w:t>Meta Business Manager account setup and configuration</w:t>
      </w:r>
    </w:p>
    <w:p>
      <w:pPr>
        <w:pStyle w:val="ListBullet"/>
      </w:pPr>
      <w:r>
        <w:rPr>
          <w:color w:val="000000"/>
          <w:sz w:val="21"/>
        </w:rPr>
        <w:t>Business verification submission and follow-through with Meta</w:t>
      </w:r>
    </w:p>
    <w:p>
      <w:pPr>
        <w:pStyle w:val="ListBullet"/>
      </w:pPr>
      <w:r>
        <w:rPr>
          <w:color w:val="000000"/>
          <w:sz w:val="21"/>
        </w:rPr>
        <w:t>WhatsApp Business Account (WABA) creation</w:t>
      </w:r>
    </w:p>
    <w:p>
      <w:pPr>
        <w:pStyle w:val="ListBullet"/>
      </w:pPr>
      <w:r>
        <w:rPr>
          <w:color w:val="000000"/>
          <w:sz w:val="21"/>
        </w:rPr>
        <w:t>Dedicated phone number registration and display name approval</w:t>
      </w:r>
    </w:p>
    <w:p>
      <w:pPr>
        <w:pStyle w:val="ListBullet"/>
      </w:pPr>
      <w:r>
        <w:rPr>
          <w:color w:val="000000"/>
          <w:sz w:val="21"/>
        </w:rPr>
        <w:t>Message template creation (1 Utility + 1 Marketing template) + Meta approval</w:t>
      </w:r>
    </w:p>
    <w:p>
      <w:pPr>
        <w:pStyle w:val="ListBullet"/>
      </w:pPr>
      <w:r>
        <w:rPr>
          <w:color w:val="000000"/>
          <w:sz w:val="21"/>
        </w:rPr>
        <w:t>User opt-in consent mechanism (web checkbox + record-keeping)</w:t>
      </w:r>
    </w:p>
    <w:p>
      <w:pPr>
        <w:pStyle w:val="ListBullet"/>
      </w:pPr>
      <w:r>
        <w:rPr>
          <w:color w:val="000000"/>
          <w:sz w:val="21"/>
        </w:rPr>
        <w:t>Backend integration — web form capture → API dispatch to 3 numbers</w:t>
      </w:r>
    </w:p>
    <w:p>
      <w:pPr>
        <w:pStyle w:val="ListBullet"/>
      </w:pPr>
      <w:r>
        <w:rPr>
          <w:color w:val="000000"/>
          <w:sz w:val="21"/>
        </w:rPr>
        <w:t>End-to-end testing with all three recipient numbers</w:t>
      </w:r>
    </w:p>
    <w:p>
      <w:pPr>
        <w:pStyle w:val="ListBullet"/>
      </w:pPr>
      <w:r>
        <w:rPr>
          <w:color w:val="000000"/>
          <w:sz w:val="21"/>
        </w:rPr>
        <w:t>Handover documentation and runbook</w:t>
      </w:r>
    </w:p>
    <w:p>
      <w:r>
        <w:rPr>
          <w:b/>
          <w:color w:val="00326E"/>
          <w:sz w:val="26"/>
        </w:rPr>
        <w:t>Phase 2 — Maintenance (monthly recurring)</w:t>
      </w:r>
    </w:p>
    <w:p>
      <w:pPr>
        <w:pStyle w:val="ListBullet"/>
      </w:pPr>
      <w:r>
        <w:rPr>
          <w:color w:val="000000"/>
          <w:sz w:val="21"/>
        </w:rPr>
        <w:t>Serverless / cloud hosting and uptime monitoring</w:t>
      </w:r>
    </w:p>
    <w:p>
      <w:pPr>
        <w:pStyle w:val="ListBullet"/>
      </w:pPr>
      <w:r>
        <w:rPr>
          <w:color w:val="000000"/>
          <w:sz w:val="21"/>
        </w:rPr>
        <w:t>WhatsApp template management and renewal as needed</w:t>
      </w:r>
    </w:p>
    <w:p>
      <w:pPr>
        <w:pStyle w:val="ListBullet"/>
      </w:pPr>
      <w:r>
        <w:rPr>
          <w:color w:val="000000"/>
          <w:sz w:val="21"/>
        </w:rPr>
        <w:t>Token and credential rotation (security best practice)</w:t>
      </w:r>
    </w:p>
    <w:p>
      <w:pPr>
        <w:pStyle w:val="ListBullet"/>
      </w:pPr>
      <w:r>
        <w:rPr>
          <w:color w:val="000000"/>
          <w:sz w:val="21"/>
        </w:rPr>
        <w:t>Ongoing technical support (48-hour first-response target)</w:t>
      </w:r>
    </w:p>
    <w:p>
      <w:pPr>
        <w:pStyle w:val="ListBullet"/>
      </w:pPr>
      <w:r>
        <w:rPr>
          <w:color w:val="000000"/>
          <w:sz w:val="21"/>
        </w:rPr>
        <w:t>Monthly delivery report</w:t>
      </w:r>
    </w:p>
    <w:p/>
    <w:p>
      <w:r>
        <w:rPr>
          <w:b/>
          <w:color w:val="00529B"/>
          <w:sz w:val="32"/>
        </w:rPr>
        <w:t>4.  Pricing &amp; Fees</w:t>
      </w:r>
    </w:p>
    <w:p>
      <w:pPr>
        <w:spacing w:before="80" w:after="80"/>
        <w:pBdr>
          <w:bottom w:val="single" w:sz="6" w:space="1" w:color="00529B"/>
        </w:pBdr>
      </w:pPr>
    </w:p>
    <w:p>
      <w:r>
        <w:rPr>
          <w:b/>
          <w:color w:val="00326E"/>
          <w:sz w:val="26"/>
        </w:rPr>
        <w:t>One-Time Setup Fee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color="00529B" w:space="0"/>
              <w:left w:val="single" w:sz="4" w:color="00529B" w:space="0"/>
              <w:bottom w:val="single" w:sz="4" w:color="00529B" w:space="0"/>
              <w:right w:val="single" w:sz="4" w:color="00529B" w:space="0"/>
            </w:tcBorders>
            <w:shd w:fill="00529B" w:val="clear"/>
          </w:tcPr>
          <w:p>
            <w:pPr>
              <w:jc w:val="left"/>
            </w:pPr>
            <w:r/>
            <w:r>
              <w:rPr>
                <w:rFonts w:ascii="Calibri" w:hAnsi="Calibri"/>
                <w:b/>
                <w:color w:val="FFFFFF"/>
                <w:sz w:val="20"/>
              </w:rPr>
              <w:t>Item</w:t>
            </w:r>
          </w:p>
        </w:tc>
        <w:tc>
          <w:tcPr>
            <w:tcW w:type="dxa" w:w="3120"/>
            <w:tcBorders>
              <w:top w:val="single" w:sz="4" w:color="00529B" w:space="0"/>
              <w:left w:val="single" w:sz="4" w:color="00529B" w:space="0"/>
              <w:bottom w:val="single" w:sz="4" w:color="00529B" w:space="0"/>
              <w:right w:val="single" w:sz="4" w:color="00529B" w:space="0"/>
            </w:tcBorders>
            <w:shd w:fill="00529B" w:val="clear"/>
          </w:tcPr>
          <w:p>
            <w:pPr>
              <w:jc w:val="left"/>
            </w:pPr>
            <w:r/>
            <w:r>
              <w:rPr>
                <w:rFonts w:ascii="Calibri" w:hAnsi="Calibri"/>
                <w:b/>
                <w:color w:val="FFFFFF"/>
                <w:sz w:val="20"/>
              </w:rPr>
              <w:t>Detail</w:t>
            </w:r>
          </w:p>
        </w:tc>
        <w:tc>
          <w:tcPr>
            <w:tcW w:type="dxa" w:w="3120"/>
            <w:tcBorders>
              <w:top w:val="single" w:sz="4" w:color="00529B" w:space="0"/>
              <w:left w:val="single" w:sz="4" w:color="00529B" w:space="0"/>
              <w:bottom w:val="single" w:sz="4" w:color="00529B" w:space="0"/>
              <w:right w:val="single" w:sz="4" w:color="00529B" w:space="0"/>
            </w:tcBorders>
            <w:shd w:fill="00529B" w:val="clear"/>
          </w:tcPr>
          <w:p>
            <w:pPr>
              <w:jc w:val="right"/>
            </w:pPr>
            <w:r/>
            <w:r>
              <w:rPr>
                <w:rFonts w:ascii="Calibri" w:hAnsi="Calibri"/>
                <w:b/>
                <w:color w:val="FFFFFF"/>
                <w:sz w:val="20"/>
              </w:rPr>
              <w:t>Amount (USD)</w:t>
            </w:r>
          </w:p>
        </w:tc>
      </w:tr>
      <w:tr>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color w:val="000000"/>
                <w:sz w:val="20"/>
              </w:rPr>
              <w:t>Base setup per number</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3 numbers × $100 each</w:t>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color w:val="000000"/>
                <w:sz w:val="20"/>
              </w:rPr>
              <w:t>$300.00</w:t>
            </w:r>
          </w:p>
        </w:tc>
      </w:tr>
      <w:tr>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color w:val="000000"/>
                <w:sz w:val="20"/>
              </w:rPr>
              <w:t>Project margin</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Project management, comms, buffer</w:t>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color w:val="000000"/>
                <w:sz w:val="20"/>
              </w:rPr>
              <w:t>$75.00</w:t>
            </w:r>
          </w:p>
        </w:tc>
      </w:tr>
      <w:tr>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val="0"/>
                <w:color w:val="000000"/>
                <w:sz w:val="20"/>
              </w:rPr>
            </w:r>
          </w:p>
        </w:tc>
      </w:tr>
      <w:tr>
        <w:tc>
          <w:tcPr>
            <w:tcW w:type="dxa" w:w="3120"/>
            <w:tcBorders>
              <w:top w:val="single" w:sz="4" w:color="00529B" w:space="0"/>
              <w:left w:val="single" w:sz="4" w:color="00529B" w:space="0"/>
              <w:bottom w:val="single" w:sz="4" w:color="00529B" w:space="0"/>
              <w:right w:val="single" w:sz="4" w:color="00529B" w:space="0"/>
            </w:tcBorders>
            <w:shd w:fill="E6F0FF" w:val="clear"/>
          </w:tcPr>
          <w:p>
            <w:pPr>
              <w:jc w:val="left"/>
            </w:pPr>
            <w:r/>
            <w:r>
              <w:rPr>
                <w:rFonts w:ascii="Calibri" w:hAnsi="Calibri"/>
                <w:b/>
                <w:color w:val="00326E"/>
                <w:sz w:val="21"/>
              </w:rPr>
              <w:t>Total One-Time Setup</w:t>
            </w:r>
          </w:p>
        </w:tc>
        <w:tc>
          <w:tcPr>
            <w:tcW w:type="dxa" w:w="3120"/>
            <w:tcBorders>
              <w:top w:val="single" w:sz="4" w:color="00529B" w:space="0"/>
              <w:left w:val="single" w:sz="4" w:color="00529B" w:space="0"/>
              <w:bottom w:val="single" w:sz="4" w:color="00529B" w:space="0"/>
              <w:right w:val="single" w:sz="4" w:color="00529B" w:space="0"/>
            </w:tcBorders>
            <w:shd w:fill="E6F0FF" w:val="clear"/>
          </w:tcPr>
          <w:p>
            <w:pPr>
              <w:jc w:val="left"/>
            </w:pPr>
            <w:r/>
            <w:r>
              <w:rPr>
                <w:rFonts w:ascii="Calibri" w:hAnsi="Calibri"/>
                <w:b w:val="0"/>
                <w:color w:val="000000"/>
                <w:sz w:val="21"/>
              </w:rPr>
            </w:r>
          </w:p>
        </w:tc>
        <w:tc>
          <w:tcPr>
            <w:tcW w:type="dxa" w:w="3120"/>
            <w:tcBorders>
              <w:top w:val="single" w:sz="4" w:color="00529B" w:space="0"/>
              <w:left w:val="single" w:sz="4" w:color="00529B" w:space="0"/>
              <w:bottom w:val="single" w:sz="4" w:color="00529B" w:space="0"/>
              <w:right w:val="single" w:sz="4" w:color="00529B" w:space="0"/>
            </w:tcBorders>
            <w:shd w:fill="E6F0FF" w:val="clear"/>
          </w:tcPr>
          <w:p>
            <w:pPr>
              <w:jc w:val="right"/>
            </w:pPr>
            <w:r/>
            <w:r>
              <w:rPr>
                <w:rFonts w:ascii="Calibri" w:hAnsi="Calibri"/>
                <w:b/>
                <w:color w:val="00326E"/>
                <w:sz w:val="21"/>
              </w:rPr>
              <w:t>$375.00</w:t>
            </w:r>
          </w:p>
        </w:tc>
      </w:tr>
    </w:tbl>
    <w:p/>
    <w:p>
      <w:r>
        <w:rPr>
          <w:b/>
          <w:color w:val="00326E"/>
          <w:sz w:val="26"/>
        </w:rPr>
        <w:t>Monthly Maintenance Fee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color="00529B" w:space="0"/>
              <w:left w:val="single" w:sz="4" w:color="00529B" w:space="0"/>
              <w:bottom w:val="single" w:sz="4" w:color="00529B" w:space="0"/>
              <w:right w:val="single" w:sz="4" w:color="00529B" w:space="0"/>
            </w:tcBorders>
            <w:shd w:fill="00529B" w:val="clear"/>
          </w:tcPr>
          <w:p>
            <w:pPr>
              <w:jc w:val="left"/>
            </w:pPr>
            <w:r/>
            <w:r>
              <w:rPr>
                <w:rFonts w:ascii="Calibri" w:hAnsi="Calibri"/>
                <w:b/>
                <w:color w:val="FFFFFF"/>
                <w:sz w:val="20"/>
              </w:rPr>
              <w:t>Item</w:t>
            </w:r>
          </w:p>
        </w:tc>
        <w:tc>
          <w:tcPr>
            <w:tcW w:type="dxa" w:w="3120"/>
            <w:tcBorders>
              <w:top w:val="single" w:sz="4" w:color="00529B" w:space="0"/>
              <w:left w:val="single" w:sz="4" w:color="00529B" w:space="0"/>
              <w:bottom w:val="single" w:sz="4" w:color="00529B" w:space="0"/>
              <w:right w:val="single" w:sz="4" w:color="00529B" w:space="0"/>
            </w:tcBorders>
            <w:shd w:fill="00529B" w:val="clear"/>
          </w:tcPr>
          <w:p>
            <w:pPr>
              <w:jc w:val="left"/>
            </w:pPr>
            <w:r/>
            <w:r>
              <w:rPr>
                <w:rFonts w:ascii="Calibri" w:hAnsi="Calibri"/>
                <w:b/>
                <w:color w:val="FFFFFF"/>
                <w:sz w:val="20"/>
              </w:rPr>
              <w:t>Detail</w:t>
            </w:r>
          </w:p>
        </w:tc>
        <w:tc>
          <w:tcPr>
            <w:tcW w:type="dxa" w:w="3120"/>
            <w:tcBorders>
              <w:top w:val="single" w:sz="4" w:color="00529B" w:space="0"/>
              <w:left w:val="single" w:sz="4" w:color="00529B" w:space="0"/>
              <w:bottom w:val="single" w:sz="4" w:color="00529B" w:space="0"/>
              <w:right w:val="single" w:sz="4" w:color="00529B" w:space="0"/>
            </w:tcBorders>
            <w:shd w:fill="00529B" w:val="clear"/>
          </w:tcPr>
          <w:p>
            <w:pPr>
              <w:jc w:val="right"/>
            </w:pPr>
            <w:r/>
            <w:r>
              <w:rPr>
                <w:rFonts w:ascii="Calibri" w:hAnsi="Calibri"/>
                <w:b/>
                <w:color w:val="FFFFFF"/>
                <w:sz w:val="20"/>
              </w:rPr>
              <w:t>Amount (USD)</w:t>
            </w:r>
          </w:p>
        </w:tc>
      </w:tr>
      <w:tr>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color w:val="000000"/>
                <w:sz w:val="20"/>
              </w:rPr>
              <w:t>Hosting &amp; infrastructure</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Serverless / cloud hosting</w:t>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color w:val="000000"/>
                <w:sz w:val="20"/>
              </w:rPr>
              <w:t>$20.00</w:t>
            </w:r>
          </w:p>
        </w:tc>
      </w:tr>
      <w:tr>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color w:val="000000"/>
                <w:sz w:val="20"/>
              </w:rPr>
              <w:t>Monitoring &amp; support</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48h first-response, template mgmt</w:t>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color w:val="000000"/>
                <w:sz w:val="20"/>
              </w:rPr>
              <w:t>$10.00</w:t>
            </w:r>
          </w:p>
        </w:tc>
      </w:tr>
      <w:tr>
        <w:tc>
          <w:tcPr>
            <w:tcW w:type="dxa" w:w="3120"/>
            <w:tcBorders>
              <w:top w:val="single" w:sz="4" w:color="00529B" w:space="0"/>
              <w:left w:val="single" w:sz="4" w:color="00529B" w:space="0"/>
              <w:bottom w:val="single" w:sz="4" w:color="00529B" w:space="0"/>
              <w:right w:val="single" w:sz="4" w:color="00529B" w:space="0"/>
            </w:tcBorders>
            <w:shd w:fill="E6F0FF" w:val="clear"/>
          </w:tcPr>
          <w:p>
            <w:pPr>
              <w:jc w:val="left"/>
            </w:pPr>
            <w:r/>
            <w:r>
              <w:rPr>
                <w:rFonts w:ascii="Calibri" w:hAnsi="Calibri"/>
                <w:b/>
                <w:color w:val="00326E"/>
                <w:sz w:val="21"/>
              </w:rPr>
              <w:t>Total Monthly</w:t>
            </w:r>
          </w:p>
        </w:tc>
        <w:tc>
          <w:tcPr>
            <w:tcW w:type="dxa" w:w="3120"/>
            <w:tcBorders>
              <w:top w:val="single" w:sz="4" w:color="00529B" w:space="0"/>
              <w:left w:val="single" w:sz="4" w:color="00529B" w:space="0"/>
              <w:bottom w:val="single" w:sz="4" w:color="00529B" w:space="0"/>
              <w:right w:val="single" w:sz="4" w:color="00529B" w:space="0"/>
            </w:tcBorders>
            <w:shd w:fill="E6F0FF" w:val="clear"/>
          </w:tcPr>
          <w:p>
            <w:pPr>
              <w:jc w:val="left"/>
            </w:pPr>
            <w:r/>
            <w:r>
              <w:rPr>
                <w:rFonts w:ascii="Calibri" w:hAnsi="Calibri"/>
                <w:b w:val="0"/>
                <w:color w:val="000000"/>
                <w:sz w:val="21"/>
              </w:rPr>
            </w:r>
          </w:p>
        </w:tc>
        <w:tc>
          <w:tcPr>
            <w:tcW w:type="dxa" w:w="3120"/>
            <w:tcBorders>
              <w:top w:val="single" w:sz="4" w:color="00529B" w:space="0"/>
              <w:left w:val="single" w:sz="4" w:color="00529B" w:space="0"/>
              <w:bottom w:val="single" w:sz="4" w:color="00529B" w:space="0"/>
              <w:right w:val="single" w:sz="4" w:color="00529B" w:space="0"/>
            </w:tcBorders>
            <w:shd w:fill="E6F0FF" w:val="clear"/>
          </w:tcPr>
          <w:p>
            <w:pPr>
              <w:jc w:val="right"/>
            </w:pPr>
            <w:r/>
            <w:r>
              <w:rPr>
                <w:rFonts w:ascii="Calibri" w:hAnsi="Calibri"/>
                <w:b/>
                <w:color w:val="00326E"/>
                <w:sz w:val="21"/>
              </w:rPr>
              <w:t>$30.00</w:t>
            </w:r>
          </w:p>
        </w:tc>
      </w:tr>
    </w:tbl>
    <w:p/>
    <w:p>
      <w:r>
        <w:rPr>
          <w:b/>
          <w:color w:val="00326E"/>
          <w:sz w:val="26"/>
        </w:rPr>
        <w:t>Meta Channel Costs (pass-through, variable)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color="00529B" w:space="0"/>
              <w:left w:val="single" w:sz="4" w:color="00529B" w:space="0"/>
              <w:bottom w:val="single" w:sz="4" w:color="00529B" w:space="0"/>
              <w:right w:val="single" w:sz="4" w:color="00529B" w:space="0"/>
            </w:tcBorders>
            <w:shd w:fill="00529B" w:val="clear"/>
          </w:tcPr>
          <w:p>
            <w:pPr>
              <w:jc w:val="left"/>
            </w:pPr>
            <w:r/>
            <w:r>
              <w:rPr>
                <w:rFonts w:ascii="Calibri" w:hAnsi="Calibri"/>
                <w:b/>
                <w:color w:val="FFFFFF"/>
                <w:sz w:val="20"/>
              </w:rPr>
              <w:t>Category</w:t>
            </w:r>
          </w:p>
        </w:tc>
        <w:tc>
          <w:tcPr>
            <w:tcW w:type="dxa" w:w="3120"/>
            <w:tcBorders>
              <w:top w:val="single" w:sz="4" w:color="00529B" w:space="0"/>
              <w:left w:val="single" w:sz="4" w:color="00529B" w:space="0"/>
              <w:bottom w:val="single" w:sz="4" w:color="00529B" w:space="0"/>
              <w:right w:val="single" w:sz="4" w:color="00529B" w:space="0"/>
            </w:tcBorders>
            <w:shd w:fill="00529B" w:val="clear"/>
          </w:tcPr>
          <w:p>
            <w:pPr>
              <w:jc w:val="left"/>
            </w:pPr>
            <w:r/>
            <w:r>
              <w:rPr>
                <w:rFonts w:ascii="Calibri" w:hAnsi="Calibri"/>
                <w:b/>
                <w:color w:val="FFFFFF"/>
                <w:sz w:val="20"/>
              </w:rPr>
              <w:t>Rate per message (+260)</w:t>
            </w:r>
          </w:p>
        </w:tc>
        <w:tc>
          <w:tcPr>
            <w:tcW w:type="dxa" w:w="3120"/>
            <w:tcBorders>
              <w:top w:val="single" w:sz="4" w:color="00529B" w:space="0"/>
              <w:left w:val="single" w:sz="4" w:color="00529B" w:space="0"/>
              <w:bottom w:val="single" w:sz="4" w:color="00529B" w:space="0"/>
              <w:right w:val="single" w:sz="4" w:color="00529B" w:space="0"/>
            </w:tcBorders>
            <w:shd w:fill="00529B" w:val="clear"/>
          </w:tcPr>
          <w:p>
            <w:pPr>
              <w:jc w:val="left"/>
            </w:pPr>
            <w:r/>
            <w:r>
              <w:rPr>
                <w:rFonts w:ascii="Calibri" w:hAnsi="Calibri"/>
                <w:b/>
                <w:color w:val="FFFFFF"/>
                <w:sz w:val="20"/>
              </w:rPr>
              <w:t>Billing</w:t>
            </w:r>
          </w:p>
        </w:tc>
      </w:tr>
      <w:tr>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Utility (updates, alerts)</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color w:val="00326E"/>
                <w:sz w:val="20"/>
              </w:rPr>
              <w:t>~$0.0040</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Billed at cost + 5% admin</w:t>
            </w:r>
          </w:p>
        </w:tc>
      </w:tr>
      <w:tr>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Marketing (promotions)</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color w:val="00326E"/>
                <w:sz w:val="20"/>
              </w:rPr>
              <w:t>~$0.0225</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Billed at cost + 5% admin</w:t>
            </w:r>
          </w:p>
        </w:tc>
      </w:tr>
      <w:tr>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Authentication (OTP)</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color w:val="00326E"/>
                <w:sz w:val="20"/>
              </w:rPr>
              <w:t>~$0.0040</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Billed at cost + 5% admin</w:t>
            </w:r>
          </w:p>
        </w:tc>
      </w:tr>
      <w:tr>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Service (inbound replies)</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color w:val="00326E"/>
                <w:sz w:val="20"/>
              </w:rPr>
              <w:t>Free</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Included</w:t>
            </w:r>
          </w:p>
        </w:tc>
      </w:tr>
    </w:tbl>
    <w:p/>
    <w:p>
      <w:r>
        <w:rPr>
          <w:b/>
          <w:color w:val="00529B"/>
          <w:sz w:val="32"/>
        </w:rPr>
        <w:t>5.  Payment Terms</w:t>
      </w:r>
    </w:p>
    <w:p>
      <w:pPr>
        <w:spacing w:before="80" w:after="80"/>
        <w:pBdr>
          <w:bottom w:val="single" w:sz="6" w:space="1" w:color="00529B"/>
        </w:pBdr>
      </w:pPr>
    </w:p>
    <w:p>
      <w:pPr>
        <w:pStyle w:val="ListBullet"/>
      </w:pPr>
      <w:r>
        <w:rPr>
          <w:color w:val="000000"/>
          <w:sz w:val="22"/>
        </w:rPr>
        <w:t>50% of the one-time setup fee due upon signed agreement.</w:t>
      </w:r>
    </w:p>
    <w:p>
      <w:pPr>
        <w:pStyle w:val="ListBullet"/>
      </w:pPr>
      <w:r>
        <w:rPr>
          <w:color w:val="000000"/>
          <w:sz w:val="22"/>
        </w:rPr>
        <w:t>50% balance due upon completion, testing, and client acceptance.</w:t>
      </w:r>
    </w:p>
    <w:p>
      <w:pPr>
        <w:pStyle w:val="ListBullet"/>
      </w:pPr>
      <w:r>
        <w:rPr>
          <w:color w:val="000000"/>
          <w:sz w:val="22"/>
        </w:rPr>
        <w:t>Monthly maintenance invoiced at the start of each calendar month.</w:t>
      </w:r>
    </w:p>
    <w:p>
      <w:pPr>
        <w:pStyle w:val="ListBullet"/>
      </w:pPr>
      <w:r>
        <w:rPr>
          <w:color w:val="000000"/>
          <w:sz w:val="22"/>
        </w:rPr>
        <w:t>Meta channel costs billed monthly at cost plus a 5% administrative fee.</w:t>
      </w:r>
    </w:p>
    <w:p>
      <w:pPr>
        <w:pStyle w:val="ListBullet"/>
      </w:pPr>
      <w:r>
        <w:rPr>
          <w:color w:val="000000"/>
          <w:sz w:val="22"/>
        </w:rPr>
        <w:t>Payment is due within 14 days of invoice date.</w:t>
      </w:r>
    </w:p>
    <w:p>
      <w:pPr>
        <w:pStyle w:val="ListBullet"/>
      </w:pPr>
      <w:r>
        <w:rPr>
          <w:color w:val="000000"/>
          <w:sz w:val="22"/>
        </w:rPr>
        <w:t>All prices quoted in United States Dollars (USD).</w:t>
      </w:r>
    </w:p>
    <w:p/>
    <w:p>
      <w:r>
        <w:rPr>
          <w:b/>
          <w:color w:val="00529B"/>
          <w:sz w:val="32"/>
        </w:rPr>
        <w:t>6.  Timeline</w:t>
      </w:r>
    </w:p>
    <w:p>
      <w:pPr>
        <w:spacing w:before="80" w:after="80"/>
        <w:pBdr>
          <w:bottom w:val="single" w:sz="6" w:space="1" w:color="00529B"/>
        </w:pBdr>
      </w:pPr>
    </w:p>
    <w:p>
      <w:r>
        <w:rPr>
          <w:b/>
          <w:color w:val="00326E"/>
          <w:sz w:val="22"/>
        </w:rPr>
        <w:t>Estimated duration: 2–3 weeks from signed agreement.</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color="00529B" w:space="0"/>
              <w:left w:val="single" w:sz="4" w:color="00529B" w:space="0"/>
              <w:bottom w:val="single" w:sz="4" w:color="00529B" w:space="0"/>
              <w:right w:val="single" w:sz="4" w:color="00529B" w:space="0"/>
            </w:tcBorders>
            <w:shd w:fill="00529B" w:val="clear"/>
          </w:tcPr>
          <w:p>
            <w:pPr>
              <w:jc w:val="left"/>
            </w:pPr>
            <w:r/>
            <w:r>
              <w:rPr>
                <w:rFonts w:ascii="Calibri" w:hAnsi="Calibri"/>
                <w:b/>
                <w:color w:val="FFFFFF"/>
                <w:sz w:val="20"/>
              </w:rPr>
              <w:t>Phase</w:t>
            </w:r>
          </w:p>
        </w:tc>
        <w:tc>
          <w:tcPr>
            <w:tcW w:type="dxa" w:w="3120"/>
            <w:tcBorders>
              <w:top w:val="single" w:sz="4" w:color="00529B" w:space="0"/>
              <w:left w:val="single" w:sz="4" w:color="00529B" w:space="0"/>
              <w:bottom w:val="single" w:sz="4" w:color="00529B" w:space="0"/>
              <w:right w:val="single" w:sz="4" w:color="00529B" w:space="0"/>
            </w:tcBorders>
            <w:shd w:fill="00529B" w:val="clear"/>
          </w:tcPr>
          <w:p>
            <w:pPr>
              <w:jc w:val="left"/>
            </w:pPr>
            <w:r/>
            <w:r>
              <w:rPr>
                <w:rFonts w:ascii="Calibri" w:hAnsi="Calibri"/>
                <w:b/>
                <w:color w:val="FFFFFF"/>
                <w:sz w:val="20"/>
              </w:rPr>
              <w:t>Activity</w:t>
            </w:r>
          </w:p>
        </w:tc>
        <w:tc>
          <w:tcPr>
            <w:tcW w:type="dxa" w:w="3120"/>
            <w:tcBorders>
              <w:top w:val="single" w:sz="4" w:color="00529B" w:space="0"/>
              <w:left w:val="single" w:sz="4" w:color="00529B" w:space="0"/>
              <w:bottom w:val="single" w:sz="4" w:color="00529B" w:space="0"/>
              <w:right w:val="single" w:sz="4" w:color="00529B" w:space="0"/>
            </w:tcBorders>
            <w:shd w:fill="00529B" w:val="clear"/>
          </w:tcPr>
          <w:p>
            <w:pPr>
              <w:jc w:val="right"/>
            </w:pPr>
            <w:r/>
            <w:r>
              <w:rPr>
                <w:rFonts w:ascii="Calibri" w:hAnsi="Calibri"/>
                <w:b/>
                <w:color w:val="FFFFFF"/>
                <w:sz w:val="20"/>
              </w:rPr>
              <w:t>Days</w:t>
            </w:r>
          </w:p>
        </w:tc>
      </w:tr>
      <w:tr>
        <w:tc>
          <w:tcPr>
            <w:tcW w:type="dxa" w:w="3120"/>
            <w:tcBorders>
              <w:top w:val="single" w:sz="4" w:color="00529B" w:space="0"/>
              <w:left w:val="single" w:sz="4" w:color="00529B" w:space="0"/>
              <w:bottom w:val="single" w:sz="4" w:color="00529B" w:space="0"/>
              <w:right w:val="single" w:sz="4" w:color="00529B" w:space="0"/>
            </w:tcBorders>
          </w:tcPr>
          <w:p>
            <w:pPr>
              <w:jc w:val="center"/>
            </w:pPr>
            <w:r/>
            <w:r>
              <w:rPr>
                <w:rFonts w:ascii="Calibri" w:hAnsi="Calibri"/>
                <w:b/>
                <w:color w:val="00326E"/>
                <w:sz w:val="20"/>
              </w:rPr>
              <w:t>1</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Meta Business setup &amp; verification submission</w:t>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color w:val="000000"/>
                <w:sz w:val="20"/>
              </w:rPr>
              <w:t>1–3</w:t>
            </w:r>
          </w:p>
        </w:tc>
      </w:tr>
      <w:tr>
        <w:tc>
          <w:tcPr>
            <w:tcW w:type="dxa" w:w="3120"/>
            <w:tcBorders>
              <w:top w:val="single" w:sz="4" w:color="00529B" w:space="0"/>
              <w:left w:val="single" w:sz="4" w:color="00529B" w:space="0"/>
              <w:bottom w:val="single" w:sz="4" w:color="00529B" w:space="0"/>
              <w:right w:val="single" w:sz="4" w:color="00529B" w:space="0"/>
            </w:tcBorders>
          </w:tcPr>
          <w:p>
            <w:pPr>
              <w:jc w:val="center"/>
            </w:pPr>
            <w:r/>
            <w:r>
              <w:rPr>
                <w:rFonts w:ascii="Calibri" w:hAnsi="Calibri"/>
                <w:b/>
                <w:color w:val="00326E"/>
                <w:sz w:val="20"/>
              </w:rPr>
              <w:t>2</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Meta verification processing (outside our control)</w:t>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color w:val="000000"/>
                <w:sz w:val="20"/>
              </w:rPr>
              <w:t>3–14</w:t>
            </w:r>
          </w:p>
        </w:tc>
      </w:tr>
      <w:tr>
        <w:tc>
          <w:tcPr>
            <w:tcW w:type="dxa" w:w="3120"/>
            <w:tcBorders>
              <w:top w:val="single" w:sz="4" w:color="00529B" w:space="0"/>
              <w:left w:val="single" w:sz="4" w:color="00529B" w:space="0"/>
              <w:bottom w:val="single" w:sz="4" w:color="00529B" w:space="0"/>
              <w:right w:val="single" w:sz="4" w:color="00529B" w:space="0"/>
            </w:tcBorders>
          </w:tcPr>
          <w:p>
            <w:pPr>
              <w:jc w:val="center"/>
            </w:pPr>
            <w:r/>
            <w:r>
              <w:rPr>
                <w:rFonts w:ascii="Calibri" w:hAnsi="Calibri"/>
                <w:b/>
                <w:color w:val="00326E"/>
                <w:sz w:val="20"/>
              </w:rPr>
              <w:t>3</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Template creation &amp; approval (parallel)</w:t>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color w:val="000000"/>
                <w:sz w:val="20"/>
              </w:rPr>
              <w:t>1–3</w:t>
            </w:r>
          </w:p>
        </w:tc>
      </w:tr>
      <w:tr>
        <w:tc>
          <w:tcPr>
            <w:tcW w:type="dxa" w:w="3120"/>
            <w:tcBorders>
              <w:top w:val="single" w:sz="4" w:color="00529B" w:space="0"/>
              <w:left w:val="single" w:sz="4" w:color="00529B" w:space="0"/>
              <w:bottom w:val="single" w:sz="4" w:color="00529B" w:space="0"/>
              <w:right w:val="single" w:sz="4" w:color="00529B" w:space="0"/>
            </w:tcBorders>
          </w:tcPr>
          <w:p>
            <w:pPr>
              <w:jc w:val="center"/>
            </w:pPr>
            <w:r/>
            <w:r>
              <w:rPr>
                <w:rFonts w:ascii="Calibri" w:hAnsi="Calibri"/>
                <w:b/>
                <w:color w:val="00326E"/>
                <w:sz w:val="20"/>
              </w:rPr>
              <w:t>4</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Backend integration &amp; API wiring</w:t>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color w:val="000000"/>
                <w:sz w:val="20"/>
              </w:rPr>
              <w:t>3–7</w:t>
            </w:r>
          </w:p>
        </w:tc>
      </w:tr>
      <w:tr>
        <w:tc>
          <w:tcPr>
            <w:tcW w:type="dxa" w:w="3120"/>
            <w:tcBorders>
              <w:top w:val="single" w:sz="4" w:color="00529B" w:space="0"/>
              <w:left w:val="single" w:sz="4" w:color="00529B" w:space="0"/>
              <w:bottom w:val="single" w:sz="4" w:color="00529B" w:space="0"/>
              <w:right w:val="single" w:sz="4" w:color="00529B" w:space="0"/>
            </w:tcBorders>
          </w:tcPr>
          <w:p>
            <w:pPr>
              <w:jc w:val="center"/>
            </w:pPr>
            <w:r/>
            <w:r>
              <w:rPr>
                <w:rFonts w:ascii="Calibri" w:hAnsi="Calibri"/>
                <w:b/>
                <w:color w:val="00326E"/>
                <w:sz w:val="20"/>
              </w:rPr>
              <w:t>5</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End-to-end testing with 3 numbers</w:t>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color w:val="000000"/>
                <w:sz w:val="20"/>
              </w:rPr>
              <w:t>3–5</w:t>
            </w:r>
          </w:p>
        </w:tc>
      </w:tr>
      <w:tr>
        <w:tc>
          <w:tcPr>
            <w:tcW w:type="dxa" w:w="3120"/>
            <w:tcBorders>
              <w:top w:val="single" w:sz="4" w:color="00529B" w:space="0"/>
              <w:left w:val="single" w:sz="4" w:color="00529B" w:space="0"/>
              <w:bottom w:val="single" w:sz="4" w:color="00529B" w:space="0"/>
              <w:right w:val="single" w:sz="4" w:color="00529B" w:space="0"/>
            </w:tcBorders>
          </w:tcPr>
          <w:p>
            <w:pPr>
              <w:jc w:val="center"/>
            </w:pPr>
            <w:r/>
            <w:r>
              <w:rPr>
                <w:rFonts w:ascii="Calibri" w:hAnsi="Calibri"/>
                <w:b/>
                <w:color w:val="00326E"/>
                <w:sz w:val="20"/>
              </w:rPr>
              <w:t>6</w:t>
            </w:r>
          </w:p>
        </w:tc>
        <w:tc>
          <w:tcPr>
            <w:tcW w:type="dxa" w:w="3120"/>
            <w:tcBorders>
              <w:top w:val="single" w:sz="4" w:color="00529B" w:space="0"/>
              <w:left w:val="single" w:sz="4" w:color="00529B" w:space="0"/>
              <w:bottom w:val="single" w:sz="4" w:color="00529B" w:space="0"/>
              <w:right w:val="single" w:sz="4" w:color="00529B" w:space="0"/>
            </w:tcBorders>
          </w:tcPr>
          <w:p>
            <w:pPr>
              <w:jc w:val="left"/>
            </w:pPr>
            <w:r/>
            <w:r>
              <w:rPr>
                <w:rFonts w:ascii="Calibri" w:hAnsi="Calibri"/>
                <w:b w:val="0"/>
                <w:color w:val="000000"/>
                <w:sz w:val="20"/>
              </w:rPr>
              <w:t>Go-live &amp; handover</w:t>
            </w:r>
          </w:p>
        </w:tc>
        <w:tc>
          <w:tcPr>
            <w:tcW w:type="dxa" w:w="3120"/>
            <w:tcBorders>
              <w:top w:val="single" w:sz="4" w:color="00529B" w:space="0"/>
              <w:left w:val="single" w:sz="4" w:color="00529B" w:space="0"/>
              <w:bottom w:val="single" w:sz="4" w:color="00529B" w:space="0"/>
              <w:right w:val="single" w:sz="4" w:color="00529B" w:space="0"/>
            </w:tcBorders>
          </w:tcPr>
          <w:p>
            <w:pPr>
              <w:jc w:val="right"/>
            </w:pPr>
            <w:r/>
            <w:r>
              <w:rPr>
                <w:rFonts w:ascii="Calibri" w:hAnsi="Calibri"/>
                <w:b/>
                <w:color w:val="000000"/>
                <w:sz w:val="20"/>
              </w:rPr>
              <w:t>1–2</w:t>
            </w:r>
          </w:p>
        </w:tc>
      </w:tr>
    </w:tbl>
    <w:p/>
    <w:p>
      <w:r>
        <w:rPr>
          <w:b/>
          <w:color w:val="00529B"/>
          <w:sz w:val="32"/>
        </w:rPr>
        <w:t>7.  Client Responsibilities</w:t>
      </w:r>
    </w:p>
    <w:p>
      <w:pPr>
        <w:spacing w:before="80" w:after="80"/>
        <w:pBdr>
          <w:bottom w:val="single" w:sz="6" w:space="1" w:color="00529B"/>
        </w:pBdr>
      </w:pPr>
    </w:p>
    <w:p>
      <w:pPr>
        <w:pStyle w:val="ListBullet"/>
      </w:pPr>
      <w:r>
        <w:rPr>
          <w:color w:val="000000"/>
          <w:sz w:val="22"/>
        </w:rPr>
        <w:t>Provide company registration documents for Meta business verification.</w:t>
      </w:r>
    </w:p>
    <w:p>
      <w:pPr>
        <w:pStyle w:val="ListBullet"/>
      </w:pPr>
      <w:r>
        <w:rPr>
          <w:color w:val="000000"/>
          <w:sz w:val="22"/>
        </w:rPr>
        <w:t>Provide a dedicated phone number (not registered on personal WhatsApp).</w:t>
      </w:r>
    </w:p>
    <w:p>
      <w:pPr>
        <w:pStyle w:val="ListBullet"/>
      </w:pPr>
      <w:r>
        <w:rPr>
          <w:color w:val="000000"/>
          <w:sz w:val="22"/>
        </w:rPr>
        <w:t>Ensure opt-in consent is obtained from all three recipient numbers.</w:t>
      </w:r>
    </w:p>
    <w:p>
      <w:pPr>
        <w:pStyle w:val="ListBullet"/>
      </w:pPr>
      <w:r>
        <w:rPr>
          <w:color w:val="000000"/>
          <w:sz w:val="22"/>
        </w:rPr>
        <w:t>Review and approve message template content for Meta submission.</w:t>
      </w:r>
    </w:p>
    <w:p>
      <w:pPr>
        <w:pStyle w:val="ListBullet"/>
      </w:pPr>
      <w:r>
        <w:rPr>
          <w:color w:val="000000"/>
          <w:sz w:val="22"/>
        </w:rPr>
        <w:t>Provide website backend access or coordinate with the existing web developer.</w:t>
      </w:r>
    </w:p>
    <w:p>
      <w:pPr>
        <w:pStyle w:val="ListBullet"/>
      </w:pPr>
      <w:r>
        <w:rPr>
          <w:color w:val="000000"/>
          <w:sz w:val="22"/>
        </w:rPr>
        <w:t>Designate a single point of contact for the duration of the engagement.</w:t>
      </w:r>
    </w:p>
    <w:p/>
    <w:p>
      <w:r>
        <w:rPr>
          <w:b/>
          <w:color w:val="00529B"/>
          <w:sz w:val="32"/>
        </w:rPr>
        <w:t>8.  Terms &amp; Conditions</w:t>
      </w:r>
    </w:p>
    <w:p>
      <w:pPr>
        <w:spacing w:before="80" w:after="80"/>
        <w:pBdr>
          <w:bottom w:val="single" w:sz="6" w:space="1" w:color="00529B"/>
        </w:pBdr>
      </w:pPr>
    </w:p>
    <w:p>
      <w:pPr>
        <w:pStyle w:val="ListBullet"/>
      </w:pPr>
      <w:r>
        <w:rPr>
          <w:color w:val="000000"/>
          <w:sz w:val="22"/>
        </w:rPr>
        <w:t>This quotation is valid for 30 days from the date of issue.</w:t>
      </w:r>
    </w:p>
    <w:p>
      <w:pPr>
        <w:pStyle w:val="ListBullet"/>
      </w:pPr>
      <w:r>
        <w:rPr>
          <w:color w:val="000000"/>
          <w:sz w:val="22"/>
        </w:rPr>
        <w:t>Meta's business verification timeline is outside the control of Nyota Tech and may affect the overall delivery schedule.</w:t>
      </w:r>
    </w:p>
    <w:p>
      <w:pPr>
        <w:pStyle w:val="ListBullet"/>
      </w:pPr>
      <w:r>
        <w:rPr>
          <w:color w:val="000000"/>
          <w:sz w:val="22"/>
        </w:rPr>
        <w:t>All source code and configuration developed specifically for this project becomes the intellectual property of the client upon full payment.</w:t>
      </w:r>
    </w:p>
    <w:p>
      <w:pPr>
        <w:pStyle w:val="ListBullet"/>
      </w:pPr>
      <w:r>
        <w:rPr>
          <w:color w:val="000000"/>
          <w:sz w:val="22"/>
        </w:rPr>
        <w:t>Nyota Tech is not liable for WhatsApp platform policy changes, account suspensions, or service interruptions caused by Meta.</w:t>
      </w:r>
    </w:p>
    <w:p>
      <w:pPr>
        <w:pStyle w:val="ListBullet"/>
      </w:pPr>
      <w:r>
        <w:rPr>
          <w:color w:val="000000"/>
          <w:sz w:val="22"/>
        </w:rPr>
        <w:t>Any additional feature requests beyond the scope defined in Section 3 will be quoted separately.</w:t>
      </w:r>
    </w:p>
    <w:p>
      <w:pPr>
        <w:pStyle w:val="ListBullet"/>
      </w:pPr>
      <w:r>
        <w:rPr>
          <w:color w:val="000000"/>
          <w:sz w:val="22"/>
        </w:rPr>
        <w:t>Either party may terminate the monthly maintenance agreement with 30 days written notice.</w:t>
      </w:r>
    </w:p>
    <w:p/>
    <w:p>
      <w:pPr>
        <w:spacing w:before="80" w:after="80"/>
        <w:pBdr>
          <w:bottom w:val="single" w:sz="6" w:space="1" w:color="00529B"/>
        </w:pBdr>
      </w:pPr>
    </w:p>
    <w:p>
      <w:pPr>
        <w:jc w:val="center"/>
      </w:pPr>
      <w:r>
        <w:rPr>
          <w:color w:val="00529B"/>
          <w:sz w:val="20"/>
        </w:rPr>
        <w:t>Nyota Tech Limited  |  nyotatech.info@gmail.com</w:t>
      </w:r>
    </w:p>
    <w:p>
      <w:pPr>
        <w:jc w:val="center"/>
      </w:pPr>
      <w:r>
        <w:rPr>
          <w:i/>
          <w:color w:val="00326E"/>
          <w:sz w:val="20"/>
        </w:rPr>
        <w:t>Calm, dependable software.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