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CA140" w14:textId="77777777" w:rsidR="00031292" w:rsidRDefault="00031292">
      <w:pPr>
        <w:spacing w:before="2000"/>
      </w:pPr>
    </w:p>
    <w:p w14:paraId="1162C99A" w14:textId="77777777" w:rsidR="00031292" w:rsidRDefault="00000000">
      <w:r>
        <w:rPr>
          <w:b/>
          <w:color w:val="1A365D"/>
          <w:sz w:val="56"/>
        </w:rPr>
        <w:t>MARKET INTELLIGENCE SYSTEM</w:t>
      </w:r>
    </w:p>
    <w:p w14:paraId="15DCD903" w14:textId="77777777" w:rsidR="00031292" w:rsidRDefault="00000000">
      <w:r>
        <w:rPr>
          <w:color w:val="2C5282"/>
          <w:sz w:val="36"/>
        </w:rPr>
        <w:t>Sistem Intelijen Pasar 2.0</w:t>
      </w:r>
    </w:p>
    <w:p w14:paraId="547E072E" w14:textId="77777777" w:rsidR="00031292" w:rsidRDefault="00000000">
      <w:pPr>
        <w:spacing w:after="2400"/>
      </w:pPr>
      <w:r>
        <w:rPr>
          <w:color w:val="4A5568"/>
          <w:sz w:val="26"/>
        </w:rPr>
        <w:t>Buku Putih Riset &amp; Spesifikasi Arsitektur Teknis Komprehensif</w:t>
      </w:r>
    </w:p>
    <w:p w14:paraId="01E6474E" w14:textId="77777777" w:rsidR="00031292" w:rsidRDefault="00000000">
      <w:r>
        <w:rPr>
          <w:color w:val="718096"/>
          <w:sz w:val="20"/>
        </w:rPr>
        <w:t>Klasifikasi : Dokumen Teknis Institusional (Production-Grade)</w:t>
      </w:r>
      <w:r>
        <w:rPr>
          <w:color w:val="718096"/>
          <w:sz w:val="20"/>
        </w:rPr>
        <w:br/>
        <w:t>Pipeline    : LaTeX → MathML → OMML (Office Math)</w:t>
      </w:r>
      <w:r>
        <w:rPr>
          <w:color w:val="718096"/>
          <w:sz w:val="20"/>
        </w:rPr>
        <w:br/>
        <w:t>Sumber      : README + 11 Dokumen Arsitektur Sistem</w:t>
      </w:r>
      <w:r>
        <w:rPr>
          <w:color w:val="718096"/>
          <w:sz w:val="20"/>
        </w:rPr>
        <w:br/>
        <w:t>Tanggal     : Mei 2026</w:t>
      </w:r>
    </w:p>
    <w:p w14:paraId="7A4A3BC5" w14:textId="77777777" w:rsidR="00031292" w:rsidRDefault="00000000">
      <w:r>
        <w:br w:type="page"/>
      </w:r>
    </w:p>
    <w:p w14:paraId="0CE3FCDE" w14:textId="77777777" w:rsidR="00031292" w:rsidRDefault="00000000">
      <w:pPr>
        <w:spacing w:before="400" w:after="240"/>
      </w:pPr>
      <w:r>
        <w:rPr>
          <w:b/>
          <w:color w:val="4A5568"/>
          <w:sz w:val="20"/>
        </w:rPr>
        <w:lastRenderedPageBreak/>
        <w:t>──────  PANDUAN UTAMA &amp; README SISTEM  ──────</w:t>
      </w:r>
    </w:p>
    <w:p w14:paraId="21688447" w14:textId="77777777" w:rsidR="00031292" w:rsidRDefault="00000000">
      <w:pPr>
        <w:spacing w:before="440"/>
      </w:pPr>
      <w:r>
        <w:rPr>
          <w:b/>
          <w:color w:val="1A365D"/>
          <w:sz w:val="32"/>
        </w:rPr>
        <w:t>Market Intelligence 2.0</w:t>
      </w:r>
    </w:p>
    <w:tbl>
      <w:tblPr>
        <w:tblW w:w="0" w:type="auto"/>
        <w:tblLook w:val="04A0" w:firstRow="1" w:lastRow="0" w:firstColumn="1" w:lastColumn="0" w:noHBand="0" w:noVBand="1"/>
      </w:tblPr>
      <w:tblGrid>
        <w:gridCol w:w="9360"/>
      </w:tblGrid>
      <w:tr w:rsidR="00031292" w14:paraId="4ADCBDC8" w14:textId="77777777">
        <w:tc>
          <w:tcPr>
            <w:tcW w:w="9360" w:type="dxa"/>
            <w:tcBorders>
              <w:left w:val="single" w:sz="24" w:space="0" w:color="3B82F6"/>
            </w:tcBorders>
            <w:shd w:val="clear" w:color="auto" w:fill="EFF6FF"/>
            <w:tcMar>
              <w:top w:w="120" w:type="dxa"/>
              <w:left w:w="180" w:type="dxa"/>
              <w:bottom w:w="120" w:type="dxa"/>
              <w:right w:w="120" w:type="dxa"/>
            </w:tcMar>
          </w:tcPr>
          <w:p w14:paraId="41A7510A" w14:textId="77777777" w:rsidR="00031292" w:rsidRDefault="00000000">
            <w:pPr>
              <w:spacing w:before="40" w:after="40"/>
            </w:pPr>
            <w:r>
              <w:rPr>
                <w:b/>
              </w:rPr>
              <w:t>Hierarchical Financial Intelligence &amp; Macro Simulation Engine</w:t>
            </w:r>
          </w:p>
        </w:tc>
      </w:tr>
    </w:tbl>
    <w:p w14:paraId="116970A2" w14:textId="77777777" w:rsidR="00031292" w:rsidRDefault="00031292"/>
    <w:tbl>
      <w:tblPr>
        <w:tblW w:w="0" w:type="auto"/>
        <w:tblLook w:val="04A0" w:firstRow="1" w:lastRow="0" w:firstColumn="1" w:lastColumn="0" w:noHBand="0" w:noVBand="1"/>
      </w:tblPr>
      <w:tblGrid>
        <w:gridCol w:w="9360"/>
      </w:tblGrid>
      <w:tr w:rsidR="00031292" w14:paraId="0AB24C72" w14:textId="77777777">
        <w:tc>
          <w:tcPr>
            <w:tcW w:w="9360" w:type="dxa"/>
            <w:tcBorders>
              <w:left w:val="single" w:sz="24" w:space="0" w:color="3B82F6"/>
            </w:tcBorders>
            <w:shd w:val="clear" w:color="auto" w:fill="EFF6FF"/>
            <w:tcMar>
              <w:top w:w="120" w:type="dxa"/>
              <w:left w:w="180" w:type="dxa"/>
              <w:bottom w:w="120" w:type="dxa"/>
              <w:right w:w="120" w:type="dxa"/>
            </w:tcMar>
          </w:tcPr>
          <w:p w14:paraId="1512BB90" w14:textId="77777777" w:rsidR="00031292" w:rsidRDefault="00000000">
            <w:pPr>
              <w:spacing w:before="40" w:after="40"/>
            </w:pPr>
            <w:r>
              <w:t>A production-grade 3-layer AI system for Gold (XAUUSD), Bitcoin, and US Equities.</w:t>
            </w:r>
          </w:p>
        </w:tc>
      </w:tr>
    </w:tbl>
    <w:p w14:paraId="752B6FAD" w14:textId="77777777" w:rsidR="00031292" w:rsidRDefault="00031292"/>
    <w:tbl>
      <w:tblPr>
        <w:tblW w:w="0" w:type="auto"/>
        <w:tblLook w:val="04A0" w:firstRow="1" w:lastRow="0" w:firstColumn="1" w:lastColumn="0" w:noHBand="0" w:noVBand="1"/>
      </w:tblPr>
      <w:tblGrid>
        <w:gridCol w:w="9360"/>
      </w:tblGrid>
      <w:tr w:rsidR="00031292" w14:paraId="201AA84C" w14:textId="77777777">
        <w:tc>
          <w:tcPr>
            <w:tcW w:w="9360" w:type="dxa"/>
            <w:tcBorders>
              <w:left w:val="single" w:sz="24" w:space="0" w:color="3B82F6"/>
            </w:tcBorders>
            <w:shd w:val="clear" w:color="auto" w:fill="EFF6FF"/>
            <w:tcMar>
              <w:top w:w="120" w:type="dxa"/>
              <w:left w:w="180" w:type="dxa"/>
              <w:bottom w:w="120" w:type="dxa"/>
              <w:right w:w="120" w:type="dxa"/>
            </w:tcMar>
          </w:tcPr>
          <w:p w14:paraId="1E683DE1" w14:textId="77777777" w:rsidR="00031292" w:rsidRDefault="00000000">
            <w:pPr>
              <w:spacing w:before="40" w:after="40"/>
            </w:pPr>
            <w:r>
              <w:t>Combines LSTM sequence learning, XGBoost macro-regime detection, and a Dual-Head Ensemble Stacker</w:t>
            </w:r>
          </w:p>
        </w:tc>
      </w:tr>
    </w:tbl>
    <w:p w14:paraId="39B730FE" w14:textId="77777777" w:rsidR="00031292" w:rsidRDefault="00031292"/>
    <w:tbl>
      <w:tblPr>
        <w:tblW w:w="0" w:type="auto"/>
        <w:tblLook w:val="04A0" w:firstRow="1" w:lastRow="0" w:firstColumn="1" w:lastColumn="0" w:noHBand="0" w:noVBand="1"/>
      </w:tblPr>
      <w:tblGrid>
        <w:gridCol w:w="9360"/>
      </w:tblGrid>
      <w:tr w:rsidR="00031292" w14:paraId="6BB60F03" w14:textId="77777777">
        <w:tc>
          <w:tcPr>
            <w:tcW w:w="9360" w:type="dxa"/>
            <w:tcBorders>
              <w:left w:val="single" w:sz="24" w:space="0" w:color="3B82F6"/>
            </w:tcBorders>
            <w:shd w:val="clear" w:color="auto" w:fill="EFF6FF"/>
            <w:tcMar>
              <w:top w:w="120" w:type="dxa"/>
              <w:left w:w="180" w:type="dxa"/>
              <w:bottom w:w="120" w:type="dxa"/>
              <w:right w:w="120" w:type="dxa"/>
            </w:tcMar>
          </w:tcPr>
          <w:p w14:paraId="43DF61C1" w14:textId="77777777" w:rsidR="00031292" w:rsidRDefault="00000000">
            <w:pPr>
              <w:spacing w:before="40" w:after="40"/>
            </w:pPr>
            <w:r>
              <w:t>with Monte Carlo probability clouds, real-time macroeconomic factor injection, and Institutional Risk Management (Kelly Criterion &amp; OOD Circuit Breakers).</w:t>
            </w:r>
          </w:p>
        </w:tc>
      </w:tr>
    </w:tbl>
    <w:p w14:paraId="426AE77E" w14:textId="77777777" w:rsidR="00031292" w:rsidRDefault="00031292"/>
    <w:p w14:paraId="1A3F9AED" w14:textId="77777777" w:rsidR="00031292" w:rsidRDefault="00031292">
      <w:pPr>
        <w:pBdr>
          <w:bottom w:val="single" w:sz="6" w:space="1" w:color="CBD5E1"/>
        </w:pBdr>
        <w:spacing w:before="120"/>
      </w:pPr>
    </w:p>
    <w:p w14:paraId="15273AE3" w14:textId="77777777" w:rsidR="00031292" w:rsidRDefault="00000000">
      <w:pPr>
        <w:spacing w:before="320"/>
      </w:pPr>
      <w:r>
        <w:rPr>
          <w:b/>
          <w:color w:val="2C5282"/>
          <w:sz w:val="26"/>
        </w:rPr>
        <w:t>Table of Contents</w:t>
      </w:r>
    </w:p>
    <w:p w14:paraId="1D0AC034" w14:textId="77777777" w:rsidR="00031292" w:rsidRDefault="00000000">
      <w:pPr>
        <w:spacing w:after="60"/>
        <w:ind w:left="432"/>
      </w:pPr>
      <w:r>
        <w:t>[Quick Start](#quick-start)</w:t>
      </w:r>
    </w:p>
    <w:p w14:paraId="407C4509" w14:textId="77777777" w:rsidR="00031292" w:rsidRDefault="00000000">
      <w:pPr>
        <w:spacing w:after="60"/>
        <w:ind w:left="432"/>
      </w:pPr>
      <w:r>
        <w:t>[Architecture Overview](#architecture-overview)</w:t>
      </w:r>
    </w:p>
    <w:p w14:paraId="7A71424F" w14:textId="77777777" w:rsidR="00031292" w:rsidRDefault="00000000">
      <w:pPr>
        <w:spacing w:after="60"/>
        <w:ind w:left="432"/>
      </w:pPr>
      <w:r>
        <w:t>[Macroeconomic &amp; Risk Framework](#macroeconomic--risk-framework)</w:t>
      </w:r>
    </w:p>
    <w:p w14:paraId="6609BAF2" w14:textId="77777777" w:rsidR="00031292" w:rsidRDefault="00000000">
      <w:pPr>
        <w:spacing w:after="60"/>
        <w:ind w:left="432"/>
      </w:pPr>
      <w:r>
        <w:t>[Statistical &amp; Quantitative Methods](#statistical--quantitative-methods)</w:t>
      </w:r>
    </w:p>
    <w:p w14:paraId="1E55C5A2" w14:textId="77777777" w:rsidR="00031292" w:rsidRDefault="00000000">
      <w:pPr>
        <w:spacing w:after="60"/>
        <w:ind w:left="432"/>
      </w:pPr>
      <w:r>
        <w:t>[Data Pipeline (DuckDB + Polars)](#data-pipeline)</w:t>
      </w:r>
    </w:p>
    <w:p w14:paraId="5B8BAB05" w14:textId="77777777" w:rsidR="00031292" w:rsidRDefault="00000000">
      <w:pPr>
        <w:spacing w:after="60"/>
        <w:ind w:left="432"/>
      </w:pPr>
      <w:r>
        <w:t>[Project Structure](#project-structure)</w:t>
      </w:r>
    </w:p>
    <w:p w14:paraId="182CD07C" w14:textId="77777777" w:rsidR="00031292" w:rsidRDefault="00000000">
      <w:pPr>
        <w:spacing w:after="60"/>
        <w:ind w:left="432"/>
      </w:pPr>
      <w:r>
        <w:t>[Model Training Pipeline](#model-training-pipeline)</w:t>
      </w:r>
    </w:p>
    <w:p w14:paraId="0A46ED95" w14:textId="77777777" w:rsidR="00031292" w:rsidRDefault="00000000">
      <w:pPr>
        <w:spacing w:after="60"/>
        <w:ind w:left="432"/>
      </w:pPr>
      <w:r>
        <w:t>[Latest Backtest Performance](#latest-backtest-performance)</w:t>
      </w:r>
    </w:p>
    <w:p w14:paraId="5E151A02" w14:textId="77777777" w:rsidR="00031292" w:rsidRDefault="00000000">
      <w:pPr>
        <w:spacing w:after="60"/>
        <w:ind w:left="432"/>
      </w:pPr>
      <w:r>
        <w:t>[Disclaimer](#disclaimer)</w:t>
      </w:r>
    </w:p>
    <w:p w14:paraId="6A93B75C" w14:textId="77777777" w:rsidR="00031292" w:rsidRDefault="00031292">
      <w:pPr>
        <w:pBdr>
          <w:bottom w:val="single" w:sz="6" w:space="1" w:color="CBD5E1"/>
        </w:pBdr>
        <w:spacing w:before="120"/>
      </w:pPr>
    </w:p>
    <w:p w14:paraId="3FEE2F32" w14:textId="77777777" w:rsidR="00031292" w:rsidRDefault="00000000">
      <w:pPr>
        <w:spacing w:before="320"/>
      </w:pPr>
      <w:r>
        <w:rPr>
          <w:b/>
          <w:color w:val="2C5282"/>
          <w:sz w:val="26"/>
        </w:rPr>
        <w:t>Quick Start</w:t>
      </w:r>
    </w:p>
    <w:p w14:paraId="2F9564C9" w14:textId="77777777" w:rsidR="00031292" w:rsidRDefault="00000000">
      <w:pPr>
        <w:spacing w:before="240"/>
      </w:pPr>
      <w:r>
        <w:rPr>
          <w:b/>
          <w:color w:val="4A5568"/>
          <w:sz w:val="23"/>
        </w:rPr>
        <w:t>Option A — Double-Click (Windows)</w:t>
      </w:r>
    </w:p>
    <w:p w14:paraId="114841C6" w14:textId="77777777" w:rsidR="00031292" w:rsidRDefault="00000000">
      <w:pPr>
        <w:ind w:left="432"/>
      </w:pPr>
      <w:r>
        <w:rPr>
          <w:rFonts w:ascii="Consolas" w:hAnsi="Consolas"/>
          <w:sz w:val="18"/>
        </w:rPr>
        <w:t>Double-click: run_app.bat</w:t>
      </w:r>
    </w:p>
    <w:p w14:paraId="1C0FF8BD" w14:textId="77777777" w:rsidR="00031292" w:rsidRDefault="00000000">
      <w:pPr>
        <w:spacing w:after="80"/>
      </w:pPr>
      <w:r>
        <w:t>This automatically activates the virtual environment (</w:t>
      </w:r>
      <w:r>
        <w:rPr>
          <w:rFonts w:ascii="Consolas" w:hAnsi="Consolas"/>
          <w:sz w:val="19"/>
        </w:rPr>
        <w:t>.venv</w:t>
      </w:r>
      <w:r>
        <w:t>) and starts the Streamlit server.</w:t>
      </w:r>
    </w:p>
    <w:p w14:paraId="2BC619CB" w14:textId="77777777" w:rsidR="00031292" w:rsidRDefault="00000000">
      <w:pPr>
        <w:spacing w:after="80"/>
      </w:pPr>
      <w:r>
        <w:t>The terminal stays open so you can monitor logs. Press any key to close when done.</w:t>
      </w:r>
    </w:p>
    <w:p w14:paraId="69D83DE3" w14:textId="77777777" w:rsidR="00031292" w:rsidRDefault="00000000">
      <w:pPr>
        <w:spacing w:before="240"/>
      </w:pPr>
      <w:r>
        <w:rPr>
          <w:b/>
          <w:color w:val="4A5568"/>
          <w:sz w:val="23"/>
        </w:rPr>
        <w:lastRenderedPageBreak/>
        <w:t>Option B — Manual (PowerShell / CMD)</w:t>
      </w:r>
    </w:p>
    <w:p w14:paraId="27CB0FB3" w14:textId="77777777" w:rsidR="00031292" w:rsidRDefault="00000000">
      <w:pPr>
        <w:ind w:left="432"/>
      </w:pPr>
      <w:r>
        <w:rPr>
          <w:rFonts w:ascii="Consolas" w:hAnsi="Consolas"/>
          <w:sz w:val="18"/>
        </w:rPr>
        <w:t># Activate virtual environment</w:t>
      </w:r>
      <w:r>
        <w:rPr>
          <w:rFonts w:ascii="Consolas" w:hAnsi="Consolas"/>
          <w:sz w:val="18"/>
        </w:rPr>
        <w:br/>
        <w:t>.venv\Scripts\activate</w:t>
      </w:r>
      <w:r>
        <w:rPr>
          <w:rFonts w:ascii="Consolas" w:hAnsi="Consolas"/>
          <w:sz w:val="18"/>
        </w:rPr>
        <w:br/>
      </w:r>
      <w:r>
        <w:rPr>
          <w:rFonts w:ascii="Consolas" w:hAnsi="Consolas"/>
          <w:sz w:val="18"/>
        </w:rPr>
        <w:br/>
        <w:t># Start the app</w:t>
      </w:r>
      <w:r>
        <w:rPr>
          <w:rFonts w:ascii="Consolas" w:hAnsi="Consolas"/>
          <w:sz w:val="18"/>
        </w:rPr>
        <w:br/>
        <w:t>streamlit run app.py</w:t>
      </w:r>
    </w:p>
    <w:p w14:paraId="3425FE86" w14:textId="77777777" w:rsidR="00031292" w:rsidRDefault="00000000">
      <w:pPr>
        <w:spacing w:before="240"/>
      </w:pPr>
      <w:r>
        <w:rPr>
          <w:b/>
          <w:color w:val="4A5568"/>
          <w:sz w:val="23"/>
        </w:rPr>
        <w:t>Option C — Fresh Install</w:t>
      </w:r>
    </w:p>
    <w:p w14:paraId="30A232DF" w14:textId="77777777" w:rsidR="00031292" w:rsidRDefault="00000000">
      <w:pPr>
        <w:ind w:left="432"/>
      </w:pPr>
      <w:r>
        <w:rPr>
          <w:rFonts w:ascii="Consolas" w:hAnsi="Consolas"/>
          <w:sz w:val="18"/>
        </w:rPr>
        <w:t># 1. Clone</w:t>
      </w:r>
      <w:r>
        <w:rPr>
          <w:rFonts w:ascii="Consolas" w:hAnsi="Consolas"/>
          <w:sz w:val="18"/>
        </w:rPr>
        <w:br/>
        <w:t>git clone https://github.com/ken968/Market-Intelligence.git</w:t>
      </w:r>
      <w:r>
        <w:rPr>
          <w:rFonts w:ascii="Consolas" w:hAnsi="Consolas"/>
          <w:sz w:val="18"/>
        </w:rPr>
        <w:br/>
        <w:t>cd Market-Intelligence</w:t>
      </w:r>
      <w:r>
        <w:rPr>
          <w:rFonts w:ascii="Consolas" w:hAnsi="Consolas"/>
          <w:sz w:val="18"/>
        </w:rPr>
        <w:br/>
      </w:r>
      <w:r>
        <w:rPr>
          <w:rFonts w:ascii="Consolas" w:hAnsi="Consolas"/>
          <w:sz w:val="18"/>
        </w:rPr>
        <w:br/>
        <w:t># 2. Create virtual environment and install dependencies</w:t>
      </w:r>
      <w:r>
        <w:rPr>
          <w:rFonts w:ascii="Consolas" w:hAnsi="Consolas"/>
          <w:sz w:val="18"/>
        </w:rPr>
        <w:br/>
        <w:t>python -m venv .venv</w:t>
      </w:r>
      <w:r>
        <w:rPr>
          <w:rFonts w:ascii="Consolas" w:hAnsi="Consolas"/>
          <w:sz w:val="18"/>
        </w:rPr>
        <w:br/>
        <w:t>.venv\Scripts\activate</w:t>
      </w:r>
      <w:r>
        <w:rPr>
          <w:rFonts w:ascii="Consolas" w:hAnsi="Consolas"/>
          <w:sz w:val="18"/>
        </w:rPr>
        <w:br/>
        <w:t>pip install -r requirements.txt</w:t>
      </w:r>
      <w:r>
        <w:rPr>
          <w:rFonts w:ascii="Consolas" w:hAnsi="Consolas"/>
          <w:sz w:val="18"/>
        </w:rPr>
        <w:br/>
      </w:r>
      <w:r>
        <w:rPr>
          <w:rFonts w:ascii="Consolas" w:hAnsi="Consolas"/>
          <w:sz w:val="18"/>
        </w:rPr>
        <w:br/>
        <w:t># 3. Configure API keys (copy the template below to .env)</w:t>
      </w:r>
      <w:r>
        <w:rPr>
          <w:rFonts w:ascii="Consolas" w:hAnsi="Consolas"/>
          <w:sz w:val="18"/>
        </w:rPr>
        <w:br/>
        <w:t># GEMINI_API_KEY=your_gemini_key_here</w:t>
      </w:r>
      <w:r>
        <w:rPr>
          <w:rFonts w:ascii="Consolas" w:hAnsi="Consolas"/>
          <w:sz w:val="18"/>
        </w:rPr>
        <w:br/>
        <w:t># NEWSAPI_KEY=your_newsapi_key_here</w:t>
      </w:r>
      <w:r>
        <w:rPr>
          <w:rFonts w:ascii="Consolas" w:hAnsi="Consolas"/>
          <w:sz w:val="18"/>
        </w:rPr>
        <w:br/>
        <w:t># FINNHUB_API_KEY=your_finnhub_key_here</w:t>
      </w:r>
      <w:r>
        <w:rPr>
          <w:rFonts w:ascii="Consolas" w:hAnsi="Consolas"/>
          <w:sz w:val="18"/>
        </w:rPr>
        <w:br/>
      </w:r>
      <w:r>
        <w:rPr>
          <w:rFonts w:ascii="Consolas" w:hAnsi="Consolas"/>
          <w:sz w:val="18"/>
        </w:rPr>
        <w:br/>
        <w:t># 4. Sync data &amp; Fetch Alternatives (first run)</w:t>
      </w:r>
      <w:r>
        <w:rPr>
          <w:rFonts w:ascii="Consolas" w:hAnsi="Consolas"/>
          <w:sz w:val="18"/>
        </w:rPr>
        <w:br/>
        <w:t>python scripts/fred_fetcher.py</w:t>
      </w:r>
      <w:r>
        <w:rPr>
          <w:rFonts w:ascii="Consolas" w:hAnsi="Consolas"/>
          <w:sz w:val="18"/>
        </w:rPr>
        <w:br/>
        <w:t>python scripts/data_fetcher_v2.py</w:t>
      </w:r>
      <w:r>
        <w:rPr>
          <w:rFonts w:ascii="Consolas" w:hAnsi="Consolas"/>
          <w:sz w:val="18"/>
        </w:rPr>
        <w:br/>
        <w:t>python scripts/sentiment_fetcher_v2.py all</w:t>
      </w:r>
      <w:r>
        <w:rPr>
          <w:rFonts w:ascii="Consolas" w:hAnsi="Consolas"/>
          <w:sz w:val="18"/>
        </w:rPr>
        <w:br/>
        <w:t>python scripts/cot_fetcher.py</w:t>
      </w:r>
      <w:r>
        <w:rPr>
          <w:rFonts w:ascii="Consolas" w:hAnsi="Consolas"/>
          <w:sz w:val="18"/>
        </w:rPr>
        <w:br/>
        <w:t>python scripts/backfill_history.py</w:t>
      </w:r>
      <w:r>
        <w:rPr>
          <w:rFonts w:ascii="Consolas" w:hAnsi="Consolas"/>
          <w:sz w:val="18"/>
        </w:rPr>
        <w:br/>
      </w:r>
      <w:r>
        <w:rPr>
          <w:rFonts w:ascii="Consolas" w:hAnsi="Consolas"/>
          <w:sz w:val="18"/>
        </w:rPr>
        <w:br/>
        <w:t># 5. Train models</w:t>
      </w:r>
      <w:r>
        <w:rPr>
          <w:rFonts w:ascii="Consolas" w:hAnsi="Consolas"/>
          <w:sz w:val="18"/>
        </w:rPr>
        <w:br/>
        <w:t>python scripts/train_lstm_pct.py gold</w:t>
      </w:r>
      <w:r>
        <w:rPr>
          <w:rFonts w:ascii="Consolas" w:hAnsi="Consolas"/>
          <w:sz w:val="18"/>
        </w:rPr>
        <w:br/>
        <w:t>python scripts/train_lstm_pct.py btc</w:t>
      </w:r>
      <w:r>
        <w:rPr>
          <w:rFonts w:ascii="Consolas" w:hAnsi="Consolas"/>
          <w:sz w:val="18"/>
        </w:rPr>
        <w:br/>
        <w:t>python scripts/train_lstm_pct.py spy</w:t>
      </w:r>
      <w:r>
        <w:rPr>
          <w:rFonts w:ascii="Consolas" w:hAnsi="Consolas"/>
          <w:sz w:val="18"/>
        </w:rPr>
        <w:br/>
        <w:t>python scripts/train_xgboost_macro.py gold</w:t>
      </w:r>
      <w:r>
        <w:rPr>
          <w:rFonts w:ascii="Consolas" w:hAnsi="Consolas"/>
          <w:sz w:val="18"/>
        </w:rPr>
        <w:br/>
        <w:t>python scripts/train_xgboost_macro.py btc</w:t>
      </w:r>
      <w:r>
        <w:rPr>
          <w:rFonts w:ascii="Consolas" w:hAnsi="Consolas"/>
          <w:sz w:val="18"/>
        </w:rPr>
        <w:br/>
        <w:t>python scripts/train_xgboost_macro.py spy</w:t>
      </w:r>
      <w:r>
        <w:rPr>
          <w:rFonts w:ascii="Consolas" w:hAnsi="Consolas"/>
          <w:sz w:val="18"/>
        </w:rPr>
        <w:br/>
        <w:t>python scripts/train_ridge_stacker.py        # trains Gold + BTC + SPY</w:t>
      </w:r>
      <w:r>
        <w:rPr>
          <w:rFonts w:ascii="Consolas" w:hAnsi="Consolas"/>
          <w:sz w:val="18"/>
        </w:rPr>
        <w:br/>
      </w:r>
      <w:r>
        <w:rPr>
          <w:rFonts w:ascii="Consolas" w:hAnsi="Consolas"/>
          <w:sz w:val="18"/>
        </w:rPr>
        <w:br/>
        <w:t># 6. Launch</w:t>
      </w:r>
      <w:r>
        <w:rPr>
          <w:rFonts w:ascii="Consolas" w:hAnsi="Consolas"/>
          <w:sz w:val="18"/>
        </w:rPr>
        <w:br/>
        <w:t>run_app.bat</w:t>
      </w:r>
    </w:p>
    <w:p w14:paraId="598666D5" w14:textId="77777777" w:rsidR="00031292" w:rsidRDefault="00031292">
      <w:pPr>
        <w:pBdr>
          <w:bottom w:val="single" w:sz="6" w:space="1" w:color="CBD5E1"/>
        </w:pBdr>
        <w:spacing w:before="120"/>
      </w:pPr>
    </w:p>
    <w:p w14:paraId="1423E0B5" w14:textId="77777777" w:rsidR="00031292" w:rsidRDefault="00000000">
      <w:pPr>
        <w:spacing w:before="320"/>
      </w:pPr>
      <w:r>
        <w:rPr>
          <w:b/>
          <w:color w:val="2C5282"/>
          <w:sz w:val="26"/>
        </w:rPr>
        <w:t>Architecture Overview</w:t>
      </w:r>
    </w:p>
    <w:p w14:paraId="3F7045BD" w14:textId="77777777" w:rsidR="00031292" w:rsidRDefault="00000000">
      <w:pPr>
        <w:spacing w:before="240"/>
      </w:pPr>
      <w:r>
        <w:rPr>
          <w:b/>
          <w:color w:val="4A5568"/>
          <w:sz w:val="23"/>
        </w:rPr>
        <w:t>System Mind Map</w:t>
      </w:r>
    </w:p>
    <w:p w14:paraId="51303029" w14:textId="77777777" w:rsidR="00031292" w:rsidRDefault="00000000">
      <w:pPr>
        <w:jc w:val="center"/>
      </w:pPr>
      <w:r>
        <w:rPr>
          <w:noProof/>
        </w:rPr>
        <w:lastRenderedPageBreak/>
        <w:drawing>
          <wp:inline distT="0" distB="0" distL="0" distR="0" wp14:anchorId="614EB898" wp14:editId="240C95AF">
            <wp:extent cx="5486400" cy="3422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mermaid_tmp.png"/>
                    <pic:cNvPicPr/>
                  </pic:nvPicPr>
                  <pic:blipFill>
                    <a:blip r:embed="rId6"/>
                    <a:stretch>
                      <a:fillRect/>
                    </a:stretch>
                  </pic:blipFill>
                  <pic:spPr>
                    <a:xfrm>
                      <a:off x="0" y="0"/>
                      <a:ext cx="5486400" cy="3422735"/>
                    </a:xfrm>
                    <a:prstGeom prst="rect">
                      <a:avLst/>
                    </a:prstGeom>
                  </pic:spPr>
                </pic:pic>
              </a:graphicData>
            </a:graphic>
          </wp:inline>
        </w:drawing>
      </w:r>
    </w:p>
    <w:p w14:paraId="40B48031" w14:textId="77777777" w:rsidR="00031292" w:rsidRDefault="00000000">
      <w:pPr>
        <w:spacing w:after="80"/>
      </w:pPr>
      <w:r>
        <w:t xml:space="preserve">The system uses a strict </w:t>
      </w:r>
      <w:r>
        <w:rPr>
          <w:b/>
        </w:rPr>
        <w:t>3-Layer Causal Hierarchy</w:t>
      </w:r>
      <w:r>
        <w:t xml:space="preserve"> to separate model concerns:</w:t>
      </w:r>
    </w:p>
    <w:p w14:paraId="67A6B5D5" w14:textId="77777777" w:rsidR="00031292" w:rsidRDefault="00000000">
      <w:pPr>
        <w:ind w:left="432"/>
      </w:pPr>
      <w:r>
        <w:rPr>
          <w:rFonts w:ascii="Consolas" w:hAnsi="Consolas"/>
          <w:sz w:val="18"/>
        </w:rPr>
        <w:t>┌─────────────────────────────────────────────────────────────┐</w:t>
      </w:r>
      <w:r>
        <w:rPr>
          <w:rFonts w:ascii="Consolas" w:hAnsi="Consolas"/>
          <w:sz w:val="18"/>
        </w:rPr>
        <w:br/>
        <w:t>│  LAYER 3 — CEO Layer (Gemini LLM Contextual Bias)           │</w:t>
      </w:r>
      <w:r>
        <w:rPr>
          <w:rFonts w:ascii="Consolas" w:hAnsi="Consolas"/>
          <w:sz w:val="18"/>
        </w:rPr>
        <w:br/>
        <w:t>│  Purpose: Inject macro narrative &amp; regime context           │</w:t>
      </w:r>
      <w:r>
        <w:rPr>
          <w:rFonts w:ascii="Consolas" w:hAnsi="Consolas"/>
          <w:sz w:val="18"/>
        </w:rPr>
        <w:br/>
        <w:t>│  Input:   News headlines + macro_summary                    │</w:t>
      </w:r>
      <w:r>
        <w:rPr>
          <w:rFonts w:ascii="Consolas" w:hAnsi="Consolas"/>
          <w:sz w:val="18"/>
        </w:rPr>
        <w:br/>
        <w:t>│  Output:  drift_multiplier ∈ [0.85, 1.15] + bias_vector    │</w:t>
      </w:r>
      <w:r>
        <w:rPr>
          <w:rFonts w:ascii="Consolas" w:hAnsi="Consolas"/>
          <w:sz w:val="18"/>
        </w:rPr>
        <w:br/>
        <w:t>│  File:    utils/llm_manager.py                              │</w:t>
      </w:r>
      <w:r>
        <w:rPr>
          <w:rFonts w:ascii="Consolas" w:hAnsi="Consolas"/>
          <w:sz w:val="18"/>
        </w:rPr>
        <w:br/>
        <w:t>├─────────────────────────────────────────────────────────────┤</w:t>
      </w:r>
      <w:r>
        <w:rPr>
          <w:rFonts w:ascii="Consolas" w:hAnsi="Consolas"/>
          <w:sz w:val="18"/>
        </w:rPr>
        <w:br/>
        <w:t>│  LAYER 2 — Manager Layer (Dual-Head Ensemble Stacker)       │</w:t>
      </w:r>
      <w:r>
        <w:rPr>
          <w:rFonts w:ascii="Consolas" w:hAnsi="Consolas"/>
          <w:sz w:val="18"/>
        </w:rPr>
        <w:br/>
        <w:t>│  Purpose: Combine LSTM + XGBoost signals, correct endpoint  │</w:t>
      </w:r>
      <w:r>
        <w:rPr>
          <w:rFonts w:ascii="Consolas" w:hAnsi="Consolas"/>
          <w:sz w:val="18"/>
        </w:rPr>
        <w:br/>
        <w:t>│  Architecture:                                              │</w:t>
      </w:r>
      <w:r>
        <w:rPr>
          <w:rFonts w:ascii="Consolas" w:hAnsi="Consolas"/>
          <w:sz w:val="18"/>
        </w:rPr>
        <w:br/>
        <w:t>│    Head 1: LogisticRegressionCV → Direction (UP/DOWN)       │</w:t>
      </w:r>
      <w:r>
        <w:rPr>
          <w:rFonts w:ascii="Consolas" w:hAnsi="Consolas"/>
          <w:sz w:val="18"/>
        </w:rPr>
        <w:br/>
        <w:t>│    Head 2: HuberRegressor       → Magnitude (% change)      │</w:t>
      </w:r>
      <w:r>
        <w:rPr>
          <w:rFonts w:ascii="Consolas" w:hAnsi="Consolas"/>
          <w:sz w:val="18"/>
        </w:rPr>
        <w:br/>
        <w:t>│    Combined: direction_signal × |magnitude|                 │</w:t>
      </w:r>
      <w:r>
        <w:rPr>
          <w:rFonts w:ascii="Consolas" w:hAnsi="Consolas"/>
          <w:sz w:val="18"/>
        </w:rPr>
        <w:br/>
        <w:t>│  File:    utils/layers/manager_anchor.py                    │</w:t>
      </w:r>
      <w:r>
        <w:rPr>
          <w:rFonts w:ascii="Consolas" w:hAnsi="Consolas"/>
          <w:sz w:val="18"/>
        </w:rPr>
        <w:br/>
        <w:t>│           scripts/train_ridge_stacker.py                    │</w:t>
      </w:r>
      <w:r>
        <w:rPr>
          <w:rFonts w:ascii="Consolas" w:hAnsi="Consolas"/>
          <w:sz w:val="18"/>
        </w:rPr>
        <w:br/>
        <w:t>├─────────────────────────────────────────────────────────────┤</w:t>
      </w:r>
      <w:r>
        <w:rPr>
          <w:rFonts w:ascii="Consolas" w:hAnsi="Consolas"/>
          <w:sz w:val="18"/>
        </w:rPr>
        <w:br/>
        <w:t>│  LAYER 1 — Worker Layer (LSTM + XGBoost Base Models)        │</w:t>
      </w:r>
      <w:r>
        <w:rPr>
          <w:rFonts w:ascii="Consolas" w:hAnsi="Consolas"/>
          <w:sz w:val="18"/>
        </w:rPr>
        <w:br/>
        <w:t>│  LSTM:  Sequence-based momentum &amp; micro pattern learning    │</w:t>
      </w:r>
      <w:r>
        <w:rPr>
          <w:rFonts w:ascii="Consolas" w:hAnsi="Consolas"/>
          <w:sz w:val="18"/>
        </w:rPr>
        <w:br/>
        <w:t>│  XGB:   Macro regime detection via lagged economic features │</w:t>
      </w:r>
      <w:r>
        <w:rPr>
          <w:rFonts w:ascii="Consolas" w:hAnsi="Consolas"/>
          <w:sz w:val="18"/>
        </w:rPr>
        <w:br/>
        <w:t>│  Files: utils/layers/worker_lstm.py                         │</w:t>
      </w:r>
      <w:r>
        <w:rPr>
          <w:rFonts w:ascii="Consolas" w:hAnsi="Consolas"/>
          <w:sz w:val="18"/>
        </w:rPr>
        <w:br/>
        <w:t>│         scripts/train_lstm_pct.py                           │</w:t>
      </w:r>
      <w:r>
        <w:rPr>
          <w:rFonts w:ascii="Consolas" w:hAnsi="Consolas"/>
          <w:sz w:val="18"/>
        </w:rPr>
        <w:br/>
        <w:t>│         scripts/train_xgboost_macro.py                      │</w:t>
      </w:r>
      <w:r>
        <w:rPr>
          <w:rFonts w:ascii="Consolas" w:hAnsi="Consolas"/>
          <w:sz w:val="18"/>
        </w:rPr>
        <w:br/>
        <w:t>└─────────────────────────────────────────────────────────────┘</w:t>
      </w:r>
    </w:p>
    <w:p w14:paraId="019AAB03" w14:textId="77777777" w:rsidR="00031292" w:rsidRDefault="00000000">
      <w:pPr>
        <w:spacing w:before="240"/>
      </w:pPr>
      <w:r>
        <w:rPr>
          <w:b/>
          <w:color w:val="4A5568"/>
          <w:sz w:val="23"/>
        </w:rPr>
        <w:t>Forecast Pipeline (per request)</w:t>
      </w:r>
    </w:p>
    <w:p w14:paraId="259F4485" w14:textId="77777777" w:rsidR="00031292" w:rsidRDefault="00000000">
      <w:pPr>
        <w:spacing w:after="60"/>
        <w:ind w:left="432"/>
      </w:pPr>
      <w:r>
        <w:rPr>
          <w:rFonts w:ascii="Consolas" w:hAnsi="Consolas"/>
          <w:sz w:val="19"/>
        </w:rPr>
        <w:t>ensemble_forecast()</w:t>
      </w:r>
      <w:r>
        <w:t xml:space="preserve"> — LSTM + XGBoost → Dual-Head Stacker → 7D signal</w:t>
      </w:r>
    </w:p>
    <w:p w14:paraId="6A145F28" w14:textId="77777777" w:rsidR="00031292" w:rsidRDefault="00000000">
      <w:pPr>
        <w:spacing w:after="60"/>
        <w:ind w:left="432"/>
      </w:pPr>
      <w:r>
        <w:rPr>
          <w:rFonts w:ascii="Consolas" w:hAnsi="Consolas"/>
          <w:sz w:val="19"/>
        </w:rPr>
        <w:t>pct_chain_forecast(N)</w:t>
      </w:r>
      <w:r>
        <w:t xml:space="preserve"> — Direct Multi-Step paths anchored to the stacker</w:t>
      </w:r>
    </w:p>
    <w:p w14:paraId="2A9379C1" w14:textId="77777777" w:rsidR="00031292" w:rsidRDefault="00000000">
      <w:pPr>
        <w:spacing w:after="60"/>
        <w:ind w:left="432"/>
      </w:pPr>
      <w:r>
        <w:lastRenderedPageBreak/>
        <w:t>Monte Carlo fan chart — 500 GBM paths using live IV (Deribit DVOL / CBOE VIX)</w:t>
      </w:r>
    </w:p>
    <w:p w14:paraId="76B2B8C7" w14:textId="77777777" w:rsidR="00031292" w:rsidRDefault="00000000">
      <w:pPr>
        <w:spacing w:after="60"/>
        <w:ind w:left="432"/>
      </w:pPr>
      <w:r>
        <w:t>Out-of-Distribution (OOD) Gate — Circuit breaker for macro anomalies</w:t>
      </w:r>
    </w:p>
    <w:p w14:paraId="41679810" w14:textId="77777777" w:rsidR="00031292" w:rsidRDefault="00031292">
      <w:pPr>
        <w:pBdr>
          <w:bottom w:val="single" w:sz="6" w:space="1" w:color="CBD5E1"/>
        </w:pBdr>
        <w:spacing w:before="120"/>
      </w:pPr>
    </w:p>
    <w:p w14:paraId="3E417BB3" w14:textId="77777777" w:rsidR="00031292" w:rsidRDefault="00000000">
      <w:pPr>
        <w:spacing w:before="320"/>
      </w:pPr>
      <w:r>
        <w:rPr>
          <w:b/>
          <w:color w:val="2C5282"/>
          <w:sz w:val="26"/>
        </w:rPr>
        <w:t>Macroeconomic &amp; Risk Framework</w:t>
      </w:r>
    </w:p>
    <w:p w14:paraId="71334C5B" w14:textId="77777777" w:rsidR="00031292" w:rsidRDefault="00000000">
      <w:pPr>
        <w:spacing w:after="80"/>
      </w:pPr>
      <w:r>
        <w:t>The system is grounded in standard institutional macro analysis and strict risk protocols.</w:t>
      </w:r>
    </w:p>
    <w:p w14:paraId="58052017" w14:textId="77777777" w:rsidR="00031292" w:rsidRDefault="00000000">
      <w:pPr>
        <w:spacing w:before="240"/>
      </w:pPr>
      <w:r>
        <w:rPr>
          <w:b/>
          <w:color w:val="4A5568"/>
          <w:sz w:val="23"/>
        </w:rPr>
        <w:t>Out-of-Distribution (OOD) Circuit Breaker</w:t>
      </w:r>
    </w:p>
    <w:p w14:paraId="57ACF4E3" w14:textId="77777777" w:rsidR="00031292" w:rsidRDefault="00000000">
      <w:pPr>
        <w:spacing w:after="80"/>
      </w:pPr>
      <w:r>
        <w:t xml:space="preserve">To protect capital during "Black Swan" events or Regime Shifts, the system forces a </w:t>
      </w:r>
      <w:r>
        <w:rPr>
          <w:b/>
        </w:rPr>
        <w:t>HOLD</w:t>
      </w:r>
      <w:r>
        <w:t xml:space="preserve"> status and zeroes out allocations if:</w:t>
      </w:r>
    </w:p>
    <w:p w14:paraId="213B7CD6" w14:textId="77777777" w:rsidR="00031292" w:rsidRDefault="00000000">
      <w:pPr>
        <w:spacing w:after="60"/>
        <w:ind w:left="432"/>
      </w:pPr>
      <w:r>
        <w:rPr>
          <w:b/>
        </w:rPr>
        <w:t>CBM (Circuit Breaker Metric) $\ge$ 3</w:t>
      </w:r>
      <w:r>
        <w:t xml:space="preserve">: Three or more macro variables deviate by </w:t>
      </w:r>
      <m:oMath>
        <m:r>
          <w:rPr>
            <w:rFonts w:ascii="Cambria Math" w:eastAsia="Cambria Math" w:hAnsi="Cambria Math" w:cs="Cambria Math"/>
          </w:rPr>
          <m:t>&gt;3</m:t>
        </m:r>
      </m:oMath>
      <w:r>
        <w:t xml:space="preserve"> Standard Deviations (Z-Score </w:t>
      </w:r>
      <m:oMath>
        <m:r>
          <w:rPr>
            <w:rFonts w:ascii="Cambria Math" w:eastAsia="Cambria Math" w:hAnsi="Cambria Math" w:cs="Cambria Math"/>
          </w:rPr>
          <m:t>≥3.0</m:t>
        </m:r>
      </m:oMath>
      <w:r>
        <w:t>).</w:t>
      </w:r>
    </w:p>
    <w:p w14:paraId="0230E574" w14:textId="77777777" w:rsidR="00031292" w:rsidRDefault="00000000">
      <w:pPr>
        <w:spacing w:after="60"/>
        <w:ind w:left="432"/>
      </w:pPr>
      <w:r>
        <w:rPr>
          <w:b/>
        </w:rPr>
        <w:t>VIX $&gt; 35.0$</w:t>
      </w:r>
      <w:r>
        <w:t>: Extreme broad market panic.</w:t>
      </w:r>
    </w:p>
    <w:p w14:paraId="28DF4019" w14:textId="77777777" w:rsidR="00031292" w:rsidRDefault="00000000">
      <w:pPr>
        <w:spacing w:after="60"/>
        <w:ind w:left="432"/>
      </w:pPr>
      <w:r>
        <w:rPr>
          <w:b/>
        </w:rPr>
        <w:t>Extreme Garman-Klass Volatility</w:t>
      </w:r>
      <w:r>
        <w:t xml:space="preserve">: BTC </w:t>
      </w:r>
      <m:oMath>
        <m:r>
          <w:rPr>
            <w:rFonts w:ascii="Cambria Math" w:eastAsia="Cambria Math" w:hAnsi="Cambria Math" w:cs="Cambria Math"/>
          </w:rPr>
          <m:t>&gt;80%</m:t>
        </m:r>
      </m:oMath>
      <w:r>
        <w:t xml:space="preserve">, Gold </w:t>
      </w:r>
      <m:oMath>
        <m:r>
          <w:rPr>
            <w:rFonts w:ascii="Cambria Math" w:eastAsia="Cambria Math" w:hAnsi="Cambria Math" w:cs="Cambria Math"/>
          </w:rPr>
          <m:t>&gt;30%</m:t>
        </m:r>
      </m:oMath>
      <w:r>
        <w:t xml:space="preserve">, Equities </w:t>
      </w:r>
      <m:oMath>
        <m:r>
          <w:rPr>
            <w:rFonts w:ascii="Cambria Math" w:eastAsia="Cambria Math" w:hAnsi="Cambria Math" w:cs="Cambria Math"/>
          </w:rPr>
          <m:t>&gt;40%</m:t>
        </m:r>
      </m:oMath>
      <w:r>
        <w:t>.</w:t>
      </w:r>
    </w:p>
    <w:p w14:paraId="17AAD854" w14:textId="77777777" w:rsidR="00031292" w:rsidRDefault="00000000">
      <w:pPr>
        <w:spacing w:before="240"/>
      </w:pPr>
      <w:r>
        <w:rPr>
          <w:b/>
          <w:color w:val="4A5568"/>
          <w:sz w:val="23"/>
        </w:rPr>
        <w:t>Dynamic Stop-Loss (Garman-Klass Volatility)</w:t>
      </w:r>
    </w:p>
    <w:p w14:paraId="1039BF72" w14:textId="77777777" w:rsidR="00031292" w:rsidRDefault="00000000">
      <w:pPr>
        <w:spacing w:after="80"/>
      </w:pPr>
      <w:r>
        <w:t>Stop-losses are not static percentages. They breathe with the market using the Garman-Klass estimator:</w:t>
      </w:r>
    </w:p>
    <w:p w14:paraId="12724358" w14:textId="77777777" w:rsidR="00031292" w:rsidRDefault="00000000">
      <w:pPr>
        <w:ind w:left="432"/>
      </w:pPr>
      <w:r>
        <w:rPr>
          <w:rFonts w:ascii="Consolas" w:hAnsi="Consolas"/>
          <w:sz w:val="18"/>
        </w:rPr>
        <w:t>\text{Stop Loss Pct} = 1.5 \cdot \text{GK\_Vol\_21d} \cdot \sqrt{7/252}</w:t>
      </w:r>
    </w:p>
    <w:p w14:paraId="448E5305" w14:textId="77777777" w:rsidR="00031292" w:rsidRDefault="00000000">
      <w:pPr>
        <w:spacing w:before="240"/>
      </w:pPr>
      <w:r>
        <w:rPr>
          <w:b/>
          <w:color w:val="4A5568"/>
          <w:sz w:val="23"/>
        </w:rPr>
        <w:t>Kelly Criterion Position Sizing</w:t>
      </w:r>
    </w:p>
    <w:p w14:paraId="2313CEAB" w14:textId="77777777" w:rsidR="00031292" w:rsidRDefault="00000000">
      <w:pPr>
        <w:spacing w:after="80"/>
      </w:pPr>
      <w:r>
        <w:t>When the Dual-Head Stacker provides a directional probability (</w:t>
      </w:r>
      <m:oMath>
        <m:r>
          <w:rPr>
            <w:rFonts w:ascii="Cambria Math" w:eastAsia="Cambria Math" w:hAnsi="Cambria Math" w:cs="Cambria Math"/>
          </w:rPr>
          <m:t>P</m:t>
        </m:r>
      </m:oMath>
      <w:r>
        <w:t>) and a Risk/Reward ratio (</w:t>
      </w:r>
      <m:oMath>
        <m:r>
          <w:rPr>
            <w:rFonts w:ascii="Cambria Math" w:eastAsia="Cambria Math" w:hAnsi="Cambria Math" w:cs="Cambria Math"/>
          </w:rPr>
          <m:t>B</m:t>
        </m:r>
      </m:oMath>
      <w:r>
        <w:t xml:space="preserve">), the system calculates optimal allocation using a </w:t>
      </w:r>
      <w:r>
        <w:rPr>
          <w:b/>
        </w:rPr>
        <w:t>Half-Kelly</w:t>
      </w:r>
      <w:r>
        <w:t xml:space="preserve"> fraction to minimize drawdown:</w:t>
      </w:r>
    </w:p>
    <w:p w14:paraId="49EC4685" w14:textId="77777777" w:rsidR="00031292" w:rsidRDefault="00000000">
      <w:pPr>
        <w:ind w:left="432"/>
      </w:pPr>
      <w:r>
        <w:rPr>
          <w:rFonts w:ascii="Consolas" w:hAnsi="Consolas"/>
          <w:sz w:val="18"/>
        </w:rPr>
        <w:t>f^* = P - \frac{1 - P}{B}</w:t>
      </w:r>
    </w:p>
    <w:p w14:paraId="085A3256" w14:textId="77777777" w:rsidR="00031292" w:rsidRDefault="00000000">
      <w:pPr>
        <w:spacing w:after="80"/>
      </w:pPr>
      <w:r>
        <w:t>*Note: Risk/Reward ratio is clamped between 1.0 and 5.0 to prevent irrational allocations.*</w:t>
      </w:r>
    </w:p>
    <w:p w14:paraId="0749D4CD" w14:textId="77777777" w:rsidR="00031292" w:rsidRDefault="00000000">
      <w:pPr>
        <w:spacing w:before="240"/>
      </w:pPr>
      <w:r>
        <w:rPr>
          <w:b/>
          <w:color w:val="4A5568"/>
          <w:sz w:val="23"/>
        </w:rPr>
        <w:t>Smart Money Sentiment Gap (COT)</w:t>
      </w:r>
    </w:p>
    <w:p w14:paraId="367581DB" w14:textId="77777777" w:rsidR="00031292" w:rsidRDefault="00000000">
      <w:pPr>
        <w:spacing w:after="80"/>
      </w:pPr>
      <w:r>
        <w:t xml:space="preserve">By downloading Commitment of Traders (COT) data directly from the CFTC, the system calculates </w:t>
      </w:r>
      <w:r>
        <w:rPr>
          <w:rFonts w:ascii="Consolas" w:hAnsi="Consolas"/>
          <w:sz w:val="19"/>
        </w:rPr>
        <w:t>Net_Commercial</w:t>
      </w:r>
      <w:r>
        <w:t xml:space="preserve"> positions to detect when Institutional Hedgers diverge from Retail Speculators (Fear &amp; Greed Index). This synthetic feature is the #1 driver for Gold and BTC XGBoost models.</w:t>
      </w:r>
    </w:p>
    <w:p w14:paraId="5503900A" w14:textId="77777777" w:rsidR="00031292" w:rsidRDefault="00031292">
      <w:pPr>
        <w:pBdr>
          <w:bottom w:val="single" w:sz="6" w:space="1" w:color="CBD5E1"/>
        </w:pBdr>
        <w:spacing w:before="120"/>
      </w:pPr>
    </w:p>
    <w:p w14:paraId="04B9B58A" w14:textId="77777777" w:rsidR="00031292" w:rsidRDefault="00000000">
      <w:pPr>
        <w:spacing w:before="320"/>
      </w:pPr>
      <w:r>
        <w:rPr>
          <w:b/>
          <w:color w:val="2C5282"/>
          <w:sz w:val="26"/>
        </w:rPr>
        <w:t>Statistical &amp; Quantitative Methods</w:t>
      </w:r>
    </w:p>
    <w:p w14:paraId="637623CE" w14:textId="77777777" w:rsidR="00031292" w:rsidRDefault="00000000">
      <w:pPr>
        <w:spacing w:before="240"/>
      </w:pPr>
      <w:r>
        <w:rPr>
          <w:b/>
          <w:color w:val="4A5568"/>
          <w:sz w:val="23"/>
        </w:rPr>
        <w:t>Dual-Head Ensemble (Ridge Stacker — Upgraded)</w:t>
      </w:r>
    </w:p>
    <w:p w14:paraId="46488A46" w14:textId="77777777" w:rsidR="00031292" w:rsidRDefault="00000000">
      <w:pPr>
        <w:spacing w:after="80"/>
      </w:pPr>
      <w:r>
        <w:t>Traditional Ridge Regression stackers minimize MSE, creating a tension between hit ratio (direction) and magnitude accuracy. The Dual-Head approach separates these objectives:</w:t>
      </w:r>
    </w:p>
    <w:p w14:paraId="67ED839B" w14:textId="77777777" w:rsidR="00031292" w:rsidRDefault="00000000">
      <w:pPr>
        <w:ind w:left="432"/>
      </w:pPr>
      <w:r>
        <w:rPr>
          <w:rFonts w:ascii="Consolas" w:hAnsi="Consolas"/>
          <w:sz w:val="18"/>
        </w:rPr>
        <w:lastRenderedPageBreak/>
        <w:t>Head 1 (Direction): LogisticRegressionCV</w:t>
      </w:r>
      <w:r>
        <w:rPr>
          <w:rFonts w:ascii="Consolas" w:hAnsi="Consolas"/>
          <w:sz w:val="18"/>
        </w:rPr>
        <w:br/>
        <w:t xml:space="preserve">   Input:  [lstm_pred, xgb_pred, VIX, GK_Vol, Sentiment, YieldCurve, DXY, Fear_Greed, Net_Commercial]</w:t>
      </w:r>
      <w:r>
        <w:rPr>
          <w:rFonts w:ascii="Consolas" w:hAnsi="Consolas"/>
          <w:sz w:val="18"/>
        </w:rPr>
        <w:br/>
        <w:t xml:space="preserve">   Target: y_dir = 1 if price_7d_later &gt; price_today else 0</w:t>
      </w:r>
      <w:r>
        <w:rPr>
          <w:rFonts w:ascii="Consolas" w:hAnsi="Consolas"/>
          <w:sz w:val="18"/>
        </w:rPr>
        <w:br/>
        <w:t xml:space="preserve">   Loss:   Cross-entropy (maximizes directional accuracy)</w:t>
      </w:r>
      <w:r>
        <w:rPr>
          <w:rFonts w:ascii="Consolas" w:hAnsi="Consolas"/>
          <w:sz w:val="18"/>
        </w:rPr>
        <w:br/>
      </w:r>
      <w:r>
        <w:rPr>
          <w:rFonts w:ascii="Consolas" w:hAnsi="Consolas"/>
          <w:sz w:val="18"/>
        </w:rPr>
        <w:br/>
        <w:t>Head 2 (Magnitude): HuberRegressor(epsilon=1.35)</w:t>
      </w:r>
      <w:r>
        <w:rPr>
          <w:rFonts w:ascii="Consolas" w:hAnsi="Consolas"/>
          <w:sz w:val="18"/>
        </w:rPr>
        <w:br/>
        <w:t xml:space="preserve">   Input:  Same meta-features</w:t>
      </w:r>
      <w:r>
        <w:rPr>
          <w:rFonts w:ascii="Consolas" w:hAnsi="Consolas"/>
          <w:sz w:val="18"/>
        </w:rPr>
        <w:br/>
        <w:t xml:space="preserve">   Target: y_pct = (price_7d_later - price_today) / price_today</w:t>
      </w:r>
      <w:r>
        <w:rPr>
          <w:rFonts w:ascii="Consolas" w:hAnsi="Consolas"/>
          <w:sz w:val="18"/>
        </w:rPr>
        <w:br/>
        <w:t xml:space="preserve">   Loss:   Huber(δ=1.35) — outlier-robust (crash weeks don't dominate the fit)</w:t>
      </w:r>
    </w:p>
    <w:p w14:paraId="1DDECBE5" w14:textId="77777777" w:rsidR="00031292" w:rsidRDefault="00000000">
      <w:pPr>
        <w:spacing w:before="240"/>
      </w:pPr>
      <w:r>
        <w:rPr>
          <w:b/>
          <w:color w:val="4A5568"/>
          <w:sz w:val="23"/>
        </w:rPr>
        <w:t>LSTM Training: Percentage Change Target</w:t>
      </w:r>
    </w:p>
    <w:p w14:paraId="0740C9F7" w14:textId="77777777" w:rsidR="00031292" w:rsidRDefault="00000000">
      <w:pPr>
        <w:spacing w:after="80"/>
      </w:pPr>
      <w:r>
        <w:t xml:space="preserve">The LSTM is </w:t>
      </w:r>
      <w:r>
        <w:rPr>
          <w:b/>
        </w:rPr>
        <w:t>not</w:t>
      </w:r>
      <w:r>
        <w:t xml:space="preserve"> trained to predict absolute prices. The target is the 7-day forward percentage change. Predicting % changes is stationary (prices are not), which dramatically improves LSTM generalization.</w:t>
      </w:r>
    </w:p>
    <w:p w14:paraId="5B90BDEE" w14:textId="77777777" w:rsidR="00031292" w:rsidRDefault="00031292">
      <w:pPr>
        <w:pBdr>
          <w:bottom w:val="single" w:sz="6" w:space="1" w:color="CBD5E1"/>
        </w:pBdr>
        <w:spacing w:before="120"/>
      </w:pPr>
    </w:p>
    <w:p w14:paraId="5AD32BF3" w14:textId="77777777" w:rsidR="00031292" w:rsidRDefault="00000000">
      <w:pPr>
        <w:spacing w:before="320"/>
      </w:pPr>
      <w:r>
        <w:rPr>
          <w:b/>
          <w:color w:val="2C5282"/>
          <w:sz w:val="26"/>
        </w:rPr>
        <w:t>Data Pipeline (DuckDB + Polars)</w:t>
      </w:r>
    </w:p>
    <w:p w14:paraId="7249F6F8" w14:textId="77777777" w:rsidR="00031292" w:rsidRDefault="00000000">
      <w:pPr>
        <w:spacing w:after="80"/>
      </w:pPr>
      <w:r>
        <w:t>To support institutional-grade execution speeds and eliminate CSV parsing bottlenecks, Market Intelligence 2.0 uses an embedded analytical database architecture:</w:t>
      </w:r>
    </w:p>
    <w:p w14:paraId="1A94854D" w14:textId="77777777" w:rsidR="00031292" w:rsidRDefault="00000000">
      <w:pPr>
        <w:spacing w:after="60"/>
        <w:ind w:left="432"/>
      </w:pPr>
      <w:r>
        <w:rPr>
          <w:b/>
        </w:rPr>
        <w:t>DuckDB</w:t>
      </w:r>
      <w:r>
        <w:t>: Acts as the SQL engine for ultra-fast columnar JOINs of OHLCV prices, macro indicators (FRED), and sentiment scores.</w:t>
      </w:r>
    </w:p>
    <w:p w14:paraId="4ECAA287" w14:textId="77777777" w:rsidR="00031292" w:rsidRDefault="00000000">
      <w:pPr>
        <w:spacing w:after="60"/>
        <w:ind w:left="432"/>
      </w:pPr>
      <w:r>
        <w:rPr>
          <w:b/>
        </w:rPr>
        <w:t>Polars</w:t>
      </w:r>
      <w:r>
        <w:t>: Executes parallelized, zero-copy feature engineering (e.g., Z-Scores, EWMA, shift/lags).</w:t>
      </w:r>
    </w:p>
    <w:p w14:paraId="4ECA00CA" w14:textId="77777777" w:rsidR="00031292" w:rsidRDefault="00000000">
      <w:pPr>
        <w:spacing w:after="60"/>
        <w:ind w:left="432"/>
      </w:pPr>
      <w:r>
        <w:rPr>
          <w:b/>
        </w:rPr>
        <w:t>Pseudo-ACID CSV Fallback</w:t>
      </w:r>
      <w:r>
        <w:t>: Every DuckDB write is simultaneously backed up to a CSV. If DuckDB corrupts or is missing dependencies, the Streamlit UI safely falls back to reading CSVs without breaking.</w:t>
      </w:r>
    </w:p>
    <w:p w14:paraId="368D26DE" w14:textId="77777777" w:rsidR="00031292" w:rsidRDefault="00031292">
      <w:pPr>
        <w:pBdr>
          <w:bottom w:val="single" w:sz="6" w:space="1" w:color="CBD5E1"/>
        </w:pBdr>
        <w:spacing w:before="120"/>
      </w:pPr>
    </w:p>
    <w:p w14:paraId="6018D230" w14:textId="77777777" w:rsidR="00031292" w:rsidRDefault="00000000">
      <w:pPr>
        <w:spacing w:before="320"/>
      </w:pPr>
      <w:r>
        <w:rPr>
          <w:b/>
          <w:color w:val="2C5282"/>
          <w:sz w:val="26"/>
        </w:rPr>
        <w:t>Project Structure</w:t>
      </w:r>
    </w:p>
    <w:p w14:paraId="3344567A" w14:textId="77777777" w:rsidR="00031292" w:rsidRDefault="00000000">
      <w:pPr>
        <w:ind w:left="432"/>
      </w:pPr>
      <w:r>
        <w:rPr>
          <w:rFonts w:ascii="Consolas" w:hAnsi="Consolas"/>
          <w:sz w:val="18"/>
        </w:rPr>
        <w:t>Market-Intelligence/</w:t>
      </w:r>
      <w:r>
        <w:rPr>
          <w:rFonts w:ascii="Consolas" w:hAnsi="Consolas"/>
          <w:sz w:val="18"/>
        </w:rPr>
        <w:br/>
        <w:t>├── app.py                              # Streamlit entry point</w:t>
      </w:r>
      <w:r>
        <w:rPr>
          <w:rFonts w:ascii="Consolas" w:hAnsi="Consolas"/>
          <w:sz w:val="18"/>
        </w:rPr>
        <w:br/>
        <w:t>├── run_app.bat                         # One-click launcher (Windows)</w:t>
      </w:r>
      <w:r>
        <w:rPr>
          <w:rFonts w:ascii="Consolas" w:hAnsi="Consolas"/>
          <w:sz w:val="18"/>
        </w:rPr>
        <w:br/>
        <w:t>├── pages/</w:t>
      </w:r>
      <w:r>
        <w:rPr>
          <w:rFonts w:ascii="Consolas" w:hAnsi="Consolas"/>
          <w:sz w:val="18"/>
        </w:rPr>
        <w:br/>
        <w:t>│   ├── 1_Dashboard.py                  # Portfolio overview + AI batch predictions</w:t>
      </w:r>
      <w:r>
        <w:rPr>
          <w:rFonts w:ascii="Consolas" w:hAnsi="Consolas"/>
          <w:sz w:val="18"/>
        </w:rPr>
        <w:br/>
        <w:t>│   ├── 5_Model_Operations.py           # Model Health Monitor &amp; AI diagnostics</w:t>
      </w:r>
      <w:r>
        <w:rPr>
          <w:rFonts w:ascii="Consolas" w:hAnsi="Consolas"/>
          <w:sz w:val="18"/>
        </w:rPr>
        <w:br/>
        <w:t>│   ├── 6_Trading_Signals.py            # Risk Layer, Kelly Sizing, OOD Gates</w:t>
      </w:r>
      <w:r>
        <w:rPr>
          <w:rFonts w:ascii="Consolas" w:hAnsi="Consolas"/>
          <w:sz w:val="18"/>
        </w:rPr>
        <w:br/>
        <w:t>│   └── 7_Settings.py                   # Data sync controls</w:t>
      </w:r>
      <w:r>
        <w:rPr>
          <w:rFonts w:ascii="Consolas" w:hAnsi="Consolas"/>
          <w:sz w:val="18"/>
        </w:rPr>
        <w:br/>
        <w:t>│</w:t>
      </w:r>
      <w:r>
        <w:rPr>
          <w:rFonts w:ascii="Consolas" w:hAnsi="Consolas"/>
          <w:sz w:val="18"/>
        </w:rPr>
        <w:br/>
        <w:t>├── scripts/                            # Data pipeline &amp; training</w:t>
      </w:r>
      <w:r>
        <w:rPr>
          <w:rFonts w:ascii="Consolas" w:hAnsi="Consolas"/>
          <w:sz w:val="18"/>
        </w:rPr>
        <w:br/>
        <w:t>│   ├── data_fetcher_v2.py              # OHLCV + macro merge → DuckDB</w:t>
      </w:r>
      <w:r>
        <w:rPr>
          <w:rFonts w:ascii="Consolas" w:hAnsi="Consolas"/>
          <w:sz w:val="18"/>
        </w:rPr>
        <w:br/>
        <w:t>│   ├── fred_fetcher.py                 # FRED macro series</w:t>
      </w:r>
      <w:r>
        <w:rPr>
          <w:rFonts w:ascii="Consolas" w:hAnsi="Consolas"/>
          <w:sz w:val="18"/>
        </w:rPr>
        <w:br/>
        <w:t>│   ├── sentiment_fetcher_v2.py         # News + FearGreed</w:t>
      </w:r>
      <w:r>
        <w:rPr>
          <w:rFonts w:ascii="Consolas" w:hAnsi="Consolas"/>
          <w:sz w:val="18"/>
        </w:rPr>
        <w:br/>
        <w:t>│   ├── cot_fetcher.py                  # CFTC Commitment of Traders fetcher</w:t>
      </w:r>
      <w:r>
        <w:rPr>
          <w:rFonts w:ascii="Consolas" w:hAnsi="Consolas"/>
          <w:sz w:val="18"/>
        </w:rPr>
        <w:br/>
        <w:t>│   ├── migrate_to_duckdb.py            # CSV to DuckDB migration tool</w:t>
      </w:r>
      <w:r>
        <w:rPr>
          <w:rFonts w:ascii="Consolas" w:hAnsi="Consolas"/>
          <w:sz w:val="18"/>
        </w:rPr>
        <w:br/>
      </w:r>
      <w:r>
        <w:rPr>
          <w:rFonts w:ascii="Consolas" w:hAnsi="Consolas"/>
          <w:sz w:val="18"/>
        </w:rPr>
        <w:lastRenderedPageBreak/>
        <w:t>│   ├── train_lstm_pct.py               # LSTM training (pct-change target)</w:t>
      </w:r>
      <w:r>
        <w:rPr>
          <w:rFonts w:ascii="Consolas" w:hAnsi="Consolas"/>
          <w:sz w:val="18"/>
        </w:rPr>
        <w:br/>
        <w:t>│   ├── train_xgboost_macro.py          # XGBoost macro model training</w:t>
      </w:r>
      <w:r>
        <w:rPr>
          <w:rFonts w:ascii="Consolas" w:hAnsi="Consolas"/>
          <w:sz w:val="18"/>
        </w:rPr>
        <w:br/>
        <w:t>│   └── train_ridge_stacker.py          # Dual-Head Stacker training</w:t>
      </w:r>
      <w:r>
        <w:rPr>
          <w:rFonts w:ascii="Consolas" w:hAnsi="Consolas"/>
          <w:sz w:val="18"/>
        </w:rPr>
        <w:br/>
        <w:t>│</w:t>
      </w:r>
      <w:r>
        <w:rPr>
          <w:rFonts w:ascii="Consolas" w:hAnsi="Consolas"/>
          <w:sz w:val="18"/>
        </w:rPr>
        <w:br/>
        <w:t>├── utils/                              # Core library</w:t>
      </w:r>
      <w:r>
        <w:rPr>
          <w:rFonts w:ascii="Consolas" w:hAnsi="Consolas"/>
          <w:sz w:val="18"/>
        </w:rPr>
        <w:br/>
        <w:t>│   ├── data_store.py                   # DuckDB + Polars connection manager</w:t>
      </w:r>
      <w:r>
        <w:rPr>
          <w:rFonts w:ascii="Consolas" w:hAnsi="Consolas"/>
          <w:sz w:val="18"/>
        </w:rPr>
        <w:br/>
        <w:t>│   ├── predictor.py                    # Orchestrator: AssetPredictor class</w:t>
      </w:r>
      <w:r>
        <w:rPr>
          <w:rFonts w:ascii="Consolas" w:hAnsi="Consolas"/>
          <w:sz w:val="18"/>
        </w:rPr>
        <w:br/>
        <w:t>│   ├── signal_generator.py             # Trading signal &amp; Risk Layer math</w:t>
      </w:r>
      <w:r>
        <w:rPr>
          <w:rFonts w:ascii="Consolas" w:hAnsi="Consolas"/>
          <w:sz w:val="18"/>
        </w:rPr>
        <w:br/>
        <w:t>│   ├── macro_processor.py              # Macro context builder</w:t>
      </w:r>
      <w:r>
        <w:rPr>
          <w:rFonts w:ascii="Consolas" w:hAnsi="Consolas"/>
          <w:sz w:val="18"/>
        </w:rPr>
        <w:br/>
        <w:t>│   ├── xai_explainer.py                # Z-Score anomaly detection</w:t>
      </w:r>
      <w:r>
        <w:rPr>
          <w:rFonts w:ascii="Consolas" w:hAnsi="Consolas"/>
          <w:sz w:val="18"/>
        </w:rPr>
        <w:br/>
        <w:t>│   └── layers/                         # 3-Layer inference sub-modules</w:t>
      </w:r>
      <w:r>
        <w:rPr>
          <w:rFonts w:ascii="Consolas" w:hAnsi="Consolas"/>
          <w:sz w:val="18"/>
        </w:rPr>
        <w:br/>
        <w:t>│</w:t>
      </w:r>
      <w:r>
        <w:rPr>
          <w:rFonts w:ascii="Consolas" w:hAnsi="Consolas"/>
          <w:sz w:val="18"/>
        </w:rPr>
        <w:br/>
        <w:t>├── data/                               # Data warehouse (Git-ignored)</w:t>
      </w:r>
      <w:r>
        <w:rPr>
          <w:rFonts w:ascii="Consolas" w:hAnsi="Consolas"/>
          <w:sz w:val="18"/>
        </w:rPr>
        <w:br/>
        <w:t>│   ├── market_intelligence.db          # Main DuckDB analytical database</w:t>
      </w:r>
      <w:r>
        <w:rPr>
          <w:rFonts w:ascii="Consolas" w:hAnsi="Consolas"/>
          <w:sz w:val="18"/>
        </w:rPr>
        <w:br/>
        <w:t>│   └── backups/                        # CSV dual-write fallbacks</w:t>
      </w:r>
      <w:r>
        <w:rPr>
          <w:rFonts w:ascii="Consolas" w:hAnsi="Consolas"/>
          <w:sz w:val="18"/>
        </w:rPr>
        <w:br/>
        <w:t>│</w:t>
      </w:r>
      <w:r>
        <w:rPr>
          <w:rFonts w:ascii="Consolas" w:hAnsi="Consolas"/>
          <w:sz w:val="18"/>
        </w:rPr>
        <w:br/>
        <w:t>└── tests/</w:t>
      </w:r>
      <w:r>
        <w:rPr>
          <w:rFonts w:ascii="Consolas" w:hAnsi="Consolas"/>
          <w:sz w:val="18"/>
        </w:rPr>
        <w:br/>
        <w:t xml:space="preserve">    ├── test_core.py                    # Core pipeline pytest suite</w:t>
      </w:r>
      <w:r>
        <w:rPr>
          <w:rFonts w:ascii="Consolas" w:hAnsi="Consolas"/>
          <w:sz w:val="18"/>
        </w:rPr>
        <w:br/>
        <w:t xml:space="preserve">    └── test_risk_layer.py              # Circuit breaker &amp; Kelly math validation</w:t>
      </w:r>
    </w:p>
    <w:p w14:paraId="5FB65465" w14:textId="77777777" w:rsidR="00031292" w:rsidRDefault="00031292">
      <w:pPr>
        <w:pBdr>
          <w:bottom w:val="single" w:sz="6" w:space="1" w:color="CBD5E1"/>
        </w:pBdr>
        <w:spacing w:before="120"/>
      </w:pPr>
    </w:p>
    <w:p w14:paraId="70D08ADE" w14:textId="77777777" w:rsidR="00031292" w:rsidRDefault="00000000">
      <w:pPr>
        <w:spacing w:before="320"/>
      </w:pPr>
      <w:r>
        <w:rPr>
          <w:b/>
          <w:color w:val="2C5282"/>
          <w:sz w:val="26"/>
        </w:rPr>
        <w:t>Model Training Pipeline</w:t>
      </w:r>
    </w:p>
    <w:p w14:paraId="0B6C613C" w14:textId="77777777" w:rsidR="00031292" w:rsidRDefault="00000000">
      <w:pPr>
        <w:spacing w:before="240"/>
      </w:pPr>
      <w:r>
        <w:rPr>
          <w:b/>
          <w:color w:val="4A5568"/>
          <w:sz w:val="23"/>
        </w:rPr>
        <w:t>Full Re-training Sequence</w:t>
      </w:r>
    </w:p>
    <w:p w14:paraId="57DAF491" w14:textId="77777777" w:rsidR="00031292" w:rsidRDefault="00000000">
      <w:pPr>
        <w:ind w:left="432"/>
      </w:pPr>
      <w:r>
        <w:rPr>
          <w:rFonts w:ascii="Consolas" w:hAnsi="Consolas"/>
          <w:sz w:val="18"/>
        </w:rPr>
        <w:t># 1. Sync all data sources</w:t>
      </w:r>
      <w:r>
        <w:rPr>
          <w:rFonts w:ascii="Consolas" w:hAnsi="Consolas"/>
          <w:sz w:val="18"/>
        </w:rPr>
        <w:br/>
        <w:t>python scripts/fred_fetcher.py</w:t>
      </w:r>
      <w:r>
        <w:rPr>
          <w:rFonts w:ascii="Consolas" w:hAnsi="Consolas"/>
          <w:sz w:val="18"/>
        </w:rPr>
        <w:br/>
        <w:t>python scripts/data_fetcher_v2.py</w:t>
      </w:r>
      <w:r>
        <w:rPr>
          <w:rFonts w:ascii="Consolas" w:hAnsi="Consolas"/>
          <w:sz w:val="18"/>
        </w:rPr>
        <w:br/>
        <w:t>python scripts/sentiment_fetcher_v2.py all</w:t>
      </w:r>
      <w:r>
        <w:rPr>
          <w:rFonts w:ascii="Consolas" w:hAnsi="Consolas"/>
          <w:sz w:val="18"/>
        </w:rPr>
        <w:br/>
        <w:t>python scripts/cot_fetcher.py</w:t>
      </w:r>
      <w:r>
        <w:rPr>
          <w:rFonts w:ascii="Consolas" w:hAnsi="Consolas"/>
          <w:sz w:val="18"/>
        </w:rPr>
        <w:br/>
      </w:r>
      <w:r>
        <w:rPr>
          <w:rFonts w:ascii="Consolas" w:hAnsi="Consolas"/>
          <w:sz w:val="18"/>
        </w:rPr>
        <w:br/>
        <w:t># 2. Train base LSTM models (pct-change architecture)</w:t>
      </w:r>
      <w:r>
        <w:rPr>
          <w:rFonts w:ascii="Consolas" w:hAnsi="Consolas"/>
          <w:sz w:val="18"/>
        </w:rPr>
        <w:br/>
        <w:t>python scripts/train_lstm_pct.py gold</w:t>
      </w:r>
      <w:r>
        <w:rPr>
          <w:rFonts w:ascii="Consolas" w:hAnsi="Consolas"/>
          <w:sz w:val="18"/>
        </w:rPr>
        <w:br/>
        <w:t>python scripts/train_lstm_pct.py btc</w:t>
      </w:r>
      <w:r>
        <w:rPr>
          <w:rFonts w:ascii="Consolas" w:hAnsi="Consolas"/>
          <w:sz w:val="18"/>
        </w:rPr>
        <w:br/>
        <w:t>python scripts/train_lstm_pct.py spy</w:t>
      </w:r>
      <w:r>
        <w:rPr>
          <w:rFonts w:ascii="Consolas" w:hAnsi="Consolas"/>
          <w:sz w:val="18"/>
        </w:rPr>
        <w:br/>
      </w:r>
      <w:r>
        <w:rPr>
          <w:rFonts w:ascii="Consolas" w:hAnsi="Consolas"/>
          <w:sz w:val="18"/>
        </w:rPr>
        <w:br/>
        <w:t># 3. Train XGBoost macro models</w:t>
      </w:r>
      <w:r>
        <w:rPr>
          <w:rFonts w:ascii="Consolas" w:hAnsi="Consolas"/>
          <w:sz w:val="18"/>
        </w:rPr>
        <w:br/>
        <w:t>python scripts/train_xgboost_macro.py gold</w:t>
      </w:r>
      <w:r>
        <w:rPr>
          <w:rFonts w:ascii="Consolas" w:hAnsi="Consolas"/>
          <w:sz w:val="18"/>
        </w:rPr>
        <w:br/>
        <w:t>python scripts/train_xgboost_macro.py btc</w:t>
      </w:r>
      <w:r>
        <w:rPr>
          <w:rFonts w:ascii="Consolas" w:hAnsi="Consolas"/>
          <w:sz w:val="18"/>
        </w:rPr>
        <w:br/>
        <w:t>python scripts/train_xgboost_macro.py spy</w:t>
      </w:r>
      <w:r>
        <w:rPr>
          <w:rFonts w:ascii="Consolas" w:hAnsi="Consolas"/>
          <w:sz w:val="18"/>
        </w:rPr>
        <w:br/>
      </w:r>
      <w:r>
        <w:rPr>
          <w:rFonts w:ascii="Consolas" w:hAnsi="Consolas"/>
          <w:sz w:val="18"/>
        </w:rPr>
        <w:br/>
        <w:t># 4. Train Dual-Head Ensemble Stacker</w:t>
      </w:r>
      <w:r>
        <w:rPr>
          <w:rFonts w:ascii="Consolas" w:hAnsi="Consolas"/>
          <w:sz w:val="18"/>
        </w:rPr>
        <w:br/>
        <w:t>python scripts/train_ridge_stacker.py</w:t>
      </w:r>
    </w:p>
    <w:p w14:paraId="05E53A3E" w14:textId="77777777" w:rsidR="00031292" w:rsidRDefault="00031292">
      <w:pPr>
        <w:pBdr>
          <w:bottom w:val="single" w:sz="6" w:space="1" w:color="CBD5E1"/>
        </w:pBdr>
        <w:spacing w:before="120"/>
      </w:pPr>
    </w:p>
    <w:p w14:paraId="45F80EA7" w14:textId="77777777" w:rsidR="00031292" w:rsidRDefault="00000000">
      <w:pPr>
        <w:spacing w:before="320"/>
      </w:pPr>
      <w:r>
        <w:rPr>
          <w:b/>
          <w:color w:val="2C5282"/>
          <w:sz w:val="26"/>
        </w:rPr>
        <w:t>Latest Backtest Performance (May 2026)</w:t>
      </w:r>
    </w:p>
    <w:p w14:paraId="5856E400" w14:textId="77777777" w:rsidR="00031292" w:rsidRDefault="00000000">
      <w:pPr>
        <w:spacing w:after="80"/>
      </w:pPr>
      <w:r>
        <w:t>With the inclusion of Alternative Data (Fear &amp; Greed Crypto), Smart Money Positioning (COT Net Commercials), and full historical backfilling (2020–2026), the XGBoost and Stacker layers reached new highs.</w:t>
      </w:r>
    </w:p>
    <w:tbl>
      <w:tblPr>
        <w:tblStyle w:val="TableGrid"/>
        <w:tblW w:w="0" w:type="auto"/>
        <w:tblLook w:val="04A0" w:firstRow="1" w:lastRow="0" w:firstColumn="1" w:lastColumn="0" w:noHBand="0" w:noVBand="1"/>
      </w:tblPr>
      <w:tblGrid>
        <w:gridCol w:w="3120"/>
        <w:gridCol w:w="3120"/>
        <w:gridCol w:w="3120"/>
      </w:tblGrid>
      <w:tr w:rsidR="00031292" w14:paraId="189210C4" w14:textId="77777777">
        <w:tc>
          <w:tcPr>
            <w:tcW w:w="3120" w:type="dxa"/>
            <w:shd w:val="clear" w:color="auto" w:fill="DBEAFE"/>
            <w:tcMar>
              <w:top w:w="80" w:type="dxa"/>
              <w:left w:w="120" w:type="dxa"/>
              <w:bottom w:w="80" w:type="dxa"/>
              <w:right w:w="120" w:type="dxa"/>
            </w:tcMar>
          </w:tcPr>
          <w:p w14:paraId="1875AAD8" w14:textId="77777777" w:rsidR="00031292" w:rsidRDefault="00000000">
            <w:pPr>
              <w:spacing w:after="40"/>
            </w:pPr>
            <w:r>
              <w:rPr>
                <w:b/>
              </w:rPr>
              <w:lastRenderedPageBreak/>
              <w:t>Asset</w:t>
            </w:r>
          </w:p>
        </w:tc>
        <w:tc>
          <w:tcPr>
            <w:tcW w:w="3120" w:type="dxa"/>
            <w:shd w:val="clear" w:color="auto" w:fill="DBEAFE"/>
            <w:tcMar>
              <w:top w:w="80" w:type="dxa"/>
              <w:left w:w="120" w:type="dxa"/>
              <w:bottom w:w="80" w:type="dxa"/>
              <w:right w:w="120" w:type="dxa"/>
            </w:tcMar>
          </w:tcPr>
          <w:p w14:paraId="7527E7F3" w14:textId="77777777" w:rsidR="00031292" w:rsidRDefault="00000000">
            <w:pPr>
              <w:spacing w:after="40"/>
            </w:pPr>
            <w:r>
              <w:rPr>
                <w:b/>
              </w:rPr>
              <w:t>Hit Ratio (Direction Accuracy)</w:t>
            </w:r>
          </w:p>
        </w:tc>
        <w:tc>
          <w:tcPr>
            <w:tcW w:w="3120" w:type="dxa"/>
            <w:shd w:val="clear" w:color="auto" w:fill="DBEAFE"/>
            <w:tcMar>
              <w:top w:w="80" w:type="dxa"/>
              <w:left w:w="120" w:type="dxa"/>
              <w:bottom w:w="80" w:type="dxa"/>
              <w:right w:w="120" w:type="dxa"/>
            </w:tcMar>
          </w:tcPr>
          <w:p w14:paraId="16FA3A0F" w14:textId="77777777" w:rsidR="00031292" w:rsidRDefault="00000000">
            <w:pPr>
              <w:spacing w:after="40"/>
            </w:pPr>
            <w:r>
              <w:rPr>
                <w:b/>
              </w:rPr>
              <w:t>Primary Driver (XAI)</w:t>
            </w:r>
          </w:p>
        </w:tc>
      </w:tr>
      <w:tr w:rsidR="00031292" w14:paraId="52EA9B7D" w14:textId="77777777">
        <w:tc>
          <w:tcPr>
            <w:tcW w:w="3120" w:type="dxa"/>
            <w:tcMar>
              <w:top w:w="80" w:type="dxa"/>
              <w:left w:w="120" w:type="dxa"/>
              <w:bottom w:w="80" w:type="dxa"/>
              <w:right w:w="120" w:type="dxa"/>
            </w:tcMar>
          </w:tcPr>
          <w:p w14:paraId="3699F556" w14:textId="77777777" w:rsidR="00031292" w:rsidRDefault="00000000">
            <w:pPr>
              <w:spacing w:after="40"/>
            </w:pPr>
            <w:r>
              <w:rPr>
                <w:b/>
              </w:rPr>
              <w:t>Gold</w:t>
            </w:r>
          </w:p>
        </w:tc>
        <w:tc>
          <w:tcPr>
            <w:tcW w:w="3120" w:type="dxa"/>
            <w:tcMar>
              <w:top w:w="80" w:type="dxa"/>
              <w:left w:w="120" w:type="dxa"/>
              <w:bottom w:w="80" w:type="dxa"/>
              <w:right w:w="120" w:type="dxa"/>
            </w:tcMar>
          </w:tcPr>
          <w:p w14:paraId="4B65BEAE" w14:textId="77777777" w:rsidR="00031292" w:rsidRDefault="00000000">
            <w:pPr>
              <w:spacing w:after="40"/>
            </w:pPr>
            <w:r>
              <w:rPr>
                <w:b/>
              </w:rPr>
              <w:t>66.5%</w:t>
            </w:r>
          </w:p>
        </w:tc>
        <w:tc>
          <w:tcPr>
            <w:tcW w:w="3120" w:type="dxa"/>
            <w:tcMar>
              <w:top w:w="80" w:type="dxa"/>
              <w:left w:w="120" w:type="dxa"/>
              <w:bottom w:w="80" w:type="dxa"/>
              <w:right w:w="120" w:type="dxa"/>
            </w:tcMar>
          </w:tcPr>
          <w:p w14:paraId="1950FC45" w14:textId="77777777" w:rsidR="00031292" w:rsidRDefault="00000000">
            <w:pPr>
              <w:spacing w:after="40"/>
            </w:pPr>
            <w:r>
              <w:rPr>
                <w:rFonts w:ascii="Consolas" w:hAnsi="Consolas"/>
                <w:sz w:val="19"/>
              </w:rPr>
              <w:t>Net_Commercial</w:t>
            </w:r>
            <w:r>
              <w:t xml:space="preserve"> (COT), </w:t>
            </w:r>
            <w:r>
              <w:rPr>
                <w:rFonts w:ascii="Consolas" w:hAnsi="Consolas"/>
                <w:sz w:val="19"/>
              </w:rPr>
              <w:t>DXY</w:t>
            </w:r>
          </w:p>
        </w:tc>
      </w:tr>
      <w:tr w:rsidR="00031292" w14:paraId="08C2A989" w14:textId="77777777">
        <w:tc>
          <w:tcPr>
            <w:tcW w:w="3120" w:type="dxa"/>
            <w:tcMar>
              <w:top w:w="80" w:type="dxa"/>
              <w:left w:w="120" w:type="dxa"/>
              <w:bottom w:w="80" w:type="dxa"/>
              <w:right w:w="120" w:type="dxa"/>
            </w:tcMar>
          </w:tcPr>
          <w:p w14:paraId="0D5BDBA3" w14:textId="77777777" w:rsidR="00031292" w:rsidRDefault="00000000">
            <w:pPr>
              <w:spacing w:after="40"/>
            </w:pPr>
            <w:r>
              <w:rPr>
                <w:b/>
              </w:rPr>
              <w:t>BTC</w:t>
            </w:r>
          </w:p>
        </w:tc>
        <w:tc>
          <w:tcPr>
            <w:tcW w:w="3120" w:type="dxa"/>
            <w:tcMar>
              <w:top w:w="80" w:type="dxa"/>
              <w:left w:w="120" w:type="dxa"/>
              <w:bottom w:w="80" w:type="dxa"/>
              <w:right w:w="120" w:type="dxa"/>
            </w:tcMar>
          </w:tcPr>
          <w:p w14:paraId="1805ABCC" w14:textId="77777777" w:rsidR="00031292" w:rsidRDefault="00000000">
            <w:pPr>
              <w:spacing w:after="40"/>
            </w:pPr>
            <w:r>
              <w:rPr>
                <w:b/>
              </w:rPr>
              <w:t>55.5%</w:t>
            </w:r>
          </w:p>
        </w:tc>
        <w:tc>
          <w:tcPr>
            <w:tcW w:w="3120" w:type="dxa"/>
            <w:tcMar>
              <w:top w:w="80" w:type="dxa"/>
              <w:left w:w="120" w:type="dxa"/>
              <w:bottom w:w="80" w:type="dxa"/>
              <w:right w:w="120" w:type="dxa"/>
            </w:tcMar>
          </w:tcPr>
          <w:p w14:paraId="2C9C71B3" w14:textId="77777777" w:rsidR="00031292" w:rsidRDefault="00000000">
            <w:pPr>
              <w:spacing w:after="40"/>
            </w:pPr>
            <w:r>
              <w:rPr>
                <w:rFonts w:ascii="Consolas" w:hAnsi="Consolas"/>
                <w:sz w:val="19"/>
              </w:rPr>
              <w:t>Inst_Sentiment_Ratio</w:t>
            </w:r>
            <w:r>
              <w:t xml:space="preserve"> (Fear&amp;Greed vs COT)</w:t>
            </w:r>
          </w:p>
        </w:tc>
      </w:tr>
      <w:tr w:rsidR="00031292" w14:paraId="75DEF87F" w14:textId="77777777">
        <w:tc>
          <w:tcPr>
            <w:tcW w:w="3120" w:type="dxa"/>
            <w:tcMar>
              <w:top w:w="80" w:type="dxa"/>
              <w:left w:w="120" w:type="dxa"/>
              <w:bottom w:w="80" w:type="dxa"/>
              <w:right w:w="120" w:type="dxa"/>
            </w:tcMar>
          </w:tcPr>
          <w:p w14:paraId="2EEEA784" w14:textId="77777777" w:rsidR="00031292" w:rsidRDefault="00000000">
            <w:pPr>
              <w:spacing w:after="40"/>
            </w:pPr>
            <w:r>
              <w:rPr>
                <w:b/>
              </w:rPr>
              <w:t>SPY</w:t>
            </w:r>
          </w:p>
        </w:tc>
        <w:tc>
          <w:tcPr>
            <w:tcW w:w="3120" w:type="dxa"/>
            <w:tcMar>
              <w:top w:w="80" w:type="dxa"/>
              <w:left w:w="120" w:type="dxa"/>
              <w:bottom w:w="80" w:type="dxa"/>
              <w:right w:w="120" w:type="dxa"/>
            </w:tcMar>
          </w:tcPr>
          <w:p w14:paraId="149D3604" w14:textId="77777777" w:rsidR="00031292" w:rsidRDefault="00000000">
            <w:pPr>
              <w:spacing w:after="40"/>
            </w:pPr>
            <w:r>
              <w:rPr>
                <w:b/>
              </w:rPr>
              <w:t>61.5%</w:t>
            </w:r>
          </w:p>
        </w:tc>
        <w:tc>
          <w:tcPr>
            <w:tcW w:w="3120" w:type="dxa"/>
            <w:tcMar>
              <w:top w:w="80" w:type="dxa"/>
              <w:left w:w="120" w:type="dxa"/>
              <w:bottom w:w="80" w:type="dxa"/>
              <w:right w:w="120" w:type="dxa"/>
            </w:tcMar>
          </w:tcPr>
          <w:p w14:paraId="6E2E00BB" w14:textId="77777777" w:rsidR="00031292" w:rsidRDefault="00000000">
            <w:pPr>
              <w:spacing w:after="40"/>
            </w:pPr>
            <w:r>
              <w:rPr>
                <w:rFonts w:ascii="Consolas" w:hAnsi="Consolas"/>
                <w:sz w:val="19"/>
              </w:rPr>
              <w:t>YieldCurve_10Y2Y</w:t>
            </w:r>
            <w:r>
              <w:t xml:space="preserve">, </w:t>
            </w:r>
            <w:r>
              <w:rPr>
                <w:rFonts w:ascii="Consolas" w:hAnsi="Consolas"/>
                <w:sz w:val="19"/>
              </w:rPr>
              <w:t>VIX</w:t>
            </w:r>
          </w:p>
        </w:tc>
      </w:tr>
    </w:tbl>
    <w:p w14:paraId="05F01601" w14:textId="77777777" w:rsidR="00031292" w:rsidRDefault="00031292"/>
    <w:p w14:paraId="6688CD32" w14:textId="77777777" w:rsidR="00031292" w:rsidRDefault="00000000">
      <w:pPr>
        <w:spacing w:after="80"/>
      </w:pPr>
      <w:r>
        <w:t>*Notes:*</w:t>
      </w:r>
    </w:p>
    <w:p w14:paraId="2934F725" w14:textId="77777777" w:rsidR="00031292" w:rsidRDefault="00000000">
      <w:pPr>
        <w:spacing w:after="60"/>
        <w:ind w:left="432"/>
      </w:pPr>
      <w:r>
        <w:t>The Dual-Head Stacker safely overrides the LSTM when macro anomalies are present.</w:t>
      </w:r>
    </w:p>
    <w:p w14:paraId="6FFA0335" w14:textId="77777777" w:rsidR="00031292" w:rsidRDefault="00000000">
      <w:pPr>
        <w:spacing w:after="60"/>
        <w:ind w:left="432"/>
      </w:pPr>
      <w:r>
        <w:t xml:space="preserve">BTC performance (55.5%) reflects the inherently noisy nature of crypto markets; however, the </w:t>
      </w:r>
      <w:r>
        <w:rPr>
          <w:rFonts w:ascii="Consolas" w:hAnsi="Consolas"/>
          <w:sz w:val="19"/>
        </w:rPr>
        <w:t>Inst_Sentiment_Ratio</w:t>
      </w:r>
      <w:r>
        <w:t xml:space="preserve"> feature significantly curbed false breakouts.</w:t>
      </w:r>
    </w:p>
    <w:p w14:paraId="6559EE01" w14:textId="77777777" w:rsidR="00031292" w:rsidRDefault="00000000">
      <w:pPr>
        <w:spacing w:after="60"/>
        <w:ind w:left="432"/>
      </w:pPr>
      <w:r>
        <w:t>Hit Ratios above 60% transition the system from a "Predictor" to an "Institutional Strategy", unlocking the viability of the Phase 6 Kelly Criterion sizing layer.</w:t>
      </w:r>
    </w:p>
    <w:p w14:paraId="460C8FFA" w14:textId="77777777" w:rsidR="00031292" w:rsidRDefault="00031292">
      <w:pPr>
        <w:pBdr>
          <w:bottom w:val="single" w:sz="6" w:space="1" w:color="CBD5E1"/>
        </w:pBdr>
        <w:spacing w:before="120"/>
      </w:pPr>
    </w:p>
    <w:p w14:paraId="6AFC4E12" w14:textId="77777777" w:rsidR="00031292" w:rsidRDefault="00000000">
      <w:pPr>
        <w:spacing w:before="320"/>
      </w:pPr>
      <w:r>
        <w:rPr>
          <w:b/>
          <w:color w:val="2C5282"/>
          <w:sz w:val="26"/>
        </w:rPr>
        <w:t>Disclaimer</w:t>
      </w:r>
    </w:p>
    <w:p w14:paraId="6C4C0A16" w14:textId="77777777" w:rsidR="00031292" w:rsidRDefault="00000000">
      <w:pPr>
        <w:spacing w:after="80"/>
      </w:pPr>
      <w:r>
        <w:t xml:space="preserve">This platform is a financial intelligence research tool built for educational and analytical purposes. AI predictions are probabilistic estimates based on historical patterns and macroeconomic indicators. They are </w:t>
      </w:r>
      <w:r>
        <w:rPr>
          <w:b/>
        </w:rPr>
        <w:t>not</w:t>
      </w:r>
      <w:r>
        <w:t xml:space="preserve"> investment advice.</w:t>
      </w:r>
    </w:p>
    <w:p w14:paraId="3C2BF071" w14:textId="77777777" w:rsidR="00031292" w:rsidRDefault="00000000">
      <w:pPr>
        <w:spacing w:after="60"/>
        <w:ind w:left="432"/>
      </w:pPr>
      <w:r>
        <w:t>Hit ratios &lt; 60% indicate significant uncertainty; treat all signals directionally only.</w:t>
      </w:r>
    </w:p>
    <w:p w14:paraId="7CB40207" w14:textId="77777777" w:rsidR="00031292" w:rsidRDefault="00000000">
      <w:pPr>
        <w:spacing w:after="60"/>
        <w:ind w:left="432"/>
      </w:pPr>
      <w:r>
        <w:t xml:space="preserve">The </w:t>
      </w:r>
      <w:r>
        <w:rPr>
          <w:b/>
        </w:rPr>
        <w:t>OOD Circuit Breaker</w:t>
      </w:r>
      <w:r>
        <w:t xml:space="preserve"> is a mathematical failsafe, but does not guarantee protection against unmodeled Black Swans.</w:t>
      </w:r>
    </w:p>
    <w:p w14:paraId="20BEC4B9" w14:textId="77777777" w:rsidR="00031292" w:rsidRDefault="00000000">
      <w:pPr>
        <w:spacing w:after="60"/>
        <w:ind w:left="432"/>
      </w:pPr>
      <w:r>
        <w:t>Always apply proper risk management. The provided Kelly Allocation is aggressive and should be used as a relative sizing metric, not an absolute portfolio instruction.</w:t>
      </w:r>
    </w:p>
    <w:p w14:paraId="518DC28D" w14:textId="77777777" w:rsidR="00031292" w:rsidRDefault="00000000">
      <w:pPr>
        <w:spacing w:after="80"/>
      </w:pPr>
      <w:r>
        <w:t>*Built with: DuckDB · Polars · TensorFlow/Keras · XGBoost · scikit-learn · Streamlit · Pandas · yfinance · FRED API*</w:t>
      </w:r>
    </w:p>
    <w:p w14:paraId="466D70CA" w14:textId="77777777" w:rsidR="00031292" w:rsidRDefault="00000000">
      <w:r>
        <w:br w:type="page"/>
      </w:r>
    </w:p>
    <w:p w14:paraId="6F8CDFDA" w14:textId="77777777" w:rsidR="00031292" w:rsidRDefault="00000000">
      <w:pPr>
        <w:spacing w:before="400" w:after="240"/>
      </w:pPr>
      <w:r>
        <w:rPr>
          <w:b/>
          <w:color w:val="4A5568"/>
          <w:sz w:val="20"/>
        </w:rPr>
        <w:lastRenderedPageBreak/>
        <w:t>──────  PART 1 – SYSTEM ONTOLOGY, CAUSAL HIERARCHY &amp; HIGH-LEVEL ARCHITECTURE  ──────</w:t>
      </w:r>
    </w:p>
    <w:p w14:paraId="0A74B2AC" w14:textId="77777777" w:rsidR="00031292" w:rsidRDefault="00000000">
      <w:pPr>
        <w:spacing w:before="440"/>
      </w:pPr>
      <w:r>
        <w:rPr>
          <w:b/>
          <w:color w:val="1A365D"/>
          <w:sz w:val="32"/>
        </w:rPr>
        <w:t>MARKET INTELLIGENCE SYSTEM: COMPREHENSIVE ARCHITECTURE &amp; RESEARCH WHITEPAPER</w:t>
      </w:r>
    </w:p>
    <w:p w14:paraId="39F7295B" w14:textId="77777777" w:rsidR="00031292" w:rsidRDefault="00000000">
      <w:pPr>
        <w:spacing w:before="320"/>
      </w:pPr>
      <w:r>
        <w:rPr>
          <w:b/>
          <w:color w:val="2C5282"/>
          <w:sz w:val="26"/>
        </w:rPr>
        <w:t>PART 1: SYSTEM ONTOLOGY, CAUSAL HIERARCHY, AND HIGH-LEVEL ARCHITECTURE</w:t>
      </w:r>
    </w:p>
    <w:p w14:paraId="59FA5CBA" w14:textId="77777777" w:rsidR="00031292" w:rsidRDefault="00000000">
      <w:pPr>
        <w:spacing w:before="320"/>
      </w:pPr>
      <w:r>
        <w:rPr>
          <w:b/>
          <w:color w:val="2C5282"/>
          <w:sz w:val="26"/>
        </w:rPr>
        <w:t>1. SYSTEM ONTOLOGY AND CORE TAXONOMY</w:t>
      </w:r>
    </w:p>
    <w:p w14:paraId="74C42F26" w14:textId="77777777" w:rsidR="00031292" w:rsidRDefault="00000000">
      <w:pPr>
        <w:spacing w:after="80"/>
      </w:pPr>
      <w:r>
        <w:t>The Market Intelligence Terminal is designed as a production-grade, multi-asset class predictive and analytical framework. Rather than acting as a high-frequency execution system or a simplistic rules-based technical indicator, the terminal serves as a Hierarchical Macro Intelligence &amp; Quantitative Simulation Engine. The core asset scope focuses on Gold (XAUUSD), Bitcoin (BTCUSD), and major US Equity indices and selected large-cap equities (S&amp;P 500 ETF, Nasdaq 100 ETF, Dow Jones ETF, Apple, Microsoft, Alphabet, Amazon, NVIDIA, Meta, Tesla, and TSMC).</w:t>
      </w:r>
    </w:p>
    <w:p w14:paraId="2551AE02" w14:textId="77777777" w:rsidR="00031292" w:rsidRDefault="00000000">
      <w:pPr>
        <w:spacing w:after="80"/>
      </w:pPr>
      <w:r>
        <w:t>The fundamental ontology of the system is the synthesis of high-dimensional, multi-frequency, asynchronous datasets into stationary, probabilistically-weighted expected returns. Speculative financial assets exhibit high non-stationarity, meaning their underlying probability distributions (mean, variance) drift over time. Standard machine learning models that attempt to predict absolute price levels (</w:t>
      </w:r>
      <m:oMath>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t</m:t>
            </m:r>
          </m:sub>
        </m:sSub>
      </m:oMath>
      <w:r>
        <w:t>) suffer from severe geometric compounding errors, variance loss, and generalization failure.</w:t>
      </w:r>
    </w:p>
    <w:p w14:paraId="498D371A" w14:textId="77777777" w:rsidR="00031292" w:rsidRDefault="00000000">
      <w:pPr>
        <w:spacing w:after="80"/>
      </w:pPr>
      <w:r>
        <w:t>To resolve this, the system's objective function targets the Expected Percentage Return over a specified horizon:</w:t>
      </w:r>
    </w:p>
    <w:p w14:paraId="4987B903" w14:textId="77777777" w:rsidR="00031292" w:rsidRDefault="00000000">
      <w:pPr>
        <w:spacing w:before="200" w:after="200"/>
        <w:jc w:val="center"/>
      </w:pPr>
      <m:oMathPara>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t</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m:rPr>
                      <m:nor/>
                    </m:rPr>
                    <w:rPr>
                      <w:rFonts w:ascii="Cambria Math" w:eastAsia="Cambria Math" w:hAnsi="Cambria Math" w:cs="Cambria Math"/>
                    </w:rPr>
                    <m:t>Price</m:t>
                  </m:r>
                </m:e>
                <m:sub>
                  <m:r>
                    <w:rPr>
                      <w:rFonts w:ascii="Cambria Math" w:eastAsia="Cambria Math" w:hAnsi="Cambria Math" w:cs="Cambria Math"/>
                    </w:rPr>
                    <m:t>t+H</m:t>
                  </m:r>
                </m:sub>
              </m:sSub>
              <m:r>
                <w:rPr>
                  <w:rFonts w:ascii="Cambria Math" w:eastAsia="Cambria Math" w:hAnsi="Cambria Math" w:cs="Cambria Math"/>
                </w:rPr>
                <m:t>-</m:t>
              </m:r>
              <m:sSub>
                <m:sSubPr>
                  <m:ctrlPr>
                    <w:rPr>
                      <w:rFonts w:ascii="Cambria Math" w:hAnsi="Cambria Math"/>
                    </w:rPr>
                  </m:ctrlPr>
                </m:sSubPr>
                <m:e>
                  <m:r>
                    <m:rPr>
                      <m:nor/>
                    </m:rPr>
                    <w:rPr>
                      <w:rFonts w:ascii="Cambria Math" w:eastAsia="Cambria Math" w:hAnsi="Cambria Math" w:cs="Cambria Math"/>
                    </w:rPr>
                    <m:t>Price</m:t>
                  </m:r>
                </m:e>
                <m:sub>
                  <m:r>
                    <w:rPr>
                      <w:rFonts w:ascii="Cambria Math" w:eastAsia="Cambria Math" w:hAnsi="Cambria Math" w:cs="Cambria Math"/>
                    </w:rPr>
                    <m:t>t</m:t>
                  </m:r>
                </m:sub>
              </m:sSub>
            </m:num>
            <m:den>
              <m:sSub>
                <m:sSubPr>
                  <m:ctrlPr>
                    <w:rPr>
                      <w:rFonts w:ascii="Cambria Math" w:hAnsi="Cambria Math"/>
                    </w:rPr>
                  </m:ctrlPr>
                </m:sSubPr>
                <m:e>
                  <m:r>
                    <m:rPr>
                      <m:nor/>
                    </m:rPr>
                    <w:rPr>
                      <w:rFonts w:ascii="Cambria Math" w:eastAsia="Cambria Math" w:hAnsi="Cambria Math" w:cs="Cambria Math"/>
                    </w:rPr>
                    <m:t>Price</m:t>
                  </m:r>
                </m:e>
                <m:sub>
                  <m:r>
                    <w:rPr>
                      <w:rFonts w:ascii="Cambria Math" w:eastAsia="Cambria Math" w:hAnsi="Cambria Math" w:cs="Cambria Math"/>
                    </w:rPr>
                    <m:t>t</m:t>
                  </m:r>
                </m:sub>
              </m:sSub>
            </m:den>
          </m:f>
        </m:oMath>
      </m:oMathPara>
    </w:p>
    <w:p w14:paraId="76D17663" w14:textId="77777777" w:rsidR="00031292" w:rsidRDefault="00000000">
      <w:pPr>
        <w:spacing w:after="80"/>
      </w:pPr>
      <w:r>
        <w:t>This formulation ensures that the target variable remains stationary, enabling the base learners and the meta-ensemble to model structural market cycles, regime transitions, and directional probabilities rather than attempting to memorize price boundaries.</w:t>
      </w:r>
    </w:p>
    <w:p w14:paraId="5CB7AD0C" w14:textId="77777777" w:rsidR="00031292" w:rsidRDefault="00000000">
      <w:pPr>
        <w:spacing w:before="320"/>
      </w:pPr>
      <w:r>
        <w:rPr>
          <w:b/>
          <w:color w:val="2C5282"/>
          <w:sz w:val="26"/>
        </w:rPr>
        <w:t>2. THREE-LAYER CAUSAL HIERARCHY ARCHITECTURE</w:t>
      </w:r>
    </w:p>
    <w:p w14:paraId="0D769395" w14:textId="77777777" w:rsidR="00031292" w:rsidRDefault="00000000">
      <w:pPr>
        <w:spacing w:after="80"/>
      </w:pPr>
      <w:r>
        <w:t>The system is structured as a strict three-layer hierarchy, segregating concerns and separating deterministic data modeling from speculative overlay:</w:t>
      </w:r>
    </w:p>
    <w:p w14:paraId="19087606" w14:textId="77777777" w:rsidR="00031292" w:rsidRDefault="00000000">
      <w:pPr>
        <w:spacing w:before="240"/>
      </w:pPr>
      <w:r>
        <w:rPr>
          <w:b/>
          <w:color w:val="4A5568"/>
          <w:sz w:val="23"/>
        </w:rPr>
        <w:t>A. Layer 1: Worker Layer (Base Learners)</w:t>
      </w:r>
    </w:p>
    <w:p w14:paraId="74A4952D" w14:textId="77777777" w:rsidR="00031292" w:rsidRDefault="00000000">
      <w:pPr>
        <w:spacing w:after="80"/>
      </w:pPr>
      <w:r>
        <w:t>The Worker Layer contains specialized models that learn isolated dimensions of market pricing:</w:t>
      </w:r>
    </w:p>
    <w:p w14:paraId="68FBC6BF" w14:textId="77777777" w:rsidR="00031292" w:rsidRDefault="00000000">
      <w:pPr>
        <w:spacing w:after="60"/>
        <w:ind w:left="432"/>
      </w:pPr>
      <w:r>
        <w:rPr>
          <w:b/>
        </w:rPr>
        <w:t>Worker 1 (Temporal Sequence Model)</w:t>
      </w:r>
      <w:r>
        <w:t xml:space="preserve">: A Deep Recurrent Neural Network (LSTM) augmented with Multi-Head Self-Attention. It operates on a 60-day (or 90-day for Bitcoin) </w:t>
      </w:r>
      <w:r>
        <w:lastRenderedPageBreak/>
        <w:t>sequence of OHLCV prices, technical indicators, atrocious short-term alternative metrics. It is optimized to detect autoregressive trends, momentum anomalies, and localized volatility patterns.</w:t>
      </w:r>
    </w:p>
    <w:p w14:paraId="1E0480B4" w14:textId="77777777" w:rsidR="00031292" w:rsidRDefault="00000000">
      <w:pPr>
        <w:spacing w:after="60"/>
        <w:ind w:left="432"/>
      </w:pPr>
      <w:r>
        <w:rPr>
          <w:b/>
        </w:rPr>
        <w:t>Worker 2 (Regime Detection Model)</w:t>
      </w:r>
      <w:r>
        <w:t>: An Extreme Gradient Boosting (XGBoost) model trained on macroeconomic inputs, monetary policy spreads, and institutional commitments. XGBoost operates on tabular cross-sectional data, learning non-linear, multi-variable decision boundaries that LSTMs cannot resolve.</w:t>
      </w:r>
    </w:p>
    <w:p w14:paraId="2DCA41C6" w14:textId="77777777" w:rsidR="00031292" w:rsidRDefault="00000000">
      <w:pPr>
        <w:spacing w:before="240"/>
      </w:pPr>
      <w:r>
        <w:rPr>
          <w:b/>
          <w:color w:val="4A5568"/>
          <w:sz w:val="23"/>
        </w:rPr>
        <w:t>B. Layer 2: Manager Layer (Dual-Head Ensemble Stacker)</w:t>
      </w:r>
    </w:p>
    <w:p w14:paraId="434A0E3D" w14:textId="77777777" w:rsidR="00031292" w:rsidRDefault="00000000">
      <w:pPr>
        <w:spacing w:after="80"/>
      </w:pPr>
      <w:r>
        <w:t>Traditional ensembles average the output of individual base models. This approach fails during regime shifts where one model's signals are completely dominated by noise. The Manager Layer employs a Dual-Head Stacker Meta-Learner (Logistic Regression CV and Huber Regressor). The Stacker ingests the predictions of the Worker models along with live macro-context features (e.g., VIX, Garman-Klass realized volatility, DXY, US 10Y-2Y Yield Curve Spread) and maps them to:</w:t>
      </w:r>
    </w:p>
    <w:p w14:paraId="0B1114AD" w14:textId="77777777" w:rsidR="00031292" w:rsidRDefault="00000000">
      <w:pPr>
        <w:spacing w:after="60"/>
        <w:ind w:left="432"/>
      </w:pPr>
      <w:r>
        <w:rPr>
          <w:b/>
        </w:rPr>
        <w:t>Head 1 (Directional Head)</w:t>
      </w:r>
      <w:r>
        <w:t>: A logistic classifier predicting binary sign probability.</w:t>
      </w:r>
    </w:p>
    <w:p w14:paraId="2952F482" w14:textId="77777777" w:rsidR="00031292" w:rsidRDefault="00000000">
      <w:pPr>
        <w:spacing w:after="60"/>
        <w:ind w:left="432"/>
      </w:pPr>
      <w:r>
        <w:rPr>
          <w:b/>
        </w:rPr>
        <w:t>Head 2 (Magnitude Head)</w:t>
      </w:r>
      <w:r>
        <w:t>: A Huber regressor predicting return magnitude.</w:t>
      </w:r>
    </w:p>
    <w:p w14:paraId="6E7AF9E3" w14:textId="77777777" w:rsidR="00031292" w:rsidRDefault="00000000">
      <w:pPr>
        <w:spacing w:after="80"/>
      </w:pPr>
      <w:r>
        <w:t>The output of these heads is combined to yield a single volatility-adjusted expected return.</w:t>
      </w:r>
    </w:p>
    <w:p w14:paraId="7ED1716C" w14:textId="77777777" w:rsidR="00031292" w:rsidRDefault="00000000">
      <w:pPr>
        <w:spacing w:before="240"/>
      </w:pPr>
      <w:r>
        <w:rPr>
          <w:b/>
          <w:color w:val="4A5568"/>
          <w:sz w:val="23"/>
        </w:rPr>
        <w:t>C. Layer 3: CEO Layer (LLM Strategic Override)</w:t>
      </w:r>
    </w:p>
    <w:p w14:paraId="43F93518" w14:textId="77777777" w:rsidR="00031292" w:rsidRDefault="00000000">
      <w:pPr>
        <w:spacing w:after="80"/>
      </w:pPr>
      <w:r>
        <w:t>The CEO Layer is a contextual bias injection engine utilizing a Large Language Model (Gemini) to evaluate qualitative variables (geopolitics, monetary news, policy shifts) that quantitative models cannot perceive. The LLM processes raw weekly news timeline feeds and produces a structural drift multiplier and bias vector. This overlay acts as a soft constraint, shifting the mean-reversion anchor of the forecast trajectory without overriding the mathematical foundations of the base learners.</w:t>
      </w:r>
    </w:p>
    <w:p w14:paraId="4A76B31C" w14:textId="77777777" w:rsidR="00031292" w:rsidRDefault="00000000">
      <w:pPr>
        <w:spacing w:before="320"/>
      </w:pPr>
      <w:r>
        <w:rPr>
          <w:b/>
          <w:color w:val="2C5282"/>
          <w:sz w:val="26"/>
        </w:rPr>
        <w:t>3. LLM INGESTION PIPELINE AND CAUSAL HIERARCHY</w:t>
      </w:r>
    </w:p>
    <w:p w14:paraId="46C20766" w14:textId="77777777" w:rsidR="00031292" w:rsidRDefault="00000000">
      <w:pPr>
        <w:spacing w:after="80"/>
      </w:pPr>
      <w:r>
        <w:t>The CEO Layer executes a rigorous multi-stage pipeline to convert unstructured news feeds into a structured numeric injection vector:</w:t>
      </w:r>
    </w:p>
    <w:p w14:paraId="1CA29FCF" w14:textId="77777777" w:rsidR="00031292" w:rsidRDefault="00000000">
      <w:pPr>
        <w:spacing w:before="240"/>
      </w:pPr>
      <w:r>
        <w:rPr>
          <w:b/>
          <w:color w:val="4A5568"/>
          <w:sz w:val="23"/>
        </w:rPr>
        <w:t>A. Ingestion and Filtering</w:t>
      </w:r>
    </w:p>
    <w:p w14:paraId="25D9942E" w14:textId="77777777" w:rsidR="00031292" w:rsidRDefault="00000000">
      <w:pPr>
        <w:spacing w:after="80"/>
      </w:pPr>
      <w:r>
        <w:t>Raw news headlines are processed through a strict temporal filter with a 168-hour (7-day) staleness cutoff. This window ensures that the model only considers narratives actively influencing the current trading regime. Chronological sorting is enforced (oldest to newest) to let the LLM trace narrative progression and evolution.</w:t>
      </w:r>
    </w:p>
    <w:p w14:paraId="2716633B" w14:textId="77777777" w:rsidR="00031292" w:rsidRDefault="00000000">
      <w:pPr>
        <w:spacing w:before="240"/>
      </w:pPr>
      <w:r>
        <w:rPr>
          <w:b/>
          <w:color w:val="4A5568"/>
          <w:sz w:val="23"/>
        </w:rPr>
        <w:t>B. Cosine Similarity Deduplication</w:t>
      </w:r>
    </w:p>
    <w:p w14:paraId="20E9A2F4" w14:textId="77777777" w:rsidR="00031292" w:rsidRDefault="00000000">
      <w:pPr>
        <w:spacing w:after="80"/>
      </w:pPr>
      <w:r>
        <w:t xml:space="preserve">Financial feeds contain redundant headlines. To prevent narrative over-weighting, the pipeline applies a lightweight, bag-of-words cosine similarity check. Headlines with a similarity score </w:t>
      </w:r>
      <w:r>
        <w:lastRenderedPageBreak/>
        <w:t>exceeding a threshold of 0.85 are discarded, keeping only the first unique instance of a news event.</w:t>
      </w:r>
    </w:p>
    <w:p w14:paraId="3E1D4049" w14:textId="77777777" w:rsidR="00031292" w:rsidRDefault="00000000">
      <w:pPr>
        <w:spacing w:before="240"/>
      </w:pPr>
      <w:r>
        <w:rPr>
          <w:b/>
          <w:color w:val="4A5568"/>
          <w:sz w:val="23"/>
        </w:rPr>
        <w:t>C. Causal Hierarchy Prompting</w:t>
      </w:r>
    </w:p>
    <w:p w14:paraId="0337FB9A" w14:textId="77777777" w:rsidR="00031292" w:rsidRDefault="00000000">
      <w:pPr>
        <w:spacing w:after="80"/>
      </w:pPr>
      <w:r>
        <w:t>The prompt forces the LLM to analyze the data according to a strict macroeconomic causal chain, reasoning in the following order:</w:t>
      </w:r>
    </w:p>
    <w:p w14:paraId="15BBF693" w14:textId="77777777" w:rsidR="00031292" w:rsidRDefault="00000000">
      <w:pPr>
        <w:spacing w:after="60"/>
        <w:ind w:left="432"/>
      </w:pPr>
      <w:r>
        <w:rPr>
          <w:b/>
        </w:rPr>
        <w:t>Supply Shock Severity</w:t>
      </w:r>
      <w:r>
        <w:t>: Disruptions in physical commodity supply or network infrastructure.</w:t>
      </w:r>
    </w:p>
    <w:p w14:paraId="66EF1EA6" w14:textId="77777777" w:rsidR="00031292" w:rsidRDefault="00000000">
      <w:pPr>
        <w:spacing w:after="60"/>
        <w:ind w:left="432"/>
      </w:pPr>
      <w:r>
        <w:rPr>
          <w:b/>
        </w:rPr>
        <w:t>Geopolitical Stress</w:t>
      </w:r>
      <w:r>
        <w:t>: Tensions, wars, sanctions, trade barriers, or diplomatic conflicts.</w:t>
      </w:r>
    </w:p>
    <w:p w14:paraId="7E77AE74" w14:textId="77777777" w:rsidR="00031292" w:rsidRDefault="00000000">
      <w:pPr>
        <w:spacing w:after="60"/>
        <w:ind w:left="432"/>
      </w:pPr>
      <w:r>
        <w:rPr>
          <w:b/>
        </w:rPr>
        <w:t>Monetary Policy Hawkishness</w:t>
      </w:r>
      <w:r>
        <w:t>: Central bank rate trajectories and quantitative tightening/easing plans.</w:t>
      </w:r>
    </w:p>
    <w:p w14:paraId="506C8469" w14:textId="77777777" w:rsidR="00031292" w:rsidRDefault="00000000">
      <w:pPr>
        <w:spacing w:after="60"/>
        <w:ind w:left="432"/>
      </w:pPr>
      <w:r>
        <w:rPr>
          <w:b/>
        </w:rPr>
        <w:t>Risk Appetite</w:t>
      </w:r>
      <w:r>
        <w:t>: Broad institutional and retail willingness to hold risky assets.</w:t>
      </w:r>
    </w:p>
    <w:p w14:paraId="6E209C1D" w14:textId="77777777" w:rsidR="00031292" w:rsidRDefault="00000000">
      <w:pPr>
        <w:spacing w:after="60"/>
        <w:ind w:left="432"/>
      </w:pPr>
      <w:r>
        <w:rPr>
          <w:b/>
        </w:rPr>
        <w:t>Market Sentiment</w:t>
      </w:r>
      <w:r>
        <w:t>: The downstream public retail mood and short-term media narrative.</w:t>
      </w:r>
    </w:p>
    <w:p w14:paraId="7411FAEB" w14:textId="77777777" w:rsidR="00031292" w:rsidRDefault="00000000">
      <w:pPr>
        <w:spacing w:after="80"/>
      </w:pPr>
      <w:r>
        <w:t>This structure is mathematically grounded in economic transmission theory: upstream physical supply shocks and geopolitical developments drive central bank policy actions, which in turn adjust risk appetite, ultimately manifesting as retail sentiment. The LLM is prohibited from letting downstream sentiment affect upstream supply/geopolitical scores.</w:t>
      </w:r>
    </w:p>
    <w:p w14:paraId="70D40945" w14:textId="77777777" w:rsidR="00031292" w:rsidRDefault="00000000">
      <w:pPr>
        <w:spacing w:before="240"/>
      </w:pPr>
      <w:r>
        <w:rPr>
          <w:b/>
          <w:color w:val="4A5568"/>
          <w:sz w:val="23"/>
        </w:rPr>
        <w:t>D. Few-Shot Anchor Calibration</w:t>
      </w:r>
    </w:p>
    <w:p w14:paraId="11749EAB" w14:textId="77777777" w:rsidR="00031292" w:rsidRDefault="00000000">
      <w:pPr>
        <w:spacing w:after="80"/>
      </w:pPr>
      <w:r>
        <w:t>To prevent scale drift, the system prompt contains historical calibration anchors. The LLM evaluates new timeline feeds relative to these fixed historical reference points:</w:t>
      </w:r>
    </w:p>
    <w:p w14:paraId="41F7D0AD" w14:textId="77777777" w:rsidR="00031292" w:rsidRDefault="00000000">
      <w:pPr>
        <w:spacing w:after="60"/>
        <w:ind w:left="432"/>
      </w:pPr>
      <w:r>
        <w:rPr>
          <w:b/>
        </w:rPr>
        <w:t>Feb 2022 (Russia-Ukraine commodities shock)</w:t>
      </w:r>
      <w:r>
        <w:t>: Supply Shock=0.90, Geopolitical Stress=0.95, Monetary policy=0.60, Risk Appetite=0.10, Market Sentiment=0.15.</w:t>
      </w:r>
    </w:p>
    <w:p w14:paraId="5B0D4C6C" w14:textId="77777777" w:rsidR="00031292" w:rsidRDefault="00000000">
      <w:pPr>
        <w:spacing w:after="60"/>
        <w:ind w:left="432"/>
      </w:pPr>
      <w:r>
        <w:rPr>
          <w:b/>
        </w:rPr>
        <w:t>Sep 2024 (Fed emergency rate cuts)</w:t>
      </w:r>
      <w:r>
        <w:t>: Supply Shock=0.10, Geopolitical Stress=0.20, Monetary policy=0.05, Risk Appetite=0.75, Market Sentiment=0.70.</w:t>
      </w:r>
    </w:p>
    <w:p w14:paraId="2839A154" w14:textId="77777777" w:rsidR="00031292" w:rsidRDefault="00000000">
      <w:pPr>
        <w:spacing w:after="60"/>
        <w:ind w:left="432"/>
      </w:pPr>
      <w:r>
        <w:rPr>
          <w:b/>
        </w:rPr>
        <w:t>Mar 2023 (SVB bank run)</w:t>
      </w:r>
      <w:r>
        <w:t>: Supply Shock=0.15, Geopolitical Stress=0.25, Monetary policy=0.30, Risk Appetite=0.15, Market Sentiment=0.20.</w:t>
      </w:r>
    </w:p>
    <w:p w14:paraId="45EEE20A" w14:textId="77777777" w:rsidR="00031292" w:rsidRDefault="00000000">
      <w:pPr>
        <w:spacing w:before="320"/>
      </w:pPr>
      <w:r>
        <w:rPr>
          <w:b/>
          <w:color w:val="2C5282"/>
          <w:sz w:val="26"/>
        </w:rPr>
        <w:t>4. POST-LLM MATHEMATICAL PROCESSING</w:t>
      </w:r>
    </w:p>
    <w:p w14:paraId="78628141" w14:textId="77777777" w:rsidR="00031292" w:rsidRDefault="00000000">
      <w:pPr>
        <w:spacing w:after="80"/>
      </w:pPr>
      <w:r>
        <w:t>Raw outputs from an LLM are prone to multi-collinearity and scale instability. The system applies two post-processing mathematical steps:</w:t>
      </w:r>
    </w:p>
    <w:p w14:paraId="7605A2D4" w14:textId="77777777" w:rsidR="00031292" w:rsidRDefault="00000000">
      <w:pPr>
        <w:spacing w:before="240"/>
      </w:pPr>
      <w:r>
        <w:rPr>
          <w:b/>
          <w:color w:val="4A5568"/>
          <w:sz w:val="23"/>
        </w:rPr>
        <w:t>A. Gram-Schmidt Orthogonalization</w:t>
      </w:r>
    </w:p>
    <w:p w14:paraId="5144A7E9" w14:textId="77777777" w:rsidR="00031292" w:rsidRDefault="00000000">
      <w:pPr>
        <w:spacing w:after="80"/>
      </w:pPr>
      <w:r>
        <w:t xml:space="preserve">To ensure that downstream categories do not double-count upstream factors, the system orthogonalizes the raw score vector. The causal order defines the basis. Let the raw scores be represented by a vector </w:t>
      </w:r>
      <m:oMath>
        <m:r>
          <w:rPr>
            <w:rFonts w:ascii="Cambria Math" w:eastAsia="Cambria Math" w:hAnsi="Cambria Math" w:cs="Cambria Math"/>
          </w:rPr>
          <m:t>S=[</m:t>
        </m:r>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4</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5</m:t>
            </m:r>
          </m:sub>
        </m:sSub>
        <m:r>
          <w:rPr>
            <w:rFonts w:ascii="Cambria Math" w:eastAsia="Cambria Math" w:hAnsi="Cambria Math" w:cs="Cambria Math"/>
          </w:rPr>
          <m:t>]</m:t>
        </m:r>
      </m:oMath>
      <w:r>
        <w:t xml:space="preserve"> corresponding to the 5 categories. The orthogonalized basis vectors </w:t>
      </w:r>
      <m:oMath>
        <m:r>
          <w:rPr>
            <w:rFonts w:ascii="Cambria Math" w:eastAsia="Cambria Math" w:hAnsi="Cambria Math" w:cs="Cambria Math"/>
          </w:rPr>
          <m:t>B=[</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4</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5</m:t>
            </m:r>
          </m:sub>
        </m:sSub>
        <m:r>
          <w:rPr>
            <w:rFonts w:ascii="Cambria Math" w:eastAsia="Cambria Math" w:hAnsi="Cambria Math" w:cs="Cambria Math"/>
          </w:rPr>
          <m:t>]</m:t>
        </m:r>
      </m:oMath>
      <w:r>
        <w:t xml:space="preserve"> are computed as:</w:t>
      </w:r>
    </w:p>
    <w:p w14:paraId="51EA6A17" w14:textId="77777777" w:rsidR="00031292" w:rsidRDefault="00000000">
      <w:pPr>
        <w:spacing w:before="200" w:after="200"/>
        <w:jc w:val="center"/>
      </w:pPr>
      <m:oMathPara>
        <m:oMath>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1</m:t>
              </m:r>
            </m:sub>
          </m:sSub>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nary>
            <m:naryPr>
              <m:chr m:val="∑"/>
              <m:limLoc m:val="subSup"/>
              <m:grow m:val="1"/>
              <m:supHide m:val="1"/>
              <m:ctrlPr>
                <w:rPr>
                  <w:rFonts w:ascii="Cambria Math" w:hAnsi="Cambria Math"/>
                </w:rPr>
              </m:ctrlPr>
            </m:naryPr>
            <m:sub>
              <m:r>
                <w:rPr>
                  <w:rFonts w:ascii="Cambria Math" w:eastAsia="Cambria Math" w:hAnsi="Cambria Math" w:cs="Cambria Math"/>
                </w:rPr>
                <m:t>j&lt;i</m:t>
              </m:r>
            </m:sub>
            <m:sup/>
            <m:e/>
          </m:nary>
          <m:r>
            <w:rPr>
              <w:rFonts w:ascii="Cambria Math" w:eastAsia="Cambria Math" w:hAnsi="Cambria Math" w:cs="Cambria Math"/>
            </w:rPr>
            <m:t>(</m:t>
          </m:r>
          <m:sSub>
            <m:sSubPr>
              <m:ctrlPr>
                <w:rPr>
                  <w:rFonts w:ascii="Cambria Math" w:hAnsi="Cambria Math"/>
                </w:rPr>
              </m:ctrlPr>
            </m:sSubPr>
            <m:e>
              <m:r>
                <m:rPr>
                  <m:nor/>
                </m:rPr>
                <w:rPr>
                  <w:rFonts w:ascii="Cambria Math" w:eastAsia="Cambria Math" w:hAnsi="Cambria Math" w:cs="Cambria Math"/>
                </w:rPr>
                <m:t>Proj</m:t>
              </m:r>
            </m:e>
            <m:sub>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j</m:t>
                  </m:r>
                </m:sub>
              </m:sSub>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oMath>
      </m:oMathPara>
    </w:p>
    <w:p w14:paraId="28F4C308" w14:textId="77777777" w:rsidR="00031292" w:rsidRDefault="00000000">
      <w:pPr>
        <w:spacing w:after="80"/>
      </w:pPr>
      <w:r>
        <w:lastRenderedPageBreak/>
        <w:t>Where the projection is defined as:</w:t>
      </w:r>
    </w:p>
    <w:p w14:paraId="50EAD91B" w14:textId="77777777" w:rsidR="00031292" w:rsidRDefault="00000000">
      <w:pPr>
        <w:spacing w:before="200" w:after="200"/>
        <w:jc w:val="center"/>
      </w:pPr>
      <m:oMathPara>
        <m:oMath>
          <m:sSub>
            <m:sSubPr>
              <m:ctrlPr>
                <w:rPr>
                  <w:rFonts w:ascii="Cambria Math" w:hAnsi="Cambria Math"/>
                </w:rPr>
              </m:ctrlPr>
            </m:sSubPr>
            <m:e>
              <m:r>
                <m:rPr>
                  <m:nor/>
                </m:rPr>
                <w:rPr>
                  <w:rFonts w:ascii="Cambria Math" w:eastAsia="Cambria Math" w:hAnsi="Cambria Math" w:cs="Cambria Math"/>
                </w:rPr>
                <m:t>Proj</m:t>
              </m:r>
            </m:e>
            <m:sub>
              <m:r>
                <w:rPr>
                  <w:rFonts w:ascii="Cambria Math" w:eastAsia="Cambria Math" w:hAnsi="Cambria Math" w:cs="Cambria Math"/>
                </w:rPr>
                <m:t>u</m:t>
              </m:r>
            </m:sub>
          </m:sSub>
          <m:r>
            <w:rPr>
              <w:rFonts w:ascii="Cambria Math" w:eastAsia="Cambria Math" w:hAnsi="Cambria Math" w:cs="Cambria Math"/>
            </w:rPr>
            <m:t>(v)=</m:t>
          </m:r>
          <m:f>
            <m:fPr>
              <m:ctrlPr>
                <w:rPr>
                  <w:rFonts w:ascii="Cambria Math" w:hAnsi="Cambria Math"/>
                </w:rPr>
              </m:ctrlPr>
            </m:fPr>
            <m:num>
              <m:r>
                <w:rPr>
                  <w:rFonts w:ascii="Cambria Math" w:eastAsia="Cambria Math" w:hAnsi="Cambria Math" w:cs="Cambria Math"/>
                </w:rPr>
                <m:t>(u·v)</m:t>
              </m:r>
            </m:num>
            <m:den>
              <m:r>
                <w:rPr>
                  <w:rFonts w:ascii="Cambria Math" w:eastAsia="Cambria Math" w:hAnsi="Cambria Math" w:cs="Cambria Math"/>
                </w:rPr>
                <m:t>(u·u+ϵ)</m:t>
              </m:r>
            </m:den>
          </m:f>
          <m:r>
            <w:rPr>
              <w:rFonts w:ascii="Cambria Math" w:eastAsia="Cambria Math" w:hAnsi="Cambria Math" w:cs="Cambria Math"/>
            </w:rPr>
            <m:t>·u</m:t>
          </m:r>
        </m:oMath>
      </m:oMathPara>
    </w:p>
    <w:p w14:paraId="5C97BA6C" w14:textId="77777777" w:rsidR="00031292" w:rsidRDefault="00000000">
      <w:pPr>
        <w:spacing w:after="80"/>
      </w:pPr>
      <w:r>
        <w:t xml:space="preserve">This ensures that the score for category </w:t>
      </w:r>
      <m:oMath>
        <m:r>
          <w:rPr>
            <w:rFonts w:ascii="Cambria Math" w:eastAsia="Cambria Math" w:hAnsi="Cambria Math" w:cs="Cambria Math"/>
          </w:rPr>
          <m:t>i</m:t>
        </m:r>
      </m:oMath>
      <w:r>
        <w:t xml:space="preserve"> only reflects variance that has not already been explained by categories </w:t>
      </w:r>
      <m:oMath>
        <m:r>
          <w:rPr>
            <w:rFonts w:ascii="Cambria Math" w:eastAsia="Cambria Math" w:hAnsi="Cambria Math" w:cs="Cambria Math"/>
          </w:rPr>
          <m:t>1</m:t>
        </m:r>
      </m:oMath>
      <w:r>
        <w:t xml:space="preserve"> to </w:t>
      </w:r>
      <m:oMath>
        <m:r>
          <w:rPr>
            <w:rFonts w:ascii="Cambria Math" w:eastAsia="Cambria Math" w:hAnsi="Cambria Math" w:cs="Cambria Math"/>
          </w:rPr>
          <m:t>i-1</m:t>
        </m:r>
      </m:oMath>
      <w:r>
        <w:t xml:space="preserve">. The resulting vector is clipped back to </w:t>
      </w:r>
      <m:oMath>
        <m:r>
          <w:rPr>
            <w:rFonts w:ascii="Cambria Math" w:eastAsia="Cambria Math" w:hAnsi="Cambria Math" w:cs="Cambria Math"/>
          </w:rPr>
          <m:t>[0.0,1.0]</m:t>
        </m:r>
      </m:oMath>
      <w:r>
        <w:t>.</w:t>
      </w:r>
    </w:p>
    <w:p w14:paraId="43D7A45D" w14:textId="77777777" w:rsidR="00031292" w:rsidRDefault="00000000">
      <w:pPr>
        <w:spacing w:before="240"/>
      </w:pPr>
      <w:r>
        <w:rPr>
          <w:b/>
          <w:color w:val="4A5568"/>
          <w:sz w:val="23"/>
        </w:rPr>
        <w:t>B. ZCA Whitening</w:t>
      </w:r>
    </w:p>
    <w:p w14:paraId="42C9698A" w14:textId="77777777" w:rsidR="00031292" w:rsidRDefault="00000000">
      <w:pPr>
        <w:spacing w:after="80"/>
      </w:pPr>
      <w:r>
        <w:t xml:space="preserve">To prevent any single score category from dominating the LSTM drift calculation due to scale discrepancies, the orthogonalized vector undergoes Zero-phase Component Analysis (ZCA) whitening. The vector is standardized to zero mean and unit variance, and then rescaled to the </w:t>
      </w:r>
      <m:oMath>
        <m:r>
          <w:rPr>
            <w:rFonts w:ascii="Cambria Math" w:eastAsia="Cambria Math" w:hAnsi="Cambria Math" w:cs="Cambria Math"/>
          </w:rPr>
          <m:t>[0.0,1.0]</m:t>
        </m:r>
      </m:oMath>
      <w:r>
        <w:t xml:space="preserve"> domain, stabilizing the output before it is passed to the drift engine.</w:t>
      </w:r>
    </w:p>
    <w:p w14:paraId="43E2A03C" w14:textId="77777777" w:rsidR="00031292" w:rsidRDefault="00000000">
      <w:pPr>
        <w:spacing w:before="320"/>
      </w:pPr>
      <w:r>
        <w:rPr>
          <w:b/>
          <w:color w:val="2C5282"/>
          <w:sz w:val="26"/>
        </w:rPr>
        <w:t>5. CEO DRIFT MULTIPLIER AND BIAS VECTOR INJECTION</w:t>
      </w:r>
    </w:p>
    <w:p w14:paraId="6829F41D" w14:textId="77777777" w:rsidR="00031292" w:rsidRDefault="00000000">
      <w:pPr>
        <w:spacing w:after="80"/>
      </w:pPr>
      <w:r>
        <w:t xml:space="preserve">The processed LLM scores are mapped into a single drift multiplier, </w:t>
      </w:r>
      <m:oMath>
        <m:r>
          <w:rPr>
            <w:rFonts w:ascii="Cambria Math" w:eastAsia="Cambria Math" w:hAnsi="Cambria Math" w:cs="Cambria Math"/>
          </w:rPr>
          <m:t>δ</m:t>
        </m:r>
      </m:oMath>
      <w:r>
        <w:t>, which directly scales the forecast returns. The formula utilizes asset-specific sensitivities:</w:t>
      </w:r>
    </w:p>
    <w:p w14:paraId="2C86DFF7" w14:textId="77777777" w:rsidR="00031292" w:rsidRDefault="00000000">
      <w:pPr>
        <w:spacing w:after="60"/>
        <w:ind w:left="432"/>
      </w:pPr>
      <w:r>
        <w:rPr>
          <w:b/>
        </w:rPr>
        <w:t>Gold (Geopolitical and inflation hedge)</w:t>
      </w:r>
      <w:r>
        <w:t>:</w:t>
      </w:r>
    </w:p>
    <w:p w14:paraId="4D4AE1FE" w14:textId="77777777" w:rsidR="00031292" w:rsidRDefault="00000000">
      <w:pPr>
        <w:spacing w:after="80"/>
      </w:pPr>
      <m:oMathPara>
        <m:oMath>
          <m:r>
            <m:rPr>
              <m:nor/>
            </m:rPr>
            <w:rPr>
              <w:rFonts w:ascii="Cambria Math" w:eastAsia="Cambria Math" w:hAnsi="Cambria Math" w:cs="Cambria Math"/>
            </w:rPr>
            <m:t>raw bias</m:t>
          </m:r>
          <m:r>
            <w:rPr>
              <w:rFonts w:ascii="Cambria Math" w:eastAsia="Cambria Math" w:hAnsi="Cambria Math" w:cs="Cambria Math"/>
            </w:rPr>
            <m:t>=0.40·</m:t>
          </m:r>
          <m:r>
            <m:rPr>
              <m:nor/>
            </m:rPr>
            <w:rPr>
              <w:rFonts w:ascii="Cambria Math" w:eastAsia="Cambria Math" w:hAnsi="Cambria Math" w:cs="Cambria Math"/>
            </w:rPr>
            <m:t>Geopolitics</m:t>
          </m:r>
          <m:r>
            <w:rPr>
              <w:rFonts w:ascii="Cambria Math" w:eastAsia="Cambria Math" w:hAnsi="Cambria Math" w:cs="Cambria Math"/>
            </w:rPr>
            <m:t>+0.30·</m:t>
          </m:r>
          <m:r>
            <m:rPr>
              <m:nor/>
            </m:rPr>
            <w:rPr>
              <w:rFonts w:ascii="Cambria Math" w:eastAsia="Cambria Math" w:hAnsi="Cambria Math" w:cs="Cambria Math"/>
            </w:rPr>
            <m:t>Supply</m:t>
          </m:r>
          <m:r>
            <w:rPr>
              <w:rFonts w:ascii="Cambria Math" w:eastAsia="Cambria Math" w:hAnsi="Cambria Math" w:cs="Cambria Math"/>
            </w:rPr>
            <m:t>+0.20·(1-</m:t>
          </m:r>
          <m:r>
            <m:rPr>
              <m:nor/>
            </m:rPr>
            <w:rPr>
              <w:rFonts w:ascii="Cambria Math" w:eastAsia="Cambria Math" w:hAnsi="Cambria Math" w:cs="Cambria Math"/>
            </w:rPr>
            <m:t>Monetary</m:t>
          </m:r>
          <m:r>
            <w:rPr>
              <w:rFonts w:ascii="Cambria Math" w:eastAsia="Cambria Math" w:hAnsi="Cambria Math" w:cs="Cambria Math"/>
            </w:rPr>
            <m:t>)+0.10·</m:t>
          </m:r>
          <m:r>
            <m:rPr>
              <m:nor/>
            </m:rPr>
            <w:rPr>
              <w:rFonts w:ascii="Cambria Math" w:eastAsia="Cambria Math" w:hAnsi="Cambria Math" w:cs="Cambria Math"/>
            </w:rPr>
            <m:t>Risk</m:t>
          </m:r>
        </m:oMath>
      </m:oMathPara>
    </w:p>
    <w:p w14:paraId="4CCCB041" w14:textId="77777777" w:rsidR="00031292" w:rsidRDefault="00000000">
      <w:pPr>
        <w:spacing w:after="60"/>
        <w:ind w:left="432"/>
      </w:pPr>
      <w:r>
        <w:rPr>
          <w:b/>
        </w:rPr>
        <w:t>Bitcoin (Risk-on and high-beta alternative asset)</w:t>
      </w:r>
      <w:r>
        <w:t>:</w:t>
      </w:r>
    </w:p>
    <w:p w14:paraId="6392856D" w14:textId="77777777" w:rsidR="00031292" w:rsidRDefault="00000000">
      <w:pPr>
        <w:spacing w:after="80"/>
      </w:pPr>
      <m:oMathPara>
        <m:oMath>
          <m:r>
            <m:rPr>
              <m:nor/>
            </m:rPr>
            <w:rPr>
              <w:rFonts w:ascii="Cambria Math" w:eastAsia="Cambria Math" w:hAnsi="Cambria Math" w:cs="Cambria Math"/>
            </w:rPr>
            <m:t>raw bias</m:t>
          </m:r>
          <m:r>
            <w:rPr>
              <w:rFonts w:ascii="Cambria Math" w:eastAsia="Cambria Math" w:hAnsi="Cambria Math" w:cs="Cambria Math"/>
            </w:rPr>
            <m:t>=0.40·</m:t>
          </m:r>
          <m:r>
            <m:rPr>
              <m:nor/>
            </m:rPr>
            <w:rPr>
              <w:rFonts w:ascii="Cambria Math" w:eastAsia="Cambria Math" w:hAnsi="Cambria Math" w:cs="Cambria Math"/>
            </w:rPr>
            <m:t>Risk</m:t>
          </m:r>
          <m:r>
            <w:rPr>
              <w:rFonts w:ascii="Cambria Math" w:eastAsia="Cambria Math" w:hAnsi="Cambria Math" w:cs="Cambria Math"/>
            </w:rPr>
            <m:t>+0.30·</m:t>
          </m:r>
          <m:r>
            <m:rPr>
              <m:nor/>
            </m:rPr>
            <w:rPr>
              <w:rFonts w:ascii="Cambria Math" w:eastAsia="Cambria Math" w:hAnsi="Cambria Math" w:cs="Cambria Math"/>
            </w:rPr>
            <m:t>Sentiment</m:t>
          </m:r>
          <m:r>
            <w:rPr>
              <w:rFonts w:ascii="Cambria Math" w:eastAsia="Cambria Math" w:hAnsi="Cambria Math" w:cs="Cambria Math"/>
            </w:rPr>
            <m:t>+0.20·(1-</m:t>
          </m:r>
          <m:r>
            <m:rPr>
              <m:nor/>
            </m:rPr>
            <w:rPr>
              <w:rFonts w:ascii="Cambria Math" w:eastAsia="Cambria Math" w:hAnsi="Cambria Math" w:cs="Cambria Math"/>
            </w:rPr>
            <m:t>Monetary</m:t>
          </m:r>
          <m:r>
            <w:rPr>
              <w:rFonts w:ascii="Cambria Math" w:eastAsia="Cambria Math" w:hAnsi="Cambria Math" w:cs="Cambria Math"/>
            </w:rPr>
            <m:t>)+0.10·(1-</m:t>
          </m:r>
          <m:r>
            <m:rPr>
              <m:nor/>
            </m:rPr>
            <w:rPr>
              <w:rFonts w:ascii="Cambria Math" w:eastAsia="Cambria Math" w:hAnsi="Cambria Math" w:cs="Cambria Math"/>
            </w:rPr>
            <m:t>Geopolitics</m:t>
          </m:r>
          <m:r>
            <w:rPr>
              <w:rFonts w:ascii="Cambria Math" w:eastAsia="Cambria Math" w:hAnsi="Cambria Math" w:cs="Cambria Math"/>
            </w:rPr>
            <m:t>)</m:t>
          </m:r>
        </m:oMath>
      </m:oMathPara>
    </w:p>
    <w:p w14:paraId="0715A24F" w14:textId="77777777" w:rsidR="00031292" w:rsidRDefault="00000000">
      <w:pPr>
        <w:spacing w:after="60"/>
        <w:ind w:left="432"/>
      </w:pPr>
      <w:r>
        <w:rPr>
          <w:b/>
        </w:rPr>
        <w:t>Oil</w:t>
      </w:r>
      <w:r>
        <w:t>:</w:t>
      </w:r>
    </w:p>
    <w:p w14:paraId="64005FE7" w14:textId="77777777" w:rsidR="00031292" w:rsidRDefault="00000000">
      <w:pPr>
        <w:spacing w:after="80"/>
      </w:pPr>
      <m:oMathPara>
        <m:oMath>
          <m:r>
            <m:rPr>
              <m:nor/>
            </m:rPr>
            <w:rPr>
              <w:rFonts w:ascii="Cambria Math" w:eastAsia="Cambria Math" w:hAnsi="Cambria Math" w:cs="Cambria Math"/>
            </w:rPr>
            <m:t>raw bias</m:t>
          </m:r>
          <m:r>
            <w:rPr>
              <w:rFonts w:ascii="Cambria Math" w:eastAsia="Cambria Math" w:hAnsi="Cambria Math" w:cs="Cambria Math"/>
            </w:rPr>
            <m:t>=0.50·</m:t>
          </m:r>
          <m:r>
            <m:rPr>
              <m:nor/>
            </m:rPr>
            <w:rPr>
              <w:rFonts w:ascii="Cambria Math" w:eastAsia="Cambria Math" w:hAnsi="Cambria Math" w:cs="Cambria Math"/>
            </w:rPr>
            <m:t>Supply</m:t>
          </m:r>
          <m:r>
            <w:rPr>
              <w:rFonts w:ascii="Cambria Math" w:eastAsia="Cambria Math" w:hAnsi="Cambria Math" w:cs="Cambria Math"/>
            </w:rPr>
            <m:t>+0.30·</m:t>
          </m:r>
          <m:r>
            <m:rPr>
              <m:nor/>
            </m:rPr>
            <w:rPr>
              <w:rFonts w:ascii="Cambria Math" w:eastAsia="Cambria Math" w:hAnsi="Cambria Math" w:cs="Cambria Math"/>
            </w:rPr>
            <m:t>Geopolitics</m:t>
          </m:r>
          <m:r>
            <w:rPr>
              <w:rFonts w:ascii="Cambria Math" w:eastAsia="Cambria Math" w:hAnsi="Cambria Math" w:cs="Cambria Math"/>
            </w:rPr>
            <m:t>+0.20·</m:t>
          </m:r>
          <m:r>
            <m:rPr>
              <m:nor/>
            </m:rPr>
            <w:rPr>
              <w:rFonts w:ascii="Cambria Math" w:eastAsia="Cambria Math" w:hAnsi="Cambria Math" w:cs="Cambria Math"/>
            </w:rPr>
            <m:t>Risk</m:t>
          </m:r>
        </m:oMath>
      </m:oMathPara>
    </w:p>
    <w:p w14:paraId="7D6C0B63" w14:textId="77777777" w:rsidR="00031292" w:rsidRDefault="00000000">
      <w:pPr>
        <w:spacing w:after="60"/>
        <w:ind w:left="432"/>
      </w:pPr>
      <w:r>
        <w:rPr>
          <w:b/>
        </w:rPr>
        <w:t>Equities / General Stocks</w:t>
      </w:r>
      <w:r>
        <w:t>:</w:t>
      </w:r>
    </w:p>
    <w:p w14:paraId="34FDD970" w14:textId="77777777" w:rsidR="00031292" w:rsidRDefault="00000000">
      <w:pPr>
        <w:spacing w:after="80"/>
      </w:pPr>
      <m:oMathPara>
        <m:oMath>
          <m:r>
            <m:rPr>
              <m:nor/>
            </m:rPr>
            <w:rPr>
              <w:rFonts w:ascii="Cambria Math" w:eastAsia="Cambria Math" w:hAnsi="Cambria Math" w:cs="Cambria Math"/>
            </w:rPr>
            <m:t>raw bias</m:t>
          </m:r>
          <m:r>
            <w:rPr>
              <w:rFonts w:ascii="Cambria Math" w:eastAsia="Cambria Math" w:hAnsi="Cambria Math" w:cs="Cambria Math"/>
            </w:rPr>
            <m:t>=0.35·</m:t>
          </m:r>
          <m:r>
            <m:rPr>
              <m:nor/>
            </m:rPr>
            <w:rPr>
              <w:rFonts w:ascii="Cambria Math" w:eastAsia="Cambria Math" w:hAnsi="Cambria Math" w:cs="Cambria Math"/>
            </w:rPr>
            <m:t>Risk</m:t>
          </m:r>
          <m:r>
            <w:rPr>
              <w:rFonts w:ascii="Cambria Math" w:eastAsia="Cambria Math" w:hAnsi="Cambria Math" w:cs="Cambria Math"/>
            </w:rPr>
            <m:t>+0.30·(1-</m:t>
          </m:r>
          <m:r>
            <m:rPr>
              <m:nor/>
            </m:rPr>
            <w:rPr>
              <w:rFonts w:ascii="Cambria Math" w:eastAsia="Cambria Math" w:hAnsi="Cambria Math" w:cs="Cambria Math"/>
            </w:rPr>
            <m:t>Monetary</m:t>
          </m:r>
          <m:r>
            <w:rPr>
              <w:rFonts w:ascii="Cambria Math" w:eastAsia="Cambria Math" w:hAnsi="Cambria Math" w:cs="Cambria Math"/>
            </w:rPr>
            <m:t>)+0.20·</m:t>
          </m:r>
          <m:r>
            <m:rPr>
              <m:nor/>
            </m:rPr>
            <w:rPr>
              <w:rFonts w:ascii="Cambria Math" w:eastAsia="Cambria Math" w:hAnsi="Cambria Math" w:cs="Cambria Math"/>
            </w:rPr>
            <m:t>Sentiment</m:t>
          </m:r>
          <m:r>
            <w:rPr>
              <w:rFonts w:ascii="Cambria Math" w:eastAsia="Cambria Math" w:hAnsi="Cambria Math" w:cs="Cambria Math"/>
            </w:rPr>
            <m:t>+0.15·(1-</m:t>
          </m:r>
          <m:r>
            <m:rPr>
              <m:nor/>
            </m:rPr>
            <w:rPr>
              <w:rFonts w:ascii="Cambria Math" w:eastAsia="Cambria Math" w:hAnsi="Cambria Math" w:cs="Cambria Math"/>
            </w:rPr>
            <m:t>Geopolitics</m:t>
          </m:r>
          <m:r>
            <w:rPr>
              <w:rFonts w:ascii="Cambria Math" w:eastAsia="Cambria Math" w:hAnsi="Cambria Math" w:cs="Cambria Math"/>
            </w:rPr>
            <m:t>)</m:t>
          </m:r>
        </m:oMath>
      </m:oMathPara>
    </w:p>
    <w:p w14:paraId="098B7CED" w14:textId="77777777" w:rsidR="00031292" w:rsidRDefault="00000000">
      <w:pPr>
        <w:spacing w:after="80"/>
      </w:pPr>
      <w:r>
        <w:t>The raw bias is mapped linearly into a drift multiplier:</w:t>
      </w:r>
    </w:p>
    <w:p w14:paraId="47443E67" w14:textId="77777777" w:rsidR="00031292" w:rsidRDefault="00000000">
      <w:pPr>
        <w:spacing w:before="200" w:after="200"/>
        <w:jc w:val="center"/>
      </w:pPr>
      <m:oMathPara>
        <m:oMath>
          <m:r>
            <w:rPr>
              <w:rFonts w:ascii="Cambria Math" w:eastAsia="Cambria Math" w:hAnsi="Cambria Math" w:cs="Cambria Math"/>
            </w:rPr>
            <m:t>δ=0.90+</m:t>
          </m:r>
          <m:r>
            <m:rPr>
              <m:nor/>
            </m:rPr>
            <w:rPr>
              <w:rFonts w:ascii="Cambria Math" w:eastAsia="Cambria Math" w:hAnsi="Cambria Math" w:cs="Cambria Math"/>
            </w:rPr>
            <m:t>raw bias</m:t>
          </m:r>
          <m:r>
            <w:rPr>
              <w:rFonts w:ascii="Cambria Math" w:eastAsia="Cambria Math" w:hAnsi="Cambria Math" w:cs="Cambria Math"/>
            </w:rPr>
            <m:t>·0.20</m:t>
          </m:r>
        </m:oMath>
      </m:oMathPara>
    </w:p>
    <w:p w14:paraId="201AD900" w14:textId="77777777" w:rsidR="00031292" w:rsidRDefault="00000000">
      <w:pPr>
        <w:spacing w:after="80"/>
      </w:pPr>
      <w:r>
        <w:t xml:space="preserve">This locks the drift multiplier strictly within </w:t>
      </w:r>
      <m:oMath>
        <m:r>
          <w:rPr>
            <w:rFonts w:ascii="Cambria Math" w:eastAsia="Cambria Math" w:hAnsi="Cambria Math" w:cs="Cambria Math"/>
          </w:rPr>
          <m:t>[0.90,1.10]</m:t>
        </m:r>
      </m:oMath>
      <w:r>
        <w:t xml:space="preserve">, allowing the CEO Layer to bias the expected return up or down by a maximum of 10% based on qualitative macroeconomic developments. If the Gemini API call fails, the engine triggers a Zero-Vector Fallback, setting the bias vector to a neutral 0.5 and </w:t>
      </w:r>
      <m:oMath>
        <m:r>
          <w:rPr>
            <w:rFonts w:ascii="Cambria Math" w:eastAsia="Cambria Math" w:hAnsi="Cambria Math" w:cs="Cambria Math"/>
          </w:rPr>
          <m:t>δ</m:t>
        </m:r>
      </m:oMath>
      <w:r>
        <w:t xml:space="preserve"> to 1.0, reverting to pure quantitative inference.</w:t>
      </w:r>
    </w:p>
    <w:p w14:paraId="410397D6" w14:textId="77777777" w:rsidR="00031292" w:rsidRDefault="00000000">
      <w:r>
        <w:br w:type="page"/>
      </w:r>
    </w:p>
    <w:p w14:paraId="41E4C77B" w14:textId="77777777" w:rsidR="00031292" w:rsidRDefault="00000000">
      <w:pPr>
        <w:spacing w:before="400" w:after="240"/>
      </w:pPr>
      <w:r>
        <w:rPr>
          <w:b/>
          <w:color w:val="4A5568"/>
          <w:sz w:val="20"/>
        </w:rPr>
        <w:lastRenderedPageBreak/>
        <w:t>──────  PART 2 – DATA ENGINEERING, DATABASE INFRASTRUCTURE &amp; CAUSAL INTEGRITY  ──────</w:t>
      </w:r>
    </w:p>
    <w:p w14:paraId="00C59241" w14:textId="77777777" w:rsidR="00031292" w:rsidRDefault="00000000">
      <w:pPr>
        <w:spacing w:before="440"/>
      </w:pPr>
      <w:r>
        <w:rPr>
          <w:b/>
          <w:color w:val="1A365D"/>
          <w:sz w:val="32"/>
        </w:rPr>
        <w:t>MARKET INTELLIGENCE SYSTEM: COMPREHENSIVE ARCHITECTURE &amp; RESEARCH WHITEPAPER</w:t>
      </w:r>
    </w:p>
    <w:p w14:paraId="36886F8D" w14:textId="77777777" w:rsidR="00031292" w:rsidRDefault="00000000">
      <w:pPr>
        <w:spacing w:before="320"/>
      </w:pPr>
      <w:r>
        <w:rPr>
          <w:b/>
          <w:color w:val="2C5282"/>
          <w:sz w:val="26"/>
        </w:rPr>
        <w:t>PART 2: DATA ENGINEERING, DATABASE INFRASTRUCTURE, &amp; CAUSAL INTEGRITY</w:t>
      </w:r>
    </w:p>
    <w:p w14:paraId="2B2C46F2" w14:textId="77777777" w:rsidR="00031292" w:rsidRDefault="00000000">
      <w:pPr>
        <w:spacing w:before="320"/>
      </w:pPr>
      <w:r>
        <w:rPr>
          <w:b/>
          <w:color w:val="2C5282"/>
          <w:sz w:val="26"/>
        </w:rPr>
        <w:t>1. IN-PROCESS COLUMNAR OLAP DATA WAREHOUSE (DUCKDB)</w:t>
      </w:r>
    </w:p>
    <w:p w14:paraId="5CAA853C" w14:textId="77777777" w:rsidR="00031292" w:rsidRDefault="00000000">
      <w:pPr>
        <w:spacing w:after="80"/>
      </w:pPr>
      <w:r>
        <w:t xml:space="preserve">The system storage engine uses </w:t>
      </w:r>
      <w:r>
        <w:rPr>
          <w:rFonts w:ascii="Consolas" w:hAnsi="Consolas"/>
          <w:sz w:val="19"/>
        </w:rPr>
        <w:t>DuckDB</w:t>
      </w:r>
      <w:r>
        <w:t xml:space="preserve">, an embedded, columnar relational database management system designed specifically for </w:t>
      </w:r>
      <w:r>
        <w:rPr>
          <w:rFonts w:ascii="Consolas" w:hAnsi="Consolas"/>
          <w:sz w:val="19"/>
        </w:rPr>
        <w:t>Online Analytical Processing (OLAP)</w:t>
      </w:r>
      <w:r>
        <w:t xml:space="preserve">. Traditional row-based databases (such as </w:t>
      </w:r>
      <w:r>
        <w:rPr>
          <w:rFonts w:ascii="Consolas" w:hAnsi="Consolas"/>
          <w:sz w:val="19"/>
        </w:rPr>
        <w:t>SQLite</w:t>
      </w:r>
      <w:r>
        <w:t xml:space="preserve"> or </w:t>
      </w:r>
      <w:r>
        <w:rPr>
          <w:rFonts w:ascii="Consolas" w:hAnsi="Consolas"/>
          <w:sz w:val="19"/>
        </w:rPr>
        <w:t>MySQL</w:t>
      </w:r>
      <w:r>
        <w:t xml:space="preserve">) store data tuple-by-tuple, which introduces significant </w:t>
      </w:r>
      <w:r>
        <w:rPr>
          <w:rFonts w:ascii="Consolas" w:hAnsi="Consolas"/>
          <w:sz w:val="19"/>
        </w:rPr>
        <w:t>CPU</w:t>
      </w:r>
      <w:r>
        <w:t xml:space="preserve"> overhead and cache-miss latency when performing analytical scans, rolling windows, and aggregations across millions of rows.</w:t>
      </w:r>
    </w:p>
    <w:p w14:paraId="14C6280A" w14:textId="77777777" w:rsidR="00031292" w:rsidRDefault="00000000">
      <w:pPr>
        <w:spacing w:after="80"/>
      </w:pPr>
      <w:r>
        <w:rPr>
          <w:rFonts w:ascii="Consolas" w:hAnsi="Consolas"/>
          <w:sz w:val="19"/>
        </w:rPr>
        <w:t>DuckDB</w:t>
      </w:r>
      <w:r>
        <w:t xml:space="preserve"> solves these bottlenecks through two core features:</w:t>
      </w:r>
    </w:p>
    <w:p w14:paraId="10FAC7ED" w14:textId="77777777" w:rsidR="00031292" w:rsidRDefault="00000000">
      <w:pPr>
        <w:spacing w:before="240"/>
      </w:pPr>
      <w:r>
        <w:rPr>
          <w:b/>
          <w:color w:val="4A5568"/>
          <w:sz w:val="23"/>
        </w:rPr>
        <w:t>A. Columnar Storage Layout</w:t>
      </w:r>
    </w:p>
    <w:p w14:paraId="7FD47CBA" w14:textId="77777777" w:rsidR="00031292" w:rsidRDefault="00000000">
      <w:pPr>
        <w:spacing w:after="80"/>
      </w:pPr>
      <w:r>
        <w:t xml:space="preserve">Data is stored column-by-column rather than row-by-row. When the feature engineering pipeline requires only three features (e.g., Close price, </w:t>
      </w:r>
      <w:r>
        <w:rPr>
          <w:rFonts w:ascii="Consolas" w:hAnsi="Consolas"/>
          <w:sz w:val="19"/>
        </w:rPr>
        <w:t>CPI_MoM</w:t>
      </w:r>
      <w:r>
        <w:t xml:space="preserve">, and </w:t>
      </w:r>
      <w:r>
        <w:rPr>
          <w:rFonts w:ascii="Consolas" w:hAnsi="Consolas"/>
          <w:sz w:val="19"/>
        </w:rPr>
        <w:t>YieldCurve_10Y2Y</w:t>
      </w:r>
      <w:r>
        <w:t xml:space="preserve">) from a table containing fifty columns, </w:t>
      </w:r>
      <w:r>
        <w:rPr>
          <w:rFonts w:ascii="Consolas" w:hAnsi="Consolas"/>
          <w:sz w:val="19"/>
        </w:rPr>
        <w:t>DuckDB</w:t>
      </w:r>
      <w:r>
        <w:t xml:space="preserve"> reads only those three columns from disk. This reduces </w:t>
      </w:r>
      <w:r>
        <w:rPr>
          <w:rFonts w:ascii="Consolas" w:hAnsi="Consolas"/>
          <w:sz w:val="19"/>
        </w:rPr>
        <w:t>I/O</w:t>
      </w:r>
      <w:r>
        <w:t xml:space="preserve"> bottlenecking and maximizes storage efficiency.</w:t>
      </w:r>
    </w:p>
    <w:p w14:paraId="15C1DD2A" w14:textId="77777777" w:rsidR="00031292" w:rsidRDefault="00000000">
      <w:pPr>
        <w:spacing w:before="240"/>
      </w:pPr>
      <w:r>
        <w:rPr>
          <w:b/>
          <w:color w:val="4A5568"/>
          <w:sz w:val="23"/>
        </w:rPr>
        <w:t>B. Vectorized Query Execution</w:t>
      </w:r>
    </w:p>
    <w:p w14:paraId="494E55D2" w14:textId="77777777" w:rsidR="00031292" w:rsidRDefault="00000000">
      <w:pPr>
        <w:spacing w:after="80"/>
      </w:pPr>
      <w:r>
        <w:t xml:space="preserve">Instead of processing data row-by-row (tuple-at-a-time execution), </w:t>
      </w:r>
      <w:r>
        <w:rPr>
          <w:rFonts w:ascii="Consolas" w:hAnsi="Consolas"/>
          <w:sz w:val="19"/>
        </w:rPr>
        <w:t>DuckDB</w:t>
      </w:r>
      <w:r>
        <w:t xml:space="preserve">'s execution engine processes data in column vectors (arrays of data points, typically 1024 values per vector). This layout fits directly into </w:t>
      </w:r>
      <w:r>
        <w:rPr>
          <w:rFonts w:ascii="Consolas" w:hAnsi="Consolas"/>
          <w:sz w:val="19"/>
        </w:rPr>
        <w:t>CPU L1/L2</w:t>
      </w:r>
      <w:r>
        <w:t xml:space="preserve"> cache lines, maximizing compiler loop-unrolling efficiency and utilizing </w:t>
      </w:r>
      <w:r>
        <w:rPr>
          <w:rFonts w:ascii="Consolas" w:hAnsi="Consolas"/>
          <w:sz w:val="19"/>
        </w:rPr>
        <w:t>SIMD (Single Instruction, Multiple Data)</w:t>
      </w:r>
      <w:r>
        <w:t xml:space="preserve"> processor instructions.</w:t>
      </w:r>
    </w:p>
    <w:p w14:paraId="5D3F30A7" w14:textId="77777777" w:rsidR="00031292" w:rsidRDefault="00000000">
      <w:pPr>
        <w:spacing w:before="320"/>
      </w:pPr>
      <w:r>
        <w:rPr>
          <w:b/>
          <w:color w:val="2C5282"/>
          <w:sz w:val="26"/>
        </w:rPr>
        <w:t>2. MULTI-THREADED RUST ENGINE INTEGRATION (POLARS)</w:t>
      </w:r>
    </w:p>
    <w:p w14:paraId="5C3A6EED" w14:textId="77777777" w:rsidR="00031292" w:rsidRDefault="00000000">
      <w:pPr>
        <w:spacing w:after="80"/>
      </w:pPr>
      <w:r>
        <w:t xml:space="preserve">To process the extracted database queries without Python-level </w:t>
      </w:r>
      <w:r>
        <w:rPr>
          <w:rFonts w:ascii="Consolas" w:hAnsi="Consolas"/>
          <w:sz w:val="19"/>
        </w:rPr>
        <w:t>Global Interpreter Lock (GIL)</w:t>
      </w:r>
      <w:r>
        <w:t xml:space="preserve"> bottlenecks, the system integrates </w:t>
      </w:r>
      <w:r>
        <w:rPr>
          <w:rFonts w:ascii="Consolas" w:hAnsi="Consolas"/>
          <w:sz w:val="19"/>
        </w:rPr>
        <w:t>Polars</w:t>
      </w:r>
      <w:r>
        <w:t xml:space="preserve">, a Rust-based, multi-threaded </w:t>
      </w:r>
      <w:r>
        <w:rPr>
          <w:rFonts w:ascii="Consolas" w:hAnsi="Consolas"/>
          <w:sz w:val="19"/>
        </w:rPr>
        <w:t>DataFrame</w:t>
      </w:r>
      <w:r>
        <w:t xml:space="preserve"> library. </w:t>
      </w:r>
      <w:r>
        <w:rPr>
          <w:rFonts w:ascii="Consolas" w:hAnsi="Consolas"/>
          <w:sz w:val="19"/>
        </w:rPr>
        <w:t>Polars</w:t>
      </w:r>
      <w:r>
        <w:t xml:space="preserve"> is built on the </w:t>
      </w:r>
      <w:r>
        <w:rPr>
          <w:rFonts w:ascii="Consolas" w:hAnsi="Consolas"/>
          <w:sz w:val="19"/>
        </w:rPr>
        <w:t>Apache Arrow</w:t>
      </w:r>
      <w:r>
        <w:t xml:space="preserve"> memory specification, enabling zero-copy memory mapping.</w:t>
      </w:r>
    </w:p>
    <w:p w14:paraId="48BE6864" w14:textId="77777777" w:rsidR="00031292" w:rsidRDefault="00000000">
      <w:pPr>
        <w:spacing w:after="80"/>
      </w:pPr>
      <w:r>
        <w:t xml:space="preserve">When a query is executed, </w:t>
      </w:r>
      <w:r>
        <w:rPr>
          <w:rFonts w:ascii="Consolas" w:hAnsi="Consolas"/>
          <w:sz w:val="19"/>
        </w:rPr>
        <w:t>DuckDB</w:t>
      </w:r>
      <w:r>
        <w:t xml:space="preserve"> constructs a relation object. By calling the </w:t>
      </w:r>
      <w:r>
        <w:rPr>
          <w:rFonts w:ascii="Consolas" w:hAnsi="Consolas"/>
          <w:sz w:val="19"/>
        </w:rPr>
        <w:t>rel.pl()</w:t>
      </w:r>
      <w:r>
        <w:t xml:space="preserve"> method, the data is projected directly into a </w:t>
      </w:r>
      <w:r>
        <w:rPr>
          <w:rFonts w:ascii="Consolas" w:hAnsi="Consolas"/>
          <w:sz w:val="19"/>
        </w:rPr>
        <w:t>Polars DataFrame</w:t>
      </w:r>
      <w:r>
        <w:t xml:space="preserve">. This operation simply maps the pointers to the existing memory buffer allocated by </w:t>
      </w:r>
      <w:r>
        <w:rPr>
          <w:rFonts w:ascii="Consolas" w:hAnsi="Consolas"/>
          <w:sz w:val="19"/>
        </w:rPr>
        <w:t>Arrow</w:t>
      </w:r>
      <w:r>
        <w:t xml:space="preserve">, entirely bypassing the </w:t>
      </w:r>
      <w:r>
        <w:rPr>
          <w:rFonts w:ascii="Consolas" w:hAnsi="Consolas"/>
          <w:sz w:val="19"/>
        </w:rPr>
        <w:t>CPU</w:t>
      </w:r>
      <w:r>
        <w:t xml:space="preserve"> overhead of serializing, parsing, and copying data blocks. </w:t>
      </w:r>
      <w:r>
        <w:rPr>
          <w:rFonts w:ascii="Consolas" w:hAnsi="Consolas"/>
          <w:sz w:val="19"/>
        </w:rPr>
        <w:t>Polars</w:t>
      </w:r>
      <w:r>
        <w:t xml:space="preserve"> then performs downstream feature calculations using lazy evaluation: it parses the query into a logical execution graph, optimizes it (e.g., combining projection and filter pushdowns), and executes the calculations in parallel across all available </w:t>
      </w:r>
      <w:r>
        <w:rPr>
          <w:rFonts w:ascii="Consolas" w:hAnsi="Consolas"/>
          <w:sz w:val="19"/>
        </w:rPr>
        <w:t>CPU</w:t>
      </w:r>
      <w:r>
        <w:t xml:space="preserve"> cores.</w:t>
      </w:r>
    </w:p>
    <w:p w14:paraId="4BB7AC8E" w14:textId="77777777" w:rsidR="00031292" w:rsidRDefault="00000000">
      <w:pPr>
        <w:spacing w:before="320"/>
      </w:pPr>
      <w:r>
        <w:rPr>
          <w:b/>
          <w:color w:val="2C5282"/>
          <w:sz w:val="26"/>
        </w:rPr>
        <w:lastRenderedPageBreak/>
        <w:t>3. PSEUDO-ACID DUAL-WRITE ARCHITECTURE AND CONCURRENCY CONTROL</w:t>
      </w:r>
    </w:p>
    <w:p w14:paraId="60639076" w14:textId="77777777" w:rsidR="00031292" w:rsidRDefault="00000000">
      <w:pPr>
        <w:spacing w:after="80"/>
      </w:pPr>
      <w:r>
        <w:t xml:space="preserve">Production financial systems must guarantee data persistence and </w:t>
      </w:r>
      <w:r>
        <w:rPr>
          <w:rFonts w:ascii="Consolas" w:hAnsi="Consolas"/>
          <w:sz w:val="19"/>
        </w:rPr>
        <w:t>UI</w:t>
      </w:r>
      <w:r>
        <w:t xml:space="preserve"> responsiveness during concurrent write operations. The </w:t>
      </w:r>
      <w:r>
        <w:rPr>
          <w:rFonts w:ascii="Consolas" w:hAnsi="Consolas"/>
          <w:sz w:val="19"/>
        </w:rPr>
        <w:t>MarketDataStore</w:t>
      </w:r>
      <w:r>
        <w:t xml:space="preserve"> class implements a dual-write architecture that models transactional integrity:</w:t>
      </w:r>
    </w:p>
    <w:p w14:paraId="66A9E6A4" w14:textId="77777777" w:rsidR="00031292" w:rsidRDefault="00000000">
      <w:pPr>
        <w:spacing w:before="240"/>
      </w:pPr>
      <w:r>
        <w:rPr>
          <w:b/>
          <w:color w:val="4A5568"/>
          <w:sz w:val="23"/>
        </w:rPr>
        <w:t>A. Multi-User Concurrency Control</w:t>
      </w:r>
    </w:p>
    <w:p w14:paraId="1F021160" w14:textId="77777777" w:rsidR="00031292" w:rsidRDefault="00000000">
      <w:pPr>
        <w:spacing w:after="80"/>
      </w:pPr>
      <w:r>
        <w:rPr>
          <w:rFonts w:ascii="Consolas" w:hAnsi="Consolas"/>
          <w:sz w:val="19"/>
        </w:rPr>
        <w:t>Streamlit</w:t>
      </w:r>
      <w:r>
        <w:t xml:space="preserve"> pages run in separate threads, meaning a user reloading the </w:t>
      </w:r>
      <w:r>
        <w:rPr>
          <w:rFonts w:ascii="Consolas" w:hAnsi="Consolas"/>
          <w:sz w:val="19"/>
        </w:rPr>
        <w:t>UI</w:t>
      </w:r>
      <w:r>
        <w:t xml:space="preserve"> can trigger a read operation at the exact moment the daily background scheduler attempts to write new market data. To prevent database locks, read operations establish </w:t>
      </w:r>
      <w:r>
        <w:rPr>
          <w:rFonts w:ascii="Consolas" w:hAnsi="Consolas"/>
          <w:sz w:val="19"/>
        </w:rPr>
        <w:t>DuckDB</w:t>
      </w:r>
      <w:r>
        <w:t xml:space="preserve"> connections with </w:t>
      </w:r>
      <w:r>
        <w:rPr>
          <w:rFonts w:ascii="Consolas" w:hAnsi="Consolas"/>
          <w:sz w:val="19"/>
        </w:rPr>
        <w:t>read_only=True</w:t>
      </w:r>
      <w:r>
        <w:t>. This allows multiple concurrent threads to query the database simultaneously without blocking.</w:t>
      </w:r>
    </w:p>
    <w:p w14:paraId="2D6143A7" w14:textId="77777777" w:rsidR="00031292" w:rsidRDefault="00000000">
      <w:pPr>
        <w:spacing w:before="240"/>
      </w:pPr>
      <w:r>
        <w:rPr>
          <w:b/>
          <w:color w:val="4A5568"/>
          <w:sz w:val="23"/>
        </w:rPr>
        <w:t>B. Write Pipeline and Atomicity</w:t>
      </w:r>
    </w:p>
    <w:p w14:paraId="076D24DB" w14:textId="77777777" w:rsidR="00031292" w:rsidRDefault="00000000">
      <w:pPr>
        <w:spacing w:after="80"/>
      </w:pPr>
      <w:r>
        <w:t>Write operations are executed using a separate read-write connection. The write pipeline runs:</w:t>
      </w:r>
    </w:p>
    <w:p w14:paraId="012B881B" w14:textId="77777777" w:rsidR="00031292" w:rsidRDefault="00000000">
      <w:pPr>
        <w:ind w:left="432"/>
      </w:pPr>
      <w:r>
        <w:rPr>
          <w:rFonts w:ascii="Consolas" w:hAnsi="Consolas"/>
          <w:sz w:val="18"/>
        </w:rPr>
        <w:t>CREATE OR REPLACE TABLE table_name AS SELECT * FROM temp_df</w:t>
      </w:r>
    </w:p>
    <w:p w14:paraId="7E111D2A" w14:textId="77777777" w:rsidR="00031292" w:rsidRDefault="00000000">
      <w:pPr>
        <w:spacing w:after="80"/>
      </w:pPr>
      <w:r>
        <w:t xml:space="preserve">This replaces the target table atomically. If the write succeeds, the store immediately exports the updated table as a backup </w:t>
      </w:r>
      <w:r>
        <w:rPr>
          <w:rFonts w:ascii="Consolas" w:hAnsi="Consolas"/>
          <w:sz w:val="19"/>
        </w:rPr>
        <w:t>.csv</w:t>
      </w:r>
      <w:r>
        <w:t xml:space="preserve"> file in the </w:t>
      </w:r>
      <w:r>
        <w:rPr>
          <w:rFonts w:ascii="Consolas" w:hAnsi="Consolas"/>
          <w:sz w:val="19"/>
        </w:rPr>
        <w:t>data/</w:t>
      </w:r>
      <w:r>
        <w:t xml:space="preserve"> directory.</w:t>
      </w:r>
    </w:p>
    <w:p w14:paraId="7198DEA6" w14:textId="77777777" w:rsidR="00031292" w:rsidRDefault="00000000">
      <w:pPr>
        <w:spacing w:before="240"/>
      </w:pPr>
      <w:r>
        <w:rPr>
          <w:b/>
          <w:color w:val="4A5568"/>
          <w:sz w:val="23"/>
        </w:rPr>
        <w:t>C. Fallback Redundancy and Recovery</w:t>
      </w:r>
    </w:p>
    <w:p w14:paraId="10A27E91" w14:textId="77777777" w:rsidR="00031292" w:rsidRDefault="00000000">
      <w:pPr>
        <w:spacing w:after="80"/>
      </w:pPr>
      <w:r>
        <w:t xml:space="preserve">In environments where file systems are shared or antivirus software locks the </w:t>
      </w:r>
      <w:r>
        <w:rPr>
          <w:rFonts w:ascii="Consolas" w:hAnsi="Consolas"/>
          <w:sz w:val="19"/>
        </w:rPr>
        <w:t>.db</w:t>
      </w:r>
      <w:r>
        <w:t xml:space="preserve"> file, write operations can encounter </w:t>
      </w:r>
      <w:r>
        <w:rPr>
          <w:rFonts w:ascii="Consolas" w:hAnsi="Consolas"/>
          <w:sz w:val="19"/>
        </w:rPr>
        <w:t>OS</w:t>
      </w:r>
      <w:r>
        <w:t xml:space="preserve">-level file locks. The </w:t>
      </w:r>
      <w:r>
        <w:rPr>
          <w:rFonts w:ascii="Consolas" w:hAnsi="Consolas"/>
          <w:sz w:val="19"/>
        </w:rPr>
        <w:t>MarketDataStore</w:t>
      </w:r>
      <w:r>
        <w:t xml:space="preserve"> catches these write exceptions, updates the backup </w:t>
      </w:r>
      <w:r>
        <w:rPr>
          <w:rFonts w:ascii="Consolas" w:hAnsi="Consolas"/>
          <w:sz w:val="19"/>
        </w:rPr>
        <w:t>CSV</w:t>
      </w:r>
      <w:r>
        <w:t xml:space="preserve"> file, and logs a warning. The query pipeline is designed with a fallback cascade: if the </w:t>
      </w:r>
      <w:r>
        <w:rPr>
          <w:rFonts w:ascii="Consolas" w:hAnsi="Consolas"/>
          <w:sz w:val="19"/>
        </w:rPr>
        <w:t>DuckDB</w:t>
      </w:r>
      <w:r>
        <w:t xml:space="preserve"> connection fails, the system automatically falls back to reading from the backup </w:t>
      </w:r>
      <w:r>
        <w:rPr>
          <w:rFonts w:ascii="Consolas" w:hAnsi="Consolas"/>
          <w:sz w:val="19"/>
        </w:rPr>
        <w:t>CSV</w:t>
      </w:r>
      <w:r>
        <w:t xml:space="preserve"> files. This guarantees that </w:t>
      </w:r>
      <w:r>
        <w:rPr>
          <w:rFonts w:ascii="Consolas" w:hAnsi="Consolas"/>
          <w:sz w:val="19"/>
        </w:rPr>
        <w:t>UI</w:t>
      </w:r>
      <w:r>
        <w:t xml:space="preserve"> operations never crash due to database locking. (Phase 6 roadmaps plan timestamp-based database auto-healing: upon database re-connection, it checks if the </w:t>
      </w:r>
      <w:r>
        <w:rPr>
          <w:rFonts w:ascii="Consolas" w:hAnsi="Consolas"/>
          <w:sz w:val="19"/>
        </w:rPr>
        <w:t>CSV</w:t>
      </w:r>
      <w:r>
        <w:t xml:space="preserve"> backup modified-time is newer than the </w:t>
      </w:r>
      <w:r>
        <w:rPr>
          <w:rFonts w:ascii="Consolas" w:hAnsi="Consolas"/>
          <w:sz w:val="19"/>
        </w:rPr>
        <w:t>DB</w:t>
      </w:r>
      <w:r>
        <w:t xml:space="preserve"> table, and automatically executes a re-migration).</w:t>
      </w:r>
    </w:p>
    <w:p w14:paraId="44DE48AF" w14:textId="77777777" w:rsidR="00031292" w:rsidRDefault="00000000">
      <w:pPr>
        <w:spacing w:before="320"/>
      </w:pPr>
      <w:r>
        <w:rPr>
          <w:b/>
          <w:color w:val="2C5282"/>
          <w:sz w:val="26"/>
        </w:rPr>
        <w:t>4. CAUSAL INTEGRITY AND LOOK-AHEAD BIAS PREVENTION</w:t>
      </w:r>
    </w:p>
    <w:p w14:paraId="1E972A68" w14:textId="77777777" w:rsidR="00031292" w:rsidRDefault="00000000">
      <w:pPr>
        <w:spacing w:after="80"/>
      </w:pPr>
      <w:r>
        <w:t>Look-ahead bias occurs when a machine learning model is trained on, or evaluates features using, information that was not publicly available at the theoretical time of prediction. In backtesting, this leads to artificially inflated accuracy metrics that collapse when deployed live. The system implements three strict pipeline constraints to prevent leakage:</w:t>
      </w:r>
    </w:p>
    <w:p w14:paraId="2842A08A" w14:textId="77777777" w:rsidR="00031292" w:rsidRDefault="00000000">
      <w:pPr>
        <w:spacing w:before="240"/>
      </w:pPr>
      <w:r>
        <w:rPr>
          <w:b/>
          <w:color w:val="4A5568"/>
          <w:sz w:val="23"/>
        </w:rPr>
        <w:t>A. Automated Lag Ingestion</w:t>
      </w:r>
    </w:p>
    <w:p w14:paraId="1F158FEC" w14:textId="77777777" w:rsidR="00031292" w:rsidRDefault="00000000">
      <w:pPr>
        <w:spacing w:after="80"/>
      </w:pPr>
      <w:r>
        <w:t xml:space="preserve">Macroeconomic indicators (such as </w:t>
      </w:r>
      <w:r>
        <w:rPr>
          <w:rFonts w:ascii="Consolas" w:hAnsi="Consolas"/>
          <w:sz w:val="19"/>
        </w:rPr>
        <w:t>CPI</w:t>
      </w:r>
      <w:r>
        <w:t xml:space="preserve">, </w:t>
      </w:r>
      <w:r>
        <w:rPr>
          <w:rFonts w:ascii="Consolas" w:hAnsi="Consolas"/>
          <w:sz w:val="19"/>
        </w:rPr>
        <w:t>PPI</w:t>
      </w:r>
      <w:r>
        <w:t xml:space="preserve">, </w:t>
      </w:r>
      <w:r>
        <w:rPr>
          <w:rFonts w:ascii="Consolas" w:hAnsi="Consolas"/>
          <w:sz w:val="19"/>
        </w:rPr>
        <w:t>PCE</w:t>
      </w:r>
      <w:r>
        <w:t xml:space="preserve">, and </w:t>
      </w:r>
      <w:r>
        <w:rPr>
          <w:rFonts w:ascii="Consolas" w:hAnsi="Consolas"/>
          <w:sz w:val="19"/>
        </w:rPr>
        <w:t>Non-Farm Payrolls</w:t>
      </w:r>
      <w:r>
        <w:t xml:space="preserve">) are released by government agencies with varying delays (ranging from two to six weeks) and are frequently revised in subsequent months. To prevent look-ahead bias, the feature pipeline lags </w:t>
      </w:r>
      <w:r>
        <w:rPr>
          <w:rFonts w:ascii="Consolas" w:hAnsi="Consolas"/>
          <w:sz w:val="19"/>
        </w:rPr>
        <w:t>FRED</w:t>
      </w:r>
      <w:r>
        <w:t xml:space="preserve"> monthly features using automated shifts (e.g., </w:t>
      </w:r>
      <w:r>
        <w:rPr>
          <w:rFonts w:ascii="Consolas" w:hAnsi="Consolas"/>
          <w:sz w:val="19"/>
        </w:rPr>
        <w:t>CPI_MoM_lag3</w:t>
      </w:r>
      <w:r>
        <w:t xml:space="preserve">, </w:t>
      </w:r>
      <w:r>
        <w:rPr>
          <w:rFonts w:ascii="Consolas" w:hAnsi="Consolas"/>
          <w:sz w:val="19"/>
        </w:rPr>
        <w:t>NFP_Change_lag3</w:t>
      </w:r>
      <w:r>
        <w:t xml:space="preserve">). This models the </w:t>
      </w:r>
      <w:r>
        <w:lastRenderedPageBreak/>
        <w:t xml:space="preserve">true information set available to an analyst at time </w:t>
      </w:r>
      <m:oMath>
        <m:r>
          <w:rPr>
            <w:rFonts w:ascii="Cambria Math" w:eastAsia="Cambria Math" w:hAnsi="Cambria Math" w:cs="Cambria Math"/>
          </w:rPr>
          <m:t>t</m:t>
        </m:r>
      </m:oMath>
      <w:r>
        <w:t>, ensuring the models train only on finalized, publicly accessible data.</w:t>
      </w:r>
    </w:p>
    <w:p w14:paraId="193F16A5" w14:textId="77777777" w:rsidR="00031292" w:rsidRDefault="00000000">
      <w:pPr>
        <w:spacing w:before="240"/>
      </w:pPr>
      <w:r>
        <w:rPr>
          <w:b/>
          <w:color w:val="4A5568"/>
          <w:sz w:val="23"/>
        </w:rPr>
        <w:t>B. Commitment of Traders (COT) Release Date Realignment</w:t>
      </w:r>
    </w:p>
    <w:p w14:paraId="24547D7A" w14:textId="77777777" w:rsidR="00031292" w:rsidRDefault="00000000">
      <w:pPr>
        <w:spacing w:after="80"/>
      </w:pPr>
      <w:r>
        <w:t xml:space="preserve">The </w:t>
      </w:r>
      <w:r>
        <w:rPr>
          <w:rFonts w:ascii="Consolas" w:hAnsi="Consolas"/>
          <w:sz w:val="19"/>
        </w:rPr>
        <w:t>CFTC</w:t>
      </w:r>
      <w:r>
        <w:t xml:space="preserve"> gathers </w:t>
      </w:r>
      <w:r>
        <w:rPr>
          <w:rFonts w:ascii="Consolas" w:hAnsi="Consolas"/>
          <w:sz w:val="19"/>
        </w:rPr>
        <w:t>Commitment of Traders</w:t>
      </w:r>
      <w:r>
        <w:t xml:space="preserve"> futures positioning data as of Tuesday close. However, this report is not released to the public until Friday evening (typically 15:30 </w:t>
      </w:r>
      <w:r>
        <w:rPr>
          <w:rFonts w:ascii="Consolas" w:hAnsi="Consolas"/>
          <w:sz w:val="19"/>
        </w:rPr>
        <w:t>EST</w:t>
      </w:r>
      <w:r>
        <w:t xml:space="preserve">). Merging Tuesday's positioning data directly into Tuesday's daily price record would leak three days of future information. The </w:t>
      </w:r>
      <w:r>
        <w:rPr>
          <w:rFonts w:ascii="Consolas" w:hAnsi="Consolas"/>
          <w:sz w:val="19"/>
        </w:rPr>
        <w:t>COTFetcher</w:t>
      </w:r>
      <w:r>
        <w:t xml:space="preserve"> pipeline shifts the raw data date:</w:t>
      </w:r>
    </w:p>
    <w:p w14:paraId="585E7A60" w14:textId="77777777" w:rsidR="00031292" w:rsidRDefault="00000000">
      <w:pPr>
        <w:spacing w:before="200" w:after="200"/>
        <w:jc w:val="center"/>
      </w:pPr>
      <m:oMathPara>
        <m:oMath>
          <m:sSub>
            <m:sSubPr>
              <m:ctrlPr>
                <w:rPr>
                  <w:rFonts w:ascii="Cambria Math" w:hAnsi="Cambria Math"/>
                </w:rPr>
              </m:ctrlPr>
            </m:sSubPr>
            <m:e>
              <m:r>
                <m:rPr>
                  <m:nor/>
                </m:rPr>
                <w:rPr>
                  <w:rFonts w:ascii="Cambria Math" w:eastAsia="Cambria Math" w:hAnsi="Cambria Math" w:cs="Cambria Math"/>
                </w:rPr>
                <m:t>Date</m:t>
              </m:r>
            </m:e>
            <m:sub>
              <m:r>
                <m:rPr>
                  <m:nor/>
                </m:rPr>
                <w:rPr>
                  <w:rFonts w:ascii="Cambria Math" w:eastAsia="Cambria Math" w:hAnsi="Cambria Math" w:cs="Cambria Math"/>
                </w:rPr>
                <m:t>aligned</m:t>
              </m:r>
            </m:sub>
          </m:sSub>
          <m:r>
            <w:rPr>
              <w:rFonts w:ascii="Cambria Math" w:eastAsia="Cambria Math" w:hAnsi="Cambria Math" w:cs="Cambria Math"/>
            </w:rPr>
            <m:t>=</m:t>
          </m:r>
          <m:sSub>
            <m:sSubPr>
              <m:ctrlPr>
                <w:rPr>
                  <w:rFonts w:ascii="Cambria Math" w:hAnsi="Cambria Math"/>
                </w:rPr>
              </m:ctrlPr>
            </m:sSubPr>
            <m:e>
              <m:r>
                <m:rPr>
                  <m:nor/>
                </m:rPr>
                <w:rPr>
                  <w:rFonts w:ascii="Cambria Math" w:eastAsia="Cambria Math" w:hAnsi="Cambria Math" w:cs="Cambria Math"/>
                </w:rPr>
                <m:t>Date</m:t>
              </m:r>
            </m:e>
            <m:sub>
              <m:r>
                <m:rPr>
                  <m:nor/>
                </m:rPr>
                <w:rPr>
                  <w:rFonts w:ascii="Cambria Math" w:eastAsia="Cambria Math" w:hAnsi="Cambria Math" w:cs="Cambria Math"/>
                </w:rPr>
                <m:t>CFTC Tuesday</m:t>
              </m:r>
            </m:sub>
          </m:sSub>
          <m:r>
            <w:rPr>
              <w:rFonts w:ascii="Cambria Math" w:eastAsia="Cambria Math" w:hAnsi="Cambria Math" w:cs="Cambria Math"/>
            </w:rPr>
            <m:t>+3</m:t>
          </m:r>
          <m:r>
            <m:rPr>
              <m:nor/>
            </m:rPr>
            <w:rPr>
              <w:rFonts w:ascii="Cambria Math" w:eastAsia="Cambria Math" w:hAnsi="Cambria Math" w:cs="Cambria Math"/>
            </w:rPr>
            <m:t> days</m:t>
          </m:r>
        </m:oMath>
      </m:oMathPara>
    </w:p>
    <w:p w14:paraId="3B899289" w14:textId="77777777" w:rsidR="00031292" w:rsidRDefault="00000000">
      <w:pPr>
        <w:spacing w:after="80"/>
      </w:pPr>
      <w:r>
        <w:t xml:space="preserve">This re-indexes the </w:t>
      </w:r>
      <w:r>
        <w:rPr>
          <w:rFonts w:ascii="Consolas" w:hAnsi="Consolas"/>
          <w:sz w:val="19"/>
        </w:rPr>
        <w:t>COT</w:t>
      </w:r>
      <w:r>
        <w:t xml:space="preserve"> report to Friday, aligning the data release with the actual public market availability.</w:t>
      </w:r>
    </w:p>
    <w:p w14:paraId="27C76D8F" w14:textId="77777777" w:rsidR="00031292" w:rsidRDefault="00000000">
      <w:pPr>
        <w:spacing w:before="240"/>
      </w:pPr>
      <w:r>
        <w:rPr>
          <w:b/>
          <w:color w:val="4A5568"/>
          <w:sz w:val="23"/>
        </w:rPr>
        <w:t>C. Strict Forward-Filling and Interpolation Ban</w:t>
      </w:r>
    </w:p>
    <w:p w14:paraId="28C2CDFC" w14:textId="77777777" w:rsidR="00031292" w:rsidRDefault="00000000">
      <w:pPr>
        <w:spacing w:after="80"/>
      </w:pPr>
      <w:r>
        <w:t xml:space="preserve">Macroeconomic data is reported monthly or weekly, whereas market prices are daily. To merge these mixed-frequency datasets, the system forward-fills data: Friday's </w:t>
      </w:r>
      <w:r>
        <w:rPr>
          <w:rFonts w:ascii="Consolas" w:hAnsi="Consolas"/>
          <w:sz w:val="19"/>
        </w:rPr>
        <w:t>COT</w:t>
      </w:r>
      <w:r>
        <w:t xml:space="preserve"> value is propagated forward through Saturday, Sunday, and the next week (</w:t>
      </w:r>
      <w:r>
        <w:rPr>
          <w:rFonts w:ascii="Consolas" w:hAnsi="Consolas"/>
          <w:sz w:val="19"/>
        </w:rPr>
        <w:t>ffill()</w:t>
      </w:r>
      <w:r>
        <w:t xml:space="preserve">) until a new release is detected. The pipeline strictly prohibits linear interpolation. Interpolating between a Tuesday </w:t>
      </w:r>
      <w:r>
        <w:rPr>
          <w:rFonts w:ascii="Consolas" w:hAnsi="Consolas"/>
          <w:sz w:val="19"/>
        </w:rPr>
        <w:t>COT</w:t>
      </w:r>
      <w:r>
        <w:t xml:space="preserve"> report and the next Tuesday </w:t>
      </w:r>
      <w:r>
        <w:rPr>
          <w:rFonts w:ascii="Consolas" w:hAnsi="Consolas"/>
          <w:sz w:val="19"/>
        </w:rPr>
        <w:t>COT</w:t>
      </w:r>
      <w:r>
        <w:t xml:space="preserve"> report would utilize future data points to calculate the values for Wednesday through Monday, introducing severe look-ahead leakage.</w:t>
      </w:r>
    </w:p>
    <w:p w14:paraId="5464F784" w14:textId="77777777" w:rsidR="00031292" w:rsidRDefault="00000000">
      <w:r>
        <w:br w:type="page"/>
      </w:r>
    </w:p>
    <w:p w14:paraId="40785AEB" w14:textId="77777777" w:rsidR="00031292" w:rsidRDefault="00000000">
      <w:pPr>
        <w:spacing w:before="400" w:after="240"/>
      </w:pPr>
      <w:r>
        <w:rPr>
          <w:b/>
          <w:color w:val="4A5568"/>
          <w:sz w:val="20"/>
        </w:rPr>
        <w:lastRenderedPageBreak/>
        <w:t>──────  PART 3 – MACROECONOMIC REGIMES &amp; QUANTITATIVE FEATURE ENGINEERING  ──────</w:t>
      </w:r>
    </w:p>
    <w:p w14:paraId="6444CCA6" w14:textId="77777777" w:rsidR="00031292" w:rsidRDefault="00000000">
      <w:pPr>
        <w:spacing w:before="440"/>
      </w:pPr>
      <w:r>
        <w:rPr>
          <w:b/>
          <w:color w:val="1A365D"/>
          <w:sz w:val="32"/>
        </w:rPr>
        <w:t>MARKET INTELLIGENCE SYSTEM: COMPREHENSIVE ARCHITECTURE &amp; RESEARCH WHITEPAPER</w:t>
      </w:r>
    </w:p>
    <w:p w14:paraId="3E6BEFFF" w14:textId="77777777" w:rsidR="00031292" w:rsidRDefault="00000000">
      <w:pPr>
        <w:spacing w:before="320"/>
      </w:pPr>
      <w:r>
        <w:rPr>
          <w:b/>
          <w:color w:val="2C5282"/>
          <w:sz w:val="26"/>
        </w:rPr>
        <w:t>PART 3: MACROECONOMIC REGIMES &amp; QUANTITATIVE FEATURE ENGINEERING</w:t>
      </w:r>
    </w:p>
    <w:p w14:paraId="4DE2CE7F" w14:textId="77777777" w:rsidR="00031292" w:rsidRDefault="00000000">
      <w:pPr>
        <w:spacing w:before="320"/>
      </w:pPr>
      <w:r>
        <w:rPr>
          <w:b/>
          <w:color w:val="2C5282"/>
          <w:sz w:val="26"/>
        </w:rPr>
        <w:t>1. GLOBAL LIQUIDITY AND YIELD REGIMES</w:t>
      </w:r>
    </w:p>
    <w:p w14:paraId="1118B535" w14:textId="77777777" w:rsidR="00031292" w:rsidRDefault="00000000">
      <w:pPr>
        <w:spacing w:after="80"/>
      </w:pPr>
      <w:r>
        <w:t xml:space="preserve">The Market Intelligence Terminal views asset price movements through the lens of </w:t>
      </w:r>
      <w:r>
        <w:rPr>
          <w:b/>
        </w:rPr>
        <w:t>macro-liquidity</w:t>
      </w:r>
      <w:r>
        <w:t xml:space="preserve"> and </w:t>
      </w:r>
      <w:r>
        <w:rPr>
          <w:b/>
        </w:rPr>
        <w:t>monetary policy transmission</w:t>
      </w:r>
      <w:r>
        <w:t>. Rather than modeling price series as isolated random walks, the system builds features based on interest rate spreads, credit stress barometers, and central bank balance sheet aggregates:</w:t>
      </w:r>
    </w:p>
    <w:p w14:paraId="7BEC6846" w14:textId="77777777" w:rsidR="00031292" w:rsidRDefault="00000000">
      <w:pPr>
        <w:spacing w:before="240"/>
      </w:pPr>
      <w:r>
        <w:rPr>
          <w:b/>
          <w:color w:val="4A5568"/>
          <w:sz w:val="23"/>
        </w:rPr>
        <w:t>A. The 10Y-2Y Treasury Yield Curve Spread</w:t>
      </w:r>
    </w:p>
    <w:p w14:paraId="37694436" w14:textId="77777777" w:rsidR="00031292" w:rsidRDefault="00000000">
      <w:pPr>
        <w:spacing w:after="80"/>
      </w:pPr>
      <w:r>
        <w:t>Computed daily as:</w:t>
      </w:r>
    </w:p>
    <w:p w14:paraId="5C6A8BFB" w14:textId="77777777" w:rsidR="00031292" w:rsidRDefault="00000000">
      <w:pPr>
        <w:spacing w:before="200" w:after="200"/>
        <w:jc w:val="center"/>
      </w:pPr>
      <m:oMathPara>
        <m:oMath>
          <m:r>
            <m:rPr>
              <m:nor/>
            </m:rPr>
            <w:rPr>
              <w:rFonts w:ascii="Cambria Math" w:eastAsia="Cambria Math" w:hAnsi="Cambria Math" w:cs="Cambria Math"/>
            </w:rPr>
            <m:t>YieldCurve 10Y2Y</m:t>
          </m:r>
          <m:r>
            <w:rPr>
              <w:rFonts w:ascii="Cambria Math" w:eastAsia="Cambria Math" w:hAnsi="Cambria Math" w:cs="Cambria Math"/>
            </w:rPr>
            <m:t>=</m:t>
          </m:r>
          <m:sSub>
            <m:sSubPr>
              <m:ctrlPr>
                <w:rPr>
                  <w:rFonts w:ascii="Cambria Math" w:hAnsi="Cambria Math"/>
                </w:rPr>
              </m:ctrlPr>
            </m:sSubPr>
            <m:e>
              <m:r>
                <m:rPr>
                  <m:nor/>
                </m:rPr>
                <w:rPr>
                  <w:rFonts w:ascii="Cambria Math" w:eastAsia="Cambria Math" w:hAnsi="Cambria Math" w:cs="Cambria Math"/>
                </w:rPr>
                <m:t>Yield</m:t>
              </m:r>
            </m:e>
            <m:sub>
              <m:r>
                <w:rPr>
                  <w:rFonts w:ascii="Cambria Math" w:eastAsia="Cambria Math" w:hAnsi="Cambria Math" w:cs="Cambria Math"/>
                </w:rPr>
                <m:t>10Y</m:t>
              </m:r>
            </m:sub>
          </m:sSub>
          <m:r>
            <w:rPr>
              <w:rFonts w:ascii="Cambria Math" w:eastAsia="Cambria Math" w:hAnsi="Cambria Math" w:cs="Cambria Math"/>
            </w:rPr>
            <m:t>-</m:t>
          </m:r>
          <m:sSub>
            <m:sSubPr>
              <m:ctrlPr>
                <w:rPr>
                  <w:rFonts w:ascii="Cambria Math" w:hAnsi="Cambria Math"/>
                </w:rPr>
              </m:ctrlPr>
            </m:sSubPr>
            <m:e>
              <m:r>
                <m:rPr>
                  <m:nor/>
                </m:rPr>
                <w:rPr>
                  <w:rFonts w:ascii="Cambria Math" w:eastAsia="Cambria Math" w:hAnsi="Cambria Math" w:cs="Cambria Math"/>
                </w:rPr>
                <m:t>Yield</m:t>
              </m:r>
            </m:e>
            <m:sub>
              <m:r>
                <w:rPr>
                  <w:rFonts w:ascii="Cambria Math" w:eastAsia="Cambria Math" w:hAnsi="Cambria Math" w:cs="Cambria Math"/>
                </w:rPr>
                <m:t>2Y</m:t>
              </m:r>
            </m:sub>
          </m:sSub>
        </m:oMath>
      </m:oMathPara>
    </w:p>
    <w:p w14:paraId="7E88F725" w14:textId="77777777" w:rsidR="00031292" w:rsidRDefault="00000000">
      <w:pPr>
        <w:spacing w:after="80"/>
      </w:pPr>
      <w:r>
        <w:t>A flattening curve indicates tightening monetary policy and slowing growth expectations. A negative spread (</w:t>
      </w:r>
      <m:oMath>
        <m:r>
          <m:rPr>
            <m:nor/>
          </m:rPr>
          <w:rPr>
            <w:rFonts w:ascii="Cambria Math" w:eastAsia="Cambria Math" w:hAnsi="Cambria Math" w:cs="Cambria Math"/>
          </w:rPr>
          <m:t>YieldCurve 10Y2Y</m:t>
        </m:r>
        <m:r>
          <w:rPr>
            <w:rFonts w:ascii="Cambria Math" w:eastAsia="Cambria Math" w:hAnsi="Cambria Math" w:cs="Cambria Math"/>
          </w:rPr>
          <m:t>&lt;0</m:t>
        </m:r>
      </m:oMath>
      <w:r>
        <w:t xml:space="preserve">) represents a </w:t>
      </w:r>
      <w:r>
        <w:rPr>
          <w:b/>
        </w:rPr>
        <w:t>yield curve inversion</w:t>
      </w:r>
      <w:r>
        <w:t>, which has historically preceded every US recession of the past fifty years by six to eighteen months. During inversions, banks face squeezed net interest margins (since they borrow short and lend long), causing a contraction in credit creation. Conversely, post-inversion steepening often marks the onset of the actual economic contraction.</w:t>
      </w:r>
    </w:p>
    <w:p w14:paraId="677E33E9" w14:textId="77777777" w:rsidR="00031292" w:rsidRDefault="00000000">
      <w:pPr>
        <w:spacing w:before="240"/>
      </w:pPr>
      <w:r>
        <w:rPr>
          <w:b/>
          <w:color w:val="4A5568"/>
          <w:sz w:val="23"/>
        </w:rPr>
        <w:t>B. 5-Year, 5-Year Forward Breakeven Inflation Rate (T5YIFR)</w:t>
      </w:r>
    </w:p>
    <w:p w14:paraId="6F9A5A04" w14:textId="77777777" w:rsidR="00031292" w:rsidRDefault="00000000">
      <w:pPr>
        <w:spacing w:after="80"/>
      </w:pPr>
      <w:r>
        <w:t xml:space="preserve">This measures market-implied long-run inflation expectations, reflecting where inflation is expected to be for the five-year period starting five years from today. It acts as a proxy for the Federal Reserve's long-term credibility. Sustained shifts above </w:t>
      </w:r>
      <m:oMath>
        <m:r>
          <w:rPr>
            <w:rFonts w:ascii="Cambria Math" w:eastAsia="Cambria Math" w:hAnsi="Cambria Math" w:cs="Cambria Math"/>
          </w:rPr>
          <m:t>2.5%</m:t>
        </m:r>
      </m:oMath>
      <w:r>
        <w:t xml:space="preserve"> signal that market participants are pricing in structural currency depreciation, which drives capital into hard assets such as Gold and Bitcoin.</w:t>
      </w:r>
    </w:p>
    <w:p w14:paraId="0F7C4CA2" w14:textId="77777777" w:rsidR="00031292" w:rsidRDefault="00000000">
      <w:pPr>
        <w:spacing w:before="240"/>
      </w:pPr>
      <w:r>
        <w:rPr>
          <w:b/>
          <w:color w:val="4A5568"/>
          <w:sz w:val="23"/>
        </w:rPr>
        <w:t>C. ICE BofA High-Yield Option-Adjusted Spread (OAS)</w:t>
      </w:r>
    </w:p>
    <w:p w14:paraId="2E949C06" w14:textId="77777777" w:rsidR="00031292" w:rsidRDefault="00000000">
      <w:pPr>
        <w:spacing w:after="80"/>
      </w:pPr>
      <w:r>
        <w:t xml:space="preserve">Sourced via FRED series BAMLH0A0HYM2EY, this </w:t>
      </w:r>
      <w:r>
        <w:rPr>
          <w:b/>
        </w:rPr>
        <w:t>credit spread</w:t>
      </w:r>
      <w:r>
        <w:t xml:space="preserve"> measures the yield premium demanded by bond investors to hold speculative-grade corporate debt over risk-free Treasuries. A widening spread (e.g., exceeding </w:t>
      </w:r>
      <m:oMath>
        <m:r>
          <w:rPr>
            <w:rFonts w:ascii="Cambria Math" w:eastAsia="Cambria Math" w:hAnsi="Cambria Math" w:cs="Cambria Math"/>
          </w:rPr>
          <m:t>500</m:t>
        </m:r>
      </m:oMath>
      <w:r>
        <w:t xml:space="preserve"> basis points) indicates growing corporate default risk, tightening bank lending standards, and systemic credit contraction. This serves as a leading indicator of risk-off regimes, causing multiples to compress in equity markets.</w:t>
      </w:r>
    </w:p>
    <w:p w14:paraId="16325C5D" w14:textId="77777777" w:rsidR="00031292" w:rsidRDefault="00000000">
      <w:pPr>
        <w:spacing w:before="240"/>
      </w:pPr>
      <w:r>
        <w:rPr>
          <w:b/>
          <w:color w:val="4A5568"/>
          <w:sz w:val="23"/>
        </w:rPr>
        <w:t>D. M2 Money Supply Derivatives</w:t>
      </w:r>
    </w:p>
    <w:p w14:paraId="250E0885" w14:textId="77777777" w:rsidR="00031292" w:rsidRDefault="00000000">
      <w:pPr>
        <w:spacing w:after="80"/>
      </w:pPr>
      <w:r>
        <w:lastRenderedPageBreak/>
        <w:t xml:space="preserve">The system evaluates the first and second derivatives of the </w:t>
      </w:r>
      <w:r>
        <w:rPr>
          <w:b/>
        </w:rPr>
        <w:t>M2 Money Supply</w:t>
      </w:r>
      <w:r>
        <w:t xml:space="preserve"> (M2SL), representing the rate of global currency debasement. Asset prices are modeled as:</w:t>
      </w:r>
    </w:p>
    <w:p w14:paraId="26699AA7" w14:textId="77777777" w:rsidR="00031292" w:rsidRDefault="00000000">
      <w:pPr>
        <w:spacing w:before="200" w:after="200"/>
        <w:jc w:val="center"/>
      </w:pPr>
      <m:oMathPara>
        <m:oMath>
          <m:r>
            <m:rPr>
              <m:nor/>
            </m:rPr>
            <w:rPr>
              <w:rFonts w:ascii="Cambria Math" w:eastAsia="Cambria Math" w:hAnsi="Cambria Math" w:cs="Cambria Math"/>
            </w:rPr>
            <m:t>Nominal Price</m:t>
          </m:r>
          <m:r>
            <w:rPr>
              <w:rFonts w:ascii="Cambria Math" w:eastAsia="Cambria Math" w:hAnsi="Cambria Math" w:cs="Cambria Math"/>
            </w:rPr>
            <m:t>=</m:t>
          </m:r>
          <m:r>
            <m:rPr>
              <m:nor/>
            </m:rPr>
            <w:rPr>
              <w:rFonts w:ascii="Cambria Math" w:eastAsia="Cambria Math" w:hAnsi="Cambria Math" w:cs="Cambria Math"/>
            </w:rPr>
            <m:t>Real Value</m:t>
          </m:r>
          <m:r>
            <w:rPr>
              <w:rFonts w:ascii="Cambria Math" w:eastAsia="Cambria Math" w:hAnsi="Cambria Math" w:cs="Cambria Math"/>
            </w:rPr>
            <m:t>×</m:t>
          </m:r>
          <m:r>
            <m:rPr>
              <m:nor/>
            </m:rPr>
            <w:rPr>
              <w:rFonts w:ascii="Cambria Math" w:eastAsia="Cambria Math" w:hAnsi="Cambria Math" w:cs="Cambria Math"/>
            </w:rPr>
            <m:t>Global M2 Liquidity</m:t>
          </m:r>
        </m:oMath>
      </m:oMathPara>
    </w:p>
    <w:p w14:paraId="3C5EC552" w14:textId="77777777" w:rsidR="00031292" w:rsidRDefault="00000000">
      <w:pPr>
        <w:spacing w:after="80"/>
      </w:pPr>
      <w:r>
        <w:t>M2 YoY growth rate determines three structural regimes:</w:t>
      </w:r>
    </w:p>
    <w:p w14:paraId="1AC4ADAA" w14:textId="77777777" w:rsidR="00031292" w:rsidRDefault="00000000">
      <w:pPr>
        <w:spacing w:after="60"/>
        <w:ind w:left="432"/>
      </w:pPr>
      <w:r>
        <w:rPr>
          <w:b/>
        </w:rPr>
        <w:t>Expansionary</w:t>
      </w:r>
      <w:r>
        <w:t xml:space="preserve"> (</w:t>
      </w:r>
      <m:oMath>
        <m:r>
          <w:rPr>
            <w:rFonts w:ascii="Cambria Math" w:eastAsia="Cambria Math" w:hAnsi="Cambria Math" w:cs="Cambria Math"/>
          </w:rPr>
          <m:t>M2</m:t>
        </m:r>
        <m:r>
          <m:rPr>
            <m:nor/>
          </m:rPr>
          <w:rPr>
            <w:rFonts w:ascii="Cambria Math" w:eastAsia="Cambria Math" w:hAnsi="Cambria Math" w:cs="Cambria Math"/>
          </w:rPr>
          <m:t> YoY</m:t>
        </m:r>
        <m:r>
          <w:rPr>
            <w:rFonts w:ascii="Cambria Math" w:eastAsia="Cambria Math" w:hAnsi="Cambria Math" w:cs="Cambria Math"/>
          </w:rPr>
          <m:t>&gt;5%</m:t>
        </m:r>
      </m:oMath>
      <w:r>
        <w:t>): High global liquidity, fueling risk-on conditions where high-beta assets (Bitcoin, Tech Equities) and inflation hedges (Gold) outperform.</w:t>
      </w:r>
    </w:p>
    <w:p w14:paraId="06470231" w14:textId="77777777" w:rsidR="00031292" w:rsidRDefault="00000000">
      <w:pPr>
        <w:spacing w:after="60"/>
        <w:ind w:left="432"/>
      </w:pPr>
      <w:r>
        <w:rPr>
          <w:b/>
        </w:rPr>
        <w:t>Neutral</w:t>
      </w:r>
      <w:r>
        <w:t xml:space="preserve"> (</w:t>
      </w:r>
      <m:oMath>
        <m:r>
          <w:rPr>
            <w:rFonts w:ascii="Cambria Math" w:eastAsia="Cambria Math" w:hAnsi="Cambria Math" w:cs="Cambria Math"/>
          </w:rPr>
          <m:t>2%≤M2</m:t>
        </m:r>
        <m:r>
          <m:rPr>
            <m:nor/>
          </m:rPr>
          <w:rPr>
            <w:rFonts w:ascii="Cambria Math" w:eastAsia="Cambria Math" w:hAnsi="Cambria Math" w:cs="Cambria Math"/>
          </w:rPr>
          <m:t> YoY</m:t>
        </m:r>
        <m:r>
          <w:rPr>
            <w:rFonts w:ascii="Cambria Math" w:eastAsia="Cambria Math" w:hAnsi="Cambria Math" w:cs="Cambria Math"/>
          </w:rPr>
          <m:t>≤5%</m:t>
        </m:r>
      </m:oMath>
      <w:r>
        <w:t>): Stable liquidity conditions, price action is driven by corporate earnings and micro-market structures.</w:t>
      </w:r>
    </w:p>
    <w:p w14:paraId="6D2BC473" w14:textId="77777777" w:rsidR="00031292" w:rsidRDefault="00000000">
      <w:pPr>
        <w:spacing w:after="60"/>
        <w:ind w:left="432"/>
      </w:pPr>
      <w:r>
        <w:rPr>
          <w:b/>
        </w:rPr>
        <w:t>Contractionary</w:t>
      </w:r>
      <w:r>
        <w:t xml:space="preserve"> (</w:t>
      </w:r>
      <m:oMath>
        <m:r>
          <w:rPr>
            <w:rFonts w:ascii="Cambria Math" w:eastAsia="Cambria Math" w:hAnsi="Cambria Math" w:cs="Cambria Math"/>
          </w:rPr>
          <m:t>M2</m:t>
        </m:r>
        <m:r>
          <m:rPr>
            <m:nor/>
          </m:rPr>
          <w:rPr>
            <w:rFonts w:ascii="Cambria Math" w:eastAsia="Cambria Math" w:hAnsi="Cambria Math" w:cs="Cambria Math"/>
          </w:rPr>
          <m:t> YoY</m:t>
        </m:r>
        <m:r>
          <w:rPr>
            <w:rFonts w:ascii="Cambria Math" w:eastAsia="Cambria Math" w:hAnsi="Cambria Math" w:cs="Cambria Math"/>
          </w:rPr>
          <m:t>&lt;2%</m:t>
        </m:r>
      </m:oMath>
      <w:r>
        <w:t>): Liquidity drain, leading to capital repatriation and structural bear markets in risk assets.</w:t>
      </w:r>
    </w:p>
    <w:p w14:paraId="431C67E3" w14:textId="77777777" w:rsidR="00031292" w:rsidRDefault="00000000">
      <w:pPr>
        <w:spacing w:before="320"/>
      </w:pPr>
      <w:r>
        <w:rPr>
          <w:b/>
          <w:color w:val="2C5282"/>
          <w:sz w:val="26"/>
        </w:rPr>
        <w:t>2. INSTITUTIONAL POSITIONING (3-YEAR ROLLING COT INDEX)</w:t>
      </w:r>
    </w:p>
    <w:p w14:paraId="33CA4FE6" w14:textId="77777777" w:rsidR="00031292" w:rsidRDefault="00000000">
      <w:pPr>
        <w:spacing w:after="80"/>
      </w:pPr>
      <w:r>
        <w:t xml:space="preserve">Raw </w:t>
      </w:r>
      <w:r>
        <w:rPr>
          <w:b/>
        </w:rPr>
        <w:t>Commitment of Traders (COT)</w:t>
      </w:r>
      <w:r>
        <w:t xml:space="preserve"> net positioning (Commercial Long minus Commercial Short contracts) is non-stationary and exhibits a significant multi-year growth bias due to the structural expansion of futures open interest. Ingesting raw Net Commercial positioning into a machine learning model introduces scale drift, as a net long position of </w:t>
      </w:r>
      <m:oMath>
        <m:r>
          <w:rPr>
            <w:rFonts w:ascii="Cambria Math" w:eastAsia="Cambria Math" w:hAnsi="Cambria Math" w:cs="Cambria Math"/>
          </w:rPr>
          <m:t>100,000</m:t>
        </m:r>
      </m:oMath>
      <w:r>
        <w:t xml:space="preserve"> contracts in 2010 carries a vastly different meaning than the same position in 2026.</w:t>
      </w:r>
    </w:p>
    <w:p w14:paraId="7367FBA0" w14:textId="77777777" w:rsidR="00031292" w:rsidRDefault="00000000">
      <w:pPr>
        <w:spacing w:after="80"/>
      </w:pPr>
      <w:r>
        <w:t xml:space="preserve">To extract a stationary signal, the system calculates a Rolling Min-Max Scaled </w:t>
      </w:r>
      <w:r>
        <w:rPr>
          <w:b/>
        </w:rPr>
        <w:t>COT Index</w:t>
      </w:r>
      <w:r>
        <w:t xml:space="preserve"> over a 756-trading-day window (equivalent to approximately three calendar years of trading data):</w:t>
      </w:r>
    </w:p>
    <w:p w14:paraId="772D177E" w14:textId="77777777" w:rsidR="00031292" w:rsidRDefault="00000000">
      <w:pPr>
        <w:spacing w:before="200" w:after="200"/>
        <w:jc w:val="center"/>
      </w:pPr>
      <m:oMathPara>
        <m:oMath>
          <m:r>
            <m:rPr>
              <m:nor/>
            </m:rPr>
            <w:rPr>
              <w:rFonts w:ascii="Cambria Math" w:eastAsia="Cambria Math" w:hAnsi="Cambria Math" w:cs="Cambria Math"/>
            </w:rPr>
            <m:t>COT Index t</m:t>
          </m:r>
          <m:r>
            <w:rPr>
              <w:rFonts w:ascii="Cambria Math" w:eastAsia="Cambria Math" w:hAnsi="Cambria Math" w:cs="Cambria Math"/>
            </w:rPr>
            <m:t>=</m:t>
          </m:r>
          <m:f>
            <m:fPr>
              <m:ctrlPr>
                <w:rPr>
                  <w:rFonts w:ascii="Cambria Math" w:hAnsi="Cambria Math"/>
                </w:rPr>
              </m:ctrlPr>
            </m:fPr>
            <m:num>
              <m:r>
                <m:rPr>
                  <m:nor/>
                </m:rPr>
                <w:rPr>
                  <w:rFonts w:ascii="Cambria Math" w:eastAsia="Cambria Math" w:hAnsi="Cambria Math" w:cs="Cambria Math"/>
                </w:rPr>
                <m:t>Net Commercial t</m:t>
              </m:r>
              <m:r>
                <w:rPr>
                  <w:rFonts w:ascii="Cambria Math" w:eastAsia="Cambria Math" w:hAnsi="Cambria Math" w:cs="Cambria Math"/>
                </w:rPr>
                <m:t>-min(</m:t>
              </m:r>
              <m:sSub>
                <m:sSubPr>
                  <m:ctrlPr>
                    <w:rPr>
                      <w:rFonts w:ascii="Cambria Math" w:hAnsi="Cambria Math"/>
                    </w:rPr>
                  </m:ctrlPr>
                </m:sSubPr>
                <m:e>
                  <m:r>
                    <m:rPr>
                      <m:nor/>
                    </m:rPr>
                    <w:rPr>
                      <w:rFonts w:ascii="Cambria Math" w:eastAsia="Cambria Math" w:hAnsi="Cambria Math" w:cs="Cambria Math"/>
                    </w:rPr>
                    <m:t>Net Commercial</m:t>
                  </m:r>
                </m:e>
                <m:sub>
                  <m:r>
                    <w:rPr>
                      <w:rFonts w:ascii="Cambria Math" w:eastAsia="Cambria Math" w:hAnsi="Cambria Math" w:cs="Cambria Math"/>
                    </w:rPr>
                    <m:t>t-756:t</m:t>
                  </m:r>
                </m:sub>
              </m:sSub>
              <m:r>
                <w:rPr>
                  <w:rFonts w:ascii="Cambria Math" w:eastAsia="Cambria Math" w:hAnsi="Cambria Math" w:cs="Cambria Math"/>
                </w:rPr>
                <m:t>)</m:t>
              </m:r>
            </m:num>
            <m:den>
              <m:r>
                <w:rPr>
                  <w:rFonts w:ascii="Cambria Math" w:eastAsia="Cambria Math" w:hAnsi="Cambria Math" w:cs="Cambria Math"/>
                </w:rPr>
                <m:t>max(</m:t>
              </m:r>
              <m:sSub>
                <m:sSubPr>
                  <m:ctrlPr>
                    <w:rPr>
                      <w:rFonts w:ascii="Cambria Math" w:hAnsi="Cambria Math"/>
                    </w:rPr>
                  </m:ctrlPr>
                </m:sSubPr>
                <m:e>
                  <m:r>
                    <m:rPr>
                      <m:nor/>
                    </m:rPr>
                    <w:rPr>
                      <w:rFonts w:ascii="Cambria Math" w:eastAsia="Cambria Math" w:hAnsi="Cambria Math" w:cs="Cambria Math"/>
                    </w:rPr>
                    <m:t>Net Commercial</m:t>
                  </m:r>
                </m:e>
                <m:sub>
                  <m:r>
                    <w:rPr>
                      <w:rFonts w:ascii="Cambria Math" w:eastAsia="Cambria Math" w:hAnsi="Cambria Math" w:cs="Cambria Math"/>
                    </w:rPr>
                    <m:t>t-756:t</m:t>
                  </m:r>
                </m:sub>
              </m:sSub>
              <m:r>
                <w:rPr>
                  <w:rFonts w:ascii="Cambria Math" w:eastAsia="Cambria Math" w:hAnsi="Cambria Math" w:cs="Cambria Math"/>
                </w:rPr>
                <m:t>)-min(</m:t>
              </m:r>
              <m:sSub>
                <m:sSubPr>
                  <m:ctrlPr>
                    <w:rPr>
                      <w:rFonts w:ascii="Cambria Math" w:hAnsi="Cambria Math"/>
                    </w:rPr>
                  </m:ctrlPr>
                </m:sSubPr>
                <m:e>
                  <m:r>
                    <m:rPr>
                      <m:nor/>
                    </m:rPr>
                    <w:rPr>
                      <w:rFonts w:ascii="Cambria Math" w:eastAsia="Cambria Math" w:hAnsi="Cambria Math" w:cs="Cambria Math"/>
                    </w:rPr>
                    <m:t>Net Commercial</m:t>
                  </m:r>
                </m:e>
                <m:sub>
                  <m:r>
                    <w:rPr>
                      <w:rFonts w:ascii="Cambria Math" w:eastAsia="Cambria Math" w:hAnsi="Cambria Math" w:cs="Cambria Math"/>
                    </w:rPr>
                    <m:t>t-756:t</m:t>
                  </m:r>
                </m:sub>
              </m:sSub>
              <m:r>
                <w:rPr>
                  <w:rFonts w:ascii="Cambria Math" w:eastAsia="Cambria Math" w:hAnsi="Cambria Math" w:cs="Cambria Math"/>
                </w:rPr>
                <m:t>)+ϵ</m:t>
              </m:r>
            </m:den>
          </m:f>
          <m:r>
            <w:rPr>
              <w:rFonts w:ascii="Cambria Math" w:eastAsia="Cambria Math" w:hAnsi="Cambria Math" w:cs="Cambria Math"/>
            </w:rPr>
            <m:t>×100</m:t>
          </m:r>
        </m:oMath>
      </m:oMathPara>
    </w:p>
    <w:p w14:paraId="17EB2C0B" w14:textId="77777777" w:rsidR="00031292" w:rsidRDefault="00000000">
      <w:pPr>
        <w:spacing w:after="80"/>
      </w:pPr>
      <w:r>
        <w:t xml:space="preserve">Where </w:t>
      </w:r>
      <m:oMath>
        <m:r>
          <m:rPr>
            <m:nor/>
          </m:rPr>
          <w:rPr>
            <w:rFonts w:ascii="Cambria Math" w:eastAsia="Cambria Math" w:hAnsi="Cambria Math" w:cs="Cambria Math"/>
          </w:rPr>
          <m:t>Net Commercial t</m:t>
        </m:r>
      </m:oMath>
      <w:r>
        <w:t xml:space="preserve"> is defined as:</w:t>
      </w:r>
    </w:p>
    <w:p w14:paraId="340571CC" w14:textId="77777777" w:rsidR="00031292" w:rsidRDefault="00000000">
      <w:pPr>
        <w:spacing w:before="200" w:after="200"/>
        <w:jc w:val="center"/>
      </w:pPr>
      <m:oMathPara>
        <m:oMath>
          <m:r>
            <m:rPr>
              <m:nor/>
            </m:rPr>
            <w:rPr>
              <w:rFonts w:ascii="Cambria Math" w:eastAsia="Cambria Math" w:hAnsi="Cambria Math" w:cs="Cambria Math"/>
            </w:rPr>
            <m:t>Net Commercial t</m:t>
          </m:r>
          <m:r>
            <w:rPr>
              <w:rFonts w:ascii="Cambria Math" w:eastAsia="Cambria Math" w:hAnsi="Cambria Math" w:cs="Cambria Math"/>
            </w:rPr>
            <m:t>=</m:t>
          </m:r>
          <m:r>
            <m:rPr>
              <m:nor/>
            </m:rPr>
            <w:rPr>
              <w:rFonts w:ascii="Cambria Math" w:eastAsia="Cambria Math" w:hAnsi="Cambria Math" w:cs="Cambria Math"/>
            </w:rPr>
            <m:t>Commercial Long t</m:t>
          </m:r>
          <m:r>
            <w:rPr>
              <w:rFonts w:ascii="Cambria Math" w:eastAsia="Cambria Math" w:hAnsi="Cambria Math" w:cs="Cambria Math"/>
            </w:rPr>
            <m:t>-</m:t>
          </m:r>
          <m:r>
            <m:rPr>
              <m:nor/>
            </m:rPr>
            <w:rPr>
              <w:rFonts w:ascii="Cambria Math" w:eastAsia="Cambria Math" w:hAnsi="Cambria Math" w:cs="Cambria Math"/>
            </w:rPr>
            <m:t>Commercial Short t</m:t>
          </m:r>
        </m:oMath>
      </m:oMathPara>
    </w:p>
    <w:p w14:paraId="4FEB63BE" w14:textId="77777777" w:rsidR="00031292" w:rsidRDefault="00000000">
      <w:pPr>
        <w:spacing w:after="80"/>
      </w:pPr>
      <w:r>
        <w:t xml:space="preserve">Commercial traders (hedgers, producers, swap dealers) represent the "Smart Money" in commodities and futures markets. The COT Index normalizes their current positioning relative to their historical behavior over a three-year cycle, bounding the final metric between </w:t>
      </w:r>
      <m:oMath>
        <m:r>
          <w:rPr>
            <w:rFonts w:ascii="Cambria Math" w:eastAsia="Cambria Math" w:hAnsi="Cambria Math" w:cs="Cambria Math"/>
          </w:rPr>
          <m:t>0</m:t>
        </m:r>
      </m:oMath>
      <w:r>
        <w:t xml:space="preserve"> and </w:t>
      </w:r>
      <m:oMath>
        <m:r>
          <w:rPr>
            <w:rFonts w:ascii="Cambria Math" w:eastAsia="Cambria Math" w:hAnsi="Cambria Math" w:cs="Cambria Math"/>
          </w:rPr>
          <m:t>100</m:t>
        </m:r>
      </m:oMath>
      <w:r>
        <w:t xml:space="preserve">. A COT Index near </w:t>
      </w:r>
      <m:oMath>
        <m:r>
          <w:rPr>
            <w:rFonts w:ascii="Cambria Math" w:eastAsia="Cambria Math" w:hAnsi="Cambria Math" w:cs="Cambria Math"/>
          </w:rPr>
          <m:t>100</m:t>
        </m:r>
      </m:oMath>
      <w:r>
        <w:t xml:space="preserve"> indicates extreme institutional accumulation, whereas an index near </w:t>
      </w:r>
      <m:oMath>
        <m:r>
          <w:rPr>
            <w:rFonts w:ascii="Cambria Math" w:eastAsia="Cambria Math" w:hAnsi="Cambria Math" w:cs="Cambria Math"/>
          </w:rPr>
          <m:t>0</m:t>
        </m:r>
      </m:oMath>
      <w:r>
        <w:t xml:space="preserve"> represents extreme institutional distribution.</w:t>
      </w:r>
    </w:p>
    <w:p w14:paraId="145E588D" w14:textId="77777777" w:rsidR="00031292" w:rsidRDefault="00000000">
      <w:pPr>
        <w:spacing w:before="320"/>
      </w:pPr>
      <w:r>
        <w:rPr>
          <w:b/>
          <w:color w:val="2C5282"/>
          <w:sz w:val="26"/>
        </w:rPr>
        <w:t>3. SYNTHETIC DIVERGENCE: SMART MONEY SENTIMENT GAP</w:t>
      </w:r>
    </w:p>
    <w:p w14:paraId="0277DB9D" w14:textId="77777777" w:rsidR="00031292" w:rsidRDefault="00000000">
      <w:pPr>
        <w:spacing w:after="80"/>
      </w:pPr>
      <w:r>
        <w:t xml:space="preserve">One of the most predictive features in the XGBoost model is the synthetic divergence metric, the </w:t>
      </w:r>
      <w:r>
        <w:rPr>
          <w:rFonts w:ascii="Consolas" w:hAnsi="Consolas"/>
          <w:sz w:val="19"/>
        </w:rPr>
        <w:t>Smart_Money_Sentiment_Gap</w:t>
      </w:r>
      <w:r>
        <w:t>. It is mathematically defined as:</w:t>
      </w:r>
    </w:p>
    <w:p w14:paraId="4B30C6F7" w14:textId="77777777" w:rsidR="00031292" w:rsidRDefault="00000000">
      <w:pPr>
        <w:spacing w:before="200" w:after="200"/>
        <w:jc w:val="center"/>
      </w:pPr>
      <m:oMathPara>
        <m:oMath>
          <m:r>
            <m:rPr>
              <m:nor/>
            </m:rPr>
            <w:rPr>
              <w:rFonts w:ascii="Cambria Math" w:eastAsia="Cambria Math" w:hAnsi="Cambria Math" w:cs="Cambria Math"/>
            </w:rPr>
            <m:t>Smart Money Sentiment Gap t</m:t>
          </m:r>
          <m:r>
            <w:rPr>
              <w:rFonts w:ascii="Cambria Math" w:eastAsia="Cambria Math" w:hAnsi="Cambria Math" w:cs="Cambria Math"/>
            </w:rPr>
            <m:t>=</m:t>
          </m:r>
          <m:r>
            <m:rPr>
              <m:nor/>
            </m:rPr>
            <w:rPr>
              <w:rFonts w:ascii="Cambria Math" w:eastAsia="Cambria Math" w:hAnsi="Cambria Math" w:cs="Cambria Math"/>
            </w:rPr>
            <m:t>Fear Greed Index t</m:t>
          </m:r>
          <m:r>
            <w:rPr>
              <w:rFonts w:ascii="Cambria Math" w:eastAsia="Cambria Math" w:hAnsi="Cambria Math" w:cs="Cambria Math"/>
            </w:rPr>
            <m:t>-</m:t>
          </m:r>
          <m:r>
            <m:rPr>
              <m:nor/>
            </m:rPr>
            <w:rPr>
              <w:rFonts w:ascii="Cambria Math" w:eastAsia="Cambria Math" w:hAnsi="Cambria Math" w:cs="Cambria Math"/>
            </w:rPr>
            <m:t>COT Index t</m:t>
          </m:r>
        </m:oMath>
      </m:oMathPara>
    </w:p>
    <w:p w14:paraId="294DBCAA" w14:textId="77777777" w:rsidR="00031292" w:rsidRDefault="00000000">
      <w:pPr>
        <w:spacing w:after="80"/>
      </w:pPr>
      <w:r>
        <w:t>Where:</w:t>
      </w:r>
    </w:p>
    <w:p w14:paraId="264B8274" w14:textId="77777777" w:rsidR="00031292" w:rsidRDefault="00000000">
      <w:pPr>
        <w:spacing w:after="60"/>
        <w:ind w:left="432"/>
      </w:pPr>
      <w:r>
        <w:rPr>
          <w:b/>
        </w:rPr>
        <w:t>Fear_Greed_Index_t</w:t>
      </w:r>
      <w:r>
        <w:t xml:space="preserve">: A daily retail-dominated sentiment score scaled from </w:t>
      </w:r>
      <m:oMath>
        <m:r>
          <w:rPr>
            <w:rFonts w:ascii="Cambria Math" w:eastAsia="Cambria Math" w:hAnsi="Cambria Math" w:cs="Cambria Math"/>
          </w:rPr>
          <m:t>0</m:t>
        </m:r>
      </m:oMath>
      <w:r>
        <w:t xml:space="preserve"> (extreme fear) to </w:t>
      </w:r>
      <m:oMath>
        <m:r>
          <w:rPr>
            <w:rFonts w:ascii="Cambria Math" w:eastAsia="Cambria Math" w:hAnsi="Cambria Math" w:cs="Cambria Math"/>
          </w:rPr>
          <m:t>100</m:t>
        </m:r>
      </m:oMath>
      <w:r>
        <w:t xml:space="preserve"> (extreme greed).</w:t>
      </w:r>
    </w:p>
    <w:p w14:paraId="39D85490" w14:textId="77777777" w:rsidR="00031292" w:rsidRDefault="00000000">
      <w:pPr>
        <w:spacing w:after="60"/>
        <w:ind w:left="432"/>
      </w:pPr>
      <w:r>
        <w:rPr>
          <w:b/>
        </w:rPr>
        <w:lastRenderedPageBreak/>
        <w:t>COT_Index_t</w:t>
      </w:r>
      <w:r>
        <w:t xml:space="preserve">: The 3-year rolling institutional positioning index scaled from </w:t>
      </w:r>
      <m:oMath>
        <m:r>
          <w:rPr>
            <w:rFonts w:ascii="Cambria Math" w:eastAsia="Cambria Math" w:hAnsi="Cambria Math" w:cs="Cambria Math"/>
          </w:rPr>
          <m:t>0</m:t>
        </m:r>
      </m:oMath>
      <w:r>
        <w:t xml:space="preserve"> to </w:t>
      </w:r>
      <m:oMath>
        <m:r>
          <w:rPr>
            <w:rFonts w:ascii="Cambria Math" w:eastAsia="Cambria Math" w:hAnsi="Cambria Math" w:cs="Cambria Math"/>
          </w:rPr>
          <m:t>100</m:t>
        </m:r>
      </m:oMath>
      <w:r>
        <w:t>.</w:t>
      </w:r>
    </w:p>
    <w:p w14:paraId="3B30E989" w14:textId="77777777" w:rsidR="00031292" w:rsidRDefault="00000000">
      <w:pPr>
        <w:spacing w:after="80"/>
      </w:pPr>
      <w:r>
        <w:t>This metric isolates structural market divergences:</w:t>
      </w:r>
    </w:p>
    <w:p w14:paraId="5E7C02B6" w14:textId="77777777" w:rsidR="00031292" w:rsidRDefault="00000000">
      <w:pPr>
        <w:spacing w:after="60"/>
        <w:ind w:left="432"/>
      </w:pPr>
      <w:r>
        <w:rPr>
          <w:b/>
        </w:rPr>
        <w:t>Bearish Divergence</w:t>
      </w:r>
      <w:r>
        <w:t xml:space="preserve"> (Large Positive Gap, e.g., </w:t>
      </w:r>
      <m:oMath>
        <m:r>
          <w:rPr>
            <w:rFonts w:ascii="Cambria Math" w:eastAsia="Cambria Math" w:hAnsi="Cambria Math" w:cs="Cambria Math"/>
          </w:rPr>
          <m:t>+80</m:t>
        </m:r>
      </m:oMath>
      <w:r>
        <w:t xml:space="preserve">): Occurs when retail sentiment exhibits extreme greed (e.g., </w:t>
      </w:r>
      <m:oMath>
        <m:r>
          <w:rPr>
            <w:rFonts w:ascii="Cambria Math" w:eastAsia="Cambria Math" w:hAnsi="Cambria Math" w:cs="Cambria Math"/>
          </w:rPr>
          <m:t>90</m:t>
        </m:r>
      </m:oMath>
      <w:r>
        <w:t xml:space="preserve">) while institutional traders are heavily short or hedged (COT Index = </w:t>
      </w:r>
      <m:oMath>
        <m:r>
          <w:rPr>
            <w:rFonts w:ascii="Cambria Math" w:eastAsia="Cambria Math" w:hAnsi="Cambria Math" w:cs="Cambria Math"/>
          </w:rPr>
          <m:t>10</m:t>
        </m:r>
      </m:oMath>
      <w:r>
        <w:t>). This indicates that the retail-driven rally is unsupported by institutional capital, signaling a high-probability market top.</w:t>
      </w:r>
    </w:p>
    <w:p w14:paraId="5680E711" w14:textId="77777777" w:rsidR="00031292" w:rsidRDefault="00000000">
      <w:pPr>
        <w:spacing w:after="60"/>
        <w:ind w:left="432"/>
      </w:pPr>
      <w:r>
        <w:rPr>
          <w:b/>
        </w:rPr>
        <w:t>Bullish Divergence</w:t>
      </w:r>
      <w:r>
        <w:t xml:space="preserve"> (Large Negative Gap, e.g., </w:t>
      </w:r>
      <m:oMath>
        <m:r>
          <w:rPr>
            <w:rFonts w:ascii="Cambria Math" w:eastAsia="Cambria Math" w:hAnsi="Cambria Math" w:cs="Cambria Math"/>
          </w:rPr>
          <m:t>-80</m:t>
        </m:r>
      </m:oMath>
      <w:r>
        <w:t xml:space="preserve">): Occurs when retail sentiment is in extreme fear (e.g., </w:t>
      </w:r>
      <m:oMath>
        <m:r>
          <w:rPr>
            <w:rFonts w:ascii="Cambria Math" w:eastAsia="Cambria Math" w:hAnsi="Cambria Math" w:cs="Cambria Math"/>
          </w:rPr>
          <m:t>10</m:t>
        </m:r>
      </m:oMath>
      <w:r>
        <w:t xml:space="preserve">) while institutional smart money is quietly accumulating assets (COT Index = </w:t>
      </w:r>
      <m:oMath>
        <m:r>
          <w:rPr>
            <w:rFonts w:ascii="Cambria Math" w:eastAsia="Cambria Math" w:hAnsi="Cambria Math" w:cs="Cambria Math"/>
          </w:rPr>
          <m:t>90</m:t>
        </m:r>
      </m:oMath>
      <w:r>
        <w:t>). This indicates a structural market bottom.</w:t>
      </w:r>
    </w:p>
    <w:p w14:paraId="2A2D670C" w14:textId="77777777" w:rsidR="00031292" w:rsidRDefault="00000000">
      <w:pPr>
        <w:spacing w:after="80"/>
      </w:pPr>
      <w:r>
        <w:t xml:space="preserve">Additionally, the system computes the </w:t>
      </w:r>
      <w:r>
        <w:rPr>
          <w:rFonts w:ascii="Consolas" w:hAnsi="Consolas"/>
          <w:sz w:val="19"/>
        </w:rPr>
        <w:t>Inst_Sentiment_Ratio</w:t>
      </w:r>
      <w:r>
        <w:t xml:space="preserve"> (On-Chain/Market Sentiment divided by Net Commercial Positioning) to capture divergences between spot volume flows and futures hedging dynamics.</w:t>
      </w:r>
    </w:p>
    <w:p w14:paraId="2AD6F21B" w14:textId="77777777" w:rsidR="00031292" w:rsidRDefault="00000000">
      <w:pPr>
        <w:spacing w:before="320"/>
      </w:pPr>
      <w:r>
        <w:rPr>
          <w:b/>
          <w:color w:val="2C5282"/>
          <w:sz w:val="26"/>
        </w:rPr>
        <w:t>4. ADVANCED VOLATILITY ESTIMATION (GARMAN-KLASS)</w:t>
      </w:r>
    </w:p>
    <w:p w14:paraId="1312B8DF" w14:textId="77777777" w:rsidR="00031292" w:rsidRDefault="00000000">
      <w:pPr>
        <w:spacing w:after="80"/>
      </w:pPr>
      <w:r>
        <w:t>Standard realized volatility calculations (such as historical standard deviation) rely strictly on daily Close-to-Close returns. This approach ignores intraday price fluctuations, treating a day that traded in a wide range but closed flat the same as a day that traded in a narrow range.</w:t>
      </w:r>
    </w:p>
    <w:p w14:paraId="504B0C4A" w14:textId="77777777" w:rsidR="00031292" w:rsidRDefault="00000000">
      <w:pPr>
        <w:spacing w:after="80"/>
      </w:pPr>
      <w:r>
        <w:t xml:space="preserve">The system implements the </w:t>
      </w:r>
      <w:r>
        <w:rPr>
          <w:b/>
        </w:rPr>
        <w:t>Garman-Klass</w:t>
      </w:r>
      <w:r>
        <w:t xml:space="preserve"> realized volatility estimator, which incorporates Open, High, Low, and Close prices:</w:t>
      </w:r>
    </w:p>
    <w:p w14:paraId="6A236572" w14:textId="77777777" w:rsidR="00031292" w:rsidRDefault="00000000">
      <w:pPr>
        <w:spacing w:before="200" w:after="200"/>
        <w:jc w:val="center"/>
      </w:pPr>
      <m:oMathPara>
        <m:oMath>
          <m:sSubSup>
            <m:sSubSupPr>
              <m:ctrlPr>
                <w:rPr>
                  <w:rFonts w:ascii="Cambria Math" w:hAnsi="Cambria Math"/>
                </w:rPr>
              </m:ctrlPr>
            </m:sSubSupPr>
            <m:e>
              <m:r>
                <w:rPr>
                  <w:rFonts w:ascii="Cambria Math" w:eastAsia="Cambria Math" w:hAnsi="Cambria Math" w:cs="Cambria Math"/>
                </w:rPr>
                <m:t>σ</m:t>
              </m:r>
            </m:e>
            <m:sub>
              <m:r>
                <m:rPr>
                  <m:nor/>
                </m:rPr>
                <w:rPr>
                  <w:rFonts w:ascii="Cambria Math" w:eastAsia="Cambria Math" w:hAnsi="Cambria Math" w:cs="Cambria Math"/>
                </w:rPr>
                <m:t>GK</m:t>
              </m:r>
            </m:sub>
            <m:sup>
              <m:r>
                <w:rPr>
                  <w:rFonts w:ascii="Cambria Math" w:eastAsia="Cambria Math" w:hAnsi="Cambria Math" w:cs="Cambria Math"/>
                </w:rPr>
                <m:t>2</m:t>
              </m:r>
            </m:sup>
          </m:sSubSup>
          <m:r>
            <w:rPr>
              <w:rFonts w:ascii="Cambria Math" w:eastAsia="Cambria Math" w:hAnsi="Cambria Math" w:cs="Cambria Math"/>
            </w:rPr>
            <m:t>=0.5×</m:t>
          </m:r>
          <m:sSup>
            <m:sSupPr>
              <m:ctrlPr>
                <w:rPr>
                  <w:rFonts w:ascii="Cambria Math" w:hAnsi="Cambria Math"/>
                </w:rPr>
              </m:ctrlPr>
            </m:sSupPr>
            <m:e>
              <m:r>
                <w:rPr>
                  <w:rFonts w:ascii="Cambria Math" w:eastAsia="Cambria Math" w:hAnsi="Cambria Math" w:cs="Cambria Math"/>
                </w:rPr>
                <m:t>[</m:t>
              </m:r>
              <m:r>
                <m:rPr>
                  <m:sty m:val="p"/>
                </m:rPr>
                <w:rPr>
                  <w:rFonts w:ascii="Cambria Math" w:eastAsia="Cambria Math" w:hAnsi="Cambria Math" w:cs="Cambria Math"/>
                </w:rPr>
                <m:t>ln</m:t>
              </m:r>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H</m:t>
                      </m:r>
                    </m:e>
                    <m:sub>
                      <m:r>
                        <w:rPr>
                          <w:rFonts w:ascii="Cambria Math" w:eastAsia="Cambria Math" w:hAnsi="Cambria Math" w:cs="Cambria Math"/>
                        </w:rPr>
                        <m:t>t</m:t>
                      </m:r>
                    </m:sub>
                  </m:sSub>
                </m:num>
                <m:den>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t</m:t>
                      </m:r>
                    </m:sub>
                  </m:sSub>
                </m:den>
              </m:f>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-(2</m:t>
          </m:r>
          <m:r>
            <m:rPr>
              <m:sty m:val="p"/>
            </m:rPr>
            <w:rPr>
              <w:rFonts w:ascii="Cambria Math" w:eastAsia="Cambria Math" w:hAnsi="Cambria Math" w:cs="Cambria Math"/>
            </w:rPr>
            <m:t>ln</m:t>
          </m:r>
          <m:r>
            <w:rPr>
              <w:rFonts w:ascii="Cambria Math" w:eastAsia="Cambria Math" w:hAnsi="Cambria Math" w:cs="Cambria Math"/>
            </w:rPr>
            <m:t>(2)-1)×</m:t>
          </m:r>
          <m:sSup>
            <m:sSupPr>
              <m:ctrlPr>
                <w:rPr>
                  <w:rFonts w:ascii="Cambria Math" w:hAnsi="Cambria Math"/>
                </w:rPr>
              </m:ctrlPr>
            </m:sSupPr>
            <m:e>
              <m:r>
                <w:rPr>
                  <w:rFonts w:ascii="Cambria Math" w:eastAsia="Cambria Math" w:hAnsi="Cambria Math" w:cs="Cambria Math"/>
                </w:rPr>
                <m:t>[</m:t>
              </m:r>
              <m:r>
                <m:rPr>
                  <m:sty m:val="p"/>
                </m:rPr>
                <w:rPr>
                  <w:rFonts w:ascii="Cambria Math" w:eastAsia="Cambria Math" w:hAnsi="Cambria Math" w:cs="Cambria Math"/>
                </w:rPr>
                <m:t>ln</m:t>
              </m:r>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t</m:t>
                      </m:r>
                    </m:sub>
                  </m:sSub>
                </m:num>
                <m:den>
                  <m:sSub>
                    <m:sSubPr>
                      <m:ctrlPr>
                        <w:rPr>
                          <w:rFonts w:ascii="Cambria Math" w:hAnsi="Cambria Math"/>
                        </w:rPr>
                      </m:ctrlPr>
                    </m:sSubPr>
                    <m:e>
                      <m:r>
                        <w:rPr>
                          <w:rFonts w:ascii="Cambria Math" w:eastAsia="Cambria Math" w:hAnsi="Cambria Math" w:cs="Cambria Math"/>
                        </w:rPr>
                        <m:t>O</m:t>
                      </m:r>
                    </m:e>
                    <m:sub>
                      <m:r>
                        <w:rPr>
                          <w:rFonts w:ascii="Cambria Math" w:eastAsia="Cambria Math" w:hAnsi="Cambria Math" w:cs="Cambria Math"/>
                        </w:rPr>
                        <m:t>t</m:t>
                      </m:r>
                    </m:sub>
                  </m:sSub>
                </m:den>
              </m:f>
              <m:r>
                <w:rPr>
                  <w:rFonts w:ascii="Cambria Math" w:eastAsia="Cambria Math" w:hAnsi="Cambria Math" w:cs="Cambria Math"/>
                </w:rPr>
                <m:t>)]</m:t>
              </m:r>
            </m:e>
            <m:sup>
              <m:r>
                <w:rPr>
                  <w:rFonts w:ascii="Cambria Math" w:eastAsia="Cambria Math" w:hAnsi="Cambria Math" w:cs="Cambria Math"/>
                </w:rPr>
                <m:t>2</m:t>
              </m:r>
            </m:sup>
          </m:sSup>
        </m:oMath>
      </m:oMathPara>
    </w:p>
    <w:p w14:paraId="6AF7BC33" w14:textId="77777777" w:rsidR="00031292" w:rsidRDefault="00000000">
      <w:pPr>
        <w:spacing w:after="80"/>
      </w:pPr>
      <w:r>
        <w:t>Where:</w:t>
      </w:r>
    </w:p>
    <w:p w14:paraId="3CFBDF0C" w14:textId="77777777" w:rsidR="00031292" w:rsidRDefault="00000000">
      <w:pPr>
        <w:spacing w:after="60"/>
        <w:ind w:left="432"/>
      </w:pPr>
      <m:oMath>
        <m:sSub>
          <m:sSubPr>
            <m:ctrlPr>
              <w:rPr>
                <w:rFonts w:ascii="Cambria Math" w:hAnsi="Cambria Math"/>
              </w:rPr>
            </m:ctrlPr>
          </m:sSubPr>
          <m:e>
            <m:r>
              <w:rPr>
                <w:rFonts w:ascii="Cambria Math" w:eastAsia="Cambria Math" w:hAnsi="Cambria Math" w:cs="Cambria Math"/>
              </w:rPr>
              <m:t>H</m:t>
            </m:r>
          </m:e>
          <m:sub>
            <m:r>
              <w:rPr>
                <w:rFonts w:ascii="Cambria Math" w:eastAsia="Cambria Math" w:hAnsi="Cambria Math" w:cs="Cambria Math"/>
              </w:rPr>
              <m:t>t</m:t>
            </m:r>
          </m:sub>
        </m:sSub>
      </m:oMath>
      <w:r>
        <w:t>: Daily High price</w:t>
      </w:r>
    </w:p>
    <w:p w14:paraId="25A8A634" w14:textId="77777777" w:rsidR="00031292" w:rsidRDefault="00000000">
      <w:pPr>
        <w:spacing w:after="60"/>
        <w:ind w:left="432"/>
      </w:pPr>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t</m:t>
            </m:r>
          </m:sub>
        </m:sSub>
      </m:oMath>
      <w:r>
        <w:t>: Daily Low price</w:t>
      </w:r>
    </w:p>
    <w:p w14:paraId="51FCE05F" w14:textId="77777777" w:rsidR="00031292" w:rsidRDefault="00000000">
      <w:pPr>
        <w:spacing w:after="60"/>
        <w:ind w:left="432"/>
      </w:pP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t</m:t>
            </m:r>
          </m:sub>
        </m:sSub>
      </m:oMath>
      <w:r>
        <w:t>: Daily Close price</w:t>
      </w:r>
    </w:p>
    <w:p w14:paraId="6D38814A" w14:textId="77777777" w:rsidR="00031292" w:rsidRDefault="00000000">
      <w:pPr>
        <w:spacing w:after="60"/>
        <w:ind w:left="432"/>
      </w:pPr>
      <m:oMath>
        <m:sSub>
          <m:sSubPr>
            <m:ctrlPr>
              <w:rPr>
                <w:rFonts w:ascii="Cambria Math" w:hAnsi="Cambria Math"/>
              </w:rPr>
            </m:ctrlPr>
          </m:sSubPr>
          <m:e>
            <m:r>
              <w:rPr>
                <w:rFonts w:ascii="Cambria Math" w:eastAsia="Cambria Math" w:hAnsi="Cambria Math" w:cs="Cambria Math"/>
              </w:rPr>
              <m:t>O</m:t>
            </m:r>
          </m:e>
          <m:sub>
            <m:r>
              <w:rPr>
                <w:rFonts w:ascii="Cambria Math" w:eastAsia="Cambria Math" w:hAnsi="Cambria Math" w:cs="Cambria Math"/>
              </w:rPr>
              <m:t>t</m:t>
            </m:r>
          </m:sub>
        </m:sSub>
      </m:oMath>
      <w:r>
        <w:t>: Daily Open price</w:t>
      </w:r>
    </w:p>
    <w:p w14:paraId="2BC4D97D" w14:textId="77777777" w:rsidR="00031292" w:rsidRDefault="00000000">
      <w:pPr>
        <w:spacing w:after="80"/>
      </w:pPr>
      <w:r>
        <w:t>The Garman-Klass estimator assumes that the underlying asset price follows a continuous-time diffusion process (Geometric Brownian Motion) without drift. It has been mathematically shown that the Garman-Klass estimator is up to five times more efficient (exhibits five times smaller variance in its estimate) than a standard Close-to-Close estimator. This gives the machine learning models a highly responsive measure of realized market uncertainty.</w:t>
      </w:r>
    </w:p>
    <w:p w14:paraId="39D84F93" w14:textId="77777777" w:rsidR="00031292" w:rsidRDefault="00000000">
      <w:r>
        <w:br w:type="page"/>
      </w:r>
    </w:p>
    <w:p w14:paraId="3A7198F6" w14:textId="77777777" w:rsidR="00031292" w:rsidRDefault="00000000">
      <w:pPr>
        <w:spacing w:before="400" w:after="240"/>
      </w:pPr>
      <w:r>
        <w:rPr>
          <w:b/>
          <w:color w:val="4A5568"/>
          <w:sz w:val="20"/>
        </w:rPr>
        <w:lastRenderedPageBreak/>
        <w:t>──────  PART 4 – ENSEMBLE MODELING &amp; DUAL-HEAD META-LEARNING ARCHITECTURE  ──────</w:t>
      </w:r>
    </w:p>
    <w:p w14:paraId="3305F80D" w14:textId="77777777" w:rsidR="00031292" w:rsidRDefault="00000000">
      <w:pPr>
        <w:spacing w:before="440"/>
      </w:pPr>
      <w:r>
        <w:rPr>
          <w:b/>
          <w:color w:val="1A365D"/>
          <w:sz w:val="32"/>
        </w:rPr>
        <w:t>PART 4: ENSEMBLE MODELING &amp; DUAL-HEAD META-LEARNING ARCHITECTURE</w:t>
      </w:r>
    </w:p>
    <w:p w14:paraId="0709C6AB" w14:textId="77777777" w:rsidR="00031292" w:rsidRDefault="00000000">
      <w:pPr>
        <w:spacing w:before="320"/>
      </w:pPr>
      <w:r>
        <w:rPr>
          <w:b/>
          <w:color w:val="2C5282"/>
          <w:sz w:val="26"/>
        </w:rPr>
        <w:t>1. The Fallacy of Recursive Prediction in Financial Time Series</w:t>
      </w:r>
    </w:p>
    <w:p w14:paraId="1D174D96" w14:textId="77777777" w:rsidR="00031292" w:rsidRDefault="00000000">
      <w:pPr>
        <w:spacing w:after="80"/>
      </w:pPr>
      <w:r>
        <w:t xml:space="preserve">A major pitfall in time-series forecasting is the reliance on Recursive Rollout models. In a recursive architecture, a single model is trained to predict the return at step </w:t>
      </w:r>
      <w:r>
        <w:rPr>
          <w:rFonts w:ascii="Consolas" w:hAnsi="Consolas"/>
          <w:sz w:val="19"/>
        </w:rPr>
        <w:t>t+1</w:t>
      </w:r>
      <w:r>
        <w:t xml:space="preserve">. To generate predictions for longer horizons (e.g., </w:t>
      </w:r>
      <w:r>
        <w:rPr>
          <w:rFonts w:ascii="Consolas" w:hAnsi="Consolas"/>
          <w:sz w:val="19"/>
        </w:rPr>
        <w:t>t+2</w:t>
      </w:r>
      <w:r>
        <w:t xml:space="preserve"> to </w:t>
      </w:r>
      <w:r>
        <w:rPr>
          <w:rFonts w:ascii="Consolas" w:hAnsi="Consolas"/>
          <w:sz w:val="19"/>
        </w:rPr>
        <w:t>t+90</w:t>
      </w:r>
      <w:r>
        <w:t xml:space="preserve">), the model's output at </w:t>
      </w:r>
      <w:r>
        <w:rPr>
          <w:rFonts w:ascii="Consolas" w:hAnsi="Consolas"/>
          <w:sz w:val="19"/>
        </w:rPr>
        <w:t>t+1</w:t>
      </w:r>
      <w:r>
        <w:t xml:space="preserve"> is appended to the input sequence, and the model is run iteratively.</w:t>
      </w:r>
    </w:p>
    <w:p w14:paraId="22084790" w14:textId="77777777" w:rsidR="00031292" w:rsidRDefault="00000000">
      <w:pPr>
        <w:spacing w:after="80"/>
      </w:pPr>
      <w:r>
        <w:t>While mathematically simple, this approach fails in high-noise financial regimes due to:</w:t>
      </w:r>
    </w:p>
    <w:p w14:paraId="32AE3183" w14:textId="77777777" w:rsidR="00031292" w:rsidRDefault="00000000">
      <w:pPr>
        <w:spacing w:before="240"/>
      </w:pPr>
      <w:r>
        <w:rPr>
          <w:b/>
          <w:color w:val="4A5568"/>
          <w:sz w:val="23"/>
        </w:rPr>
        <w:t>A. Exponential Error Propagation</w:t>
      </w:r>
    </w:p>
    <w:p w14:paraId="5FAE2C08" w14:textId="77777777" w:rsidR="00031292" w:rsidRDefault="00000000">
      <w:pPr>
        <w:spacing w:after="80"/>
      </w:pPr>
      <w:r>
        <w:t xml:space="preserve">Any prediction error at step </w:t>
      </w:r>
      <w:r>
        <w:rPr>
          <w:rFonts w:ascii="Consolas" w:hAnsi="Consolas"/>
          <w:sz w:val="19"/>
        </w:rPr>
        <w:t>t+1</w:t>
      </w:r>
      <w:r>
        <w:t xml:space="preserve"> acts as an artificial input anomaly for step </w:t>
      </w:r>
      <w:r>
        <w:rPr>
          <w:rFonts w:ascii="Consolas" w:hAnsi="Consolas"/>
          <w:sz w:val="19"/>
        </w:rPr>
        <w:t>t+2</w:t>
      </w:r>
      <w:r>
        <w:t>. The forecast error compounds exponentially with the prediction horizon:</w:t>
      </w:r>
    </w:p>
    <w:p w14:paraId="37DC06A6" w14:textId="77777777" w:rsidR="00031292" w:rsidRDefault="00000000">
      <w:pPr>
        <w:spacing w:before="200" w:after="200"/>
        <w:jc w:val="center"/>
      </w:pPr>
      <m:oMathPara>
        <m:oMath>
          <m:r>
            <w:rPr>
              <w:rFonts w:ascii="Cambria Math" w:eastAsia="Cambria Math" w:hAnsi="Cambria Math" w:cs="Cambria Math"/>
            </w:rPr>
            <m:t>Erro</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t</m:t>
              </m:r>
            </m:sub>
          </m:sSub>
          <m:r>
            <w:rPr>
              <w:rFonts w:ascii="Cambria Math" w:eastAsia="Cambria Math" w:hAnsi="Cambria Math" w:cs="Cambria Math"/>
            </w:rPr>
            <m:t>=O(</m:t>
          </m:r>
          <m:sSup>
            <m:sSupPr>
              <m:ctrlPr>
                <w:rPr>
                  <w:rFonts w:ascii="Cambria Math" w:hAnsi="Cambria Math"/>
                </w:rPr>
              </m:ctrlPr>
            </m:sSupPr>
            <m:e>
              <m:r>
                <w:rPr>
                  <w:rFonts w:ascii="Cambria Math" w:eastAsia="Cambria Math" w:hAnsi="Cambria Math" w:cs="Cambria Math"/>
                </w:rPr>
                <m:t>e</m:t>
              </m:r>
            </m:e>
            <m:sup>
              <m:r>
                <w:rPr>
                  <w:rFonts w:ascii="Cambria Math" w:eastAsia="Cambria Math" w:hAnsi="Cambria Math" w:cs="Cambria Math"/>
                </w:rPr>
                <m:t>t</m:t>
              </m:r>
            </m:sup>
          </m:sSup>
          <m:r>
            <w:rPr>
              <w:rFonts w:ascii="Cambria Math" w:eastAsia="Cambria Math" w:hAnsi="Cambria Math" w:cs="Cambria Math"/>
            </w:rPr>
            <m:t>)</m:t>
          </m:r>
        </m:oMath>
      </m:oMathPara>
    </w:p>
    <w:p w14:paraId="0EF7DCAF" w14:textId="77777777" w:rsidR="00031292" w:rsidRDefault="00000000">
      <w:pPr>
        <w:spacing w:before="240"/>
      </w:pPr>
      <w:r>
        <w:rPr>
          <w:b/>
          <w:color w:val="4A5568"/>
          <w:sz w:val="23"/>
        </w:rPr>
        <w:t>B. Convergence to the Mean</w:t>
      </w:r>
    </w:p>
    <w:p w14:paraId="55D9D8E6" w14:textId="77777777" w:rsidR="00031292" w:rsidRDefault="00000000">
      <w:pPr>
        <w:spacing w:after="80"/>
      </w:pPr>
      <w:r>
        <w:t>Because financial time series have a low signal-to-noise ratio, recursive feedforward loops quickly lose variance. The predicted trajectory dampens and flatlines, converging directly to the historical mean.</w:t>
      </w:r>
    </w:p>
    <w:p w14:paraId="2162D9A8" w14:textId="77777777" w:rsidR="00031292" w:rsidRDefault="00000000">
      <w:pPr>
        <w:spacing w:after="80"/>
      </w:pPr>
      <w:r>
        <w:t xml:space="preserve">To resolve this, the system implements a Direct Multi-Step Forecasting paradigm. The engine trains five independent, non-recursive models for each asset, each optimized for a specific target horizon: 1 Day, 7 Days, 14 Days, 30 Days, and 90 Days. Each model directly maps the input feature matrix at time </w:t>
      </w:r>
      <w:r>
        <w:rPr>
          <w:rFonts w:ascii="Consolas" w:hAnsi="Consolas"/>
          <w:sz w:val="19"/>
        </w:rPr>
        <w:t>t</w:t>
      </w:r>
      <w:r>
        <w:t xml:space="preserve"> to the expected return at time </w:t>
      </w:r>
      <w:r>
        <w:rPr>
          <w:rFonts w:ascii="Consolas" w:hAnsi="Consolas"/>
          <w:sz w:val="19"/>
        </w:rPr>
        <w:t>t+H</w:t>
      </w:r>
      <w:r>
        <w:t>:</w:t>
      </w:r>
    </w:p>
    <w:p w14:paraId="6844BD4C" w14:textId="77777777" w:rsidR="00031292" w:rsidRDefault="00000000">
      <w:pPr>
        <w:spacing w:before="200" w:after="200"/>
        <w:jc w:val="center"/>
      </w:pPr>
      <m:oMathPara>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t+H</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f</m:t>
              </m:r>
            </m:e>
            <m:sub>
              <m:r>
                <w:rPr>
                  <w:rFonts w:ascii="Cambria Math" w:eastAsia="Cambria Math" w:hAnsi="Cambria Math" w:cs="Cambria Math"/>
                </w:rPr>
                <m:t>H</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t</m:t>
              </m:r>
            </m:sub>
          </m:sSub>
          <m:r>
            <w:rPr>
              <w:rFonts w:ascii="Cambria Math" w:eastAsia="Cambria Math" w:hAnsi="Cambria Math" w:cs="Cambria Math"/>
            </w:rPr>
            <m:t>)</m:t>
          </m:r>
        </m:oMath>
      </m:oMathPara>
    </w:p>
    <w:p w14:paraId="301F0073" w14:textId="77777777" w:rsidR="00031292" w:rsidRDefault="00000000">
      <w:pPr>
        <w:spacing w:after="80"/>
      </w:pPr>
      <w:r>
        <w:t>This eliminates recursive error propagation and preserves trajectory variance.</w:t>
      </w:r>
    </w:p>
    <w:p w14:paraId="30610E93" w14:textId="77777777" w:rsidR="00031292" w:rsidRDefault="00000000">
      <w:pPr>
        <w:spacing w:before="320"/>
      </w:pPr>
      <w:r>
        <w:rPr>
          <w:b/>
          <w:color w:val="2C5282"/>
          <w:sz w:val="26"/>
        </w:rPr>
        <w:t>2. Base Learners Design</w:t>
      </w:r>
    </w:p>
    <w:p w14:paraId="1678EC3B" w14:textId="77777777" w:rsidR="00031292" w:rsidRDefault="00000000">
      <w:pPr>
        <w:spacing w:after="80"/>
      </w:pPr>
      <w:r>
        <w:t>The Worker Layer uses two independent models to capture different dimensional structures of financial data:</w:t>
      </w:r>
    </w:p>
    <w:p w14:paraId="380B4A35" w14:textId="77777777" w:rsidR="00031292" w:rsidRDefault="00000000">
      <w:pPr>
        <w:spacing w:before="240"/>
      </w:pPr>
      <w:r>
        <w:rPr>
          <w:b/>
          <w:color w:val="4A5568"/>
          <w:sz w:val="23"/>
        </w:rPr>
        <w:t>A. Worker 1: LSTM with Multi-Head Self-Attention</w:t>
      </w:r>
    </w:p>
    <w:p w14:paraId="242AA4A1" w14:textId="77777777" w:rsidR="00031292" w:rsidRDefault="00000000">
      <w:pPr>
        <w:spacing w:after="80"/>
      </w:pPr>
      <w:r>
        <w:t>The LSTM (Long Short-Term Memory) recurrent network is designed to process temporal sequence data.</w:t>
      </w:r>
    </w:p>
    <w:p w14:paraId="12FA7202" w14:textId="77777777" w:rsidR="00031292" w:rsidRDefault="00000000">
      <w:pPr>
        <w:spacing w:after="60"/>
        <w:ind w:left="432"/>
      </w:pPr>
      <w:r>
        <w:rPr>
          <w:b/>
        </w:rPr>
        <w:t>Input Formatting</w:t>
      </w:r>
      <w:r>
        <w:t xml:space="preserve">: The model processes sequences of length </w:t>
      </w:r>
      <w:r>
        <w:rPr>
          <w:rFonts w:ascii="Consolas" w:hAnsi="Consolas"/>
          <w:sz w:val="19"/>
        </w:rPr>
        <w:t>T = 60</w:t>
      </w:r>
      <w:r>
        <w:t xml:space="preserve"> (Gold and equities) or </w:t>
      </w:r>
      <w:r>
        <w:rPr>
          <w:rFonts w:ascii="Consolas" w:hAnsi="Consolas"/>
          <w:sz w:val="19"/>
        </w:rPr>
        <w:t>T = 90</w:t>
      </w:r>
      <w:r>
        <w:t xml:space="preserve"> (Bitcoin) containing daily closing prices, volumes, and technical features.</w:t>
      </w:r>
    </w:p>
    <w:p w14:paraId="2CF46F13" w14:textId="77777777" w:rsidR="00031292" w:rsidRDefault="00000000">
      <w:pPr>
        <w:spacing w:after="60"/>
        <w:ind w:left="432"/>
      </w:pPr>
      <w:r>
        <w:rPr>
          <w:b/>
        </w:rPr>
        <w:lastRenderedPageBreak/>
        <w:t>Sequence Processing</w:t>
      </w:r>
      <w:r>
        <w:t xml:space="preserve">: The network architecture contains stacked LSTM layers (units: </w:t>
      </w:r>
      <w:r>
        <w:rPr>
          <w:rFonts w:ascii="Consolas" w:hAnsi="Consolas"/>
          <w:sz w:val="19"/>
        </w:rPr>
        <w:t>[64, 32]</w:t>
      </w:r>
      <w:r>
        <w:t xml:space="preserve"> for Gold; </w:t>
      </w:r>
      <w:r>
        <w:rPr>
          <w:rFonts w:ascii="Consolas" w:hAnsi="Consolas"/>
          <w:sz w:val="19"/>
        </w:rPr>
        <w:t>[128, 64, 32]</w:t>
      </w:r>
      <w:r>
        <w:t xml:space="preserve"> for Bitcoin) with L2 activity regularization (</w:t>
      </w:r>
      <w:r>
        <w:rPr>
          <w:rFonts w:ascii="Consolas" w:hAnsi="Consolas"/>
          <w:sz w:val="19"/>
        </w:rPr>
        <w:t>0.001</w:t>
      </w:r>
      <w:r>
        <w:t>) to prevent overfitting.</w:t>
      </w:r>
    </w:p>
    <w:p w14:paraId="3855F628" w14:textId="77777777" w:rsidR="00031292" w:rsidRDefault="00000000">
      <w:pPr>
        <w:spacing w:after="60"/>
        <w:ind w:left="432"/>
      </w:pPr>
      <w:r>
        <w:rPr>
          <w:b/>
        </w:rPr>
        <w:t>Multi-Head Self-Attention</w:t>
      </w:r>
      <w:r>
        <w:t>: For volatile assets (such as Bitcoin, NVIDIA, and Tesla), a Multi-Head Self-Attention layer is placed after the first LSTM layer. This mechanism computes attention weights across the time steps:</w:t>
      </w:r>
    </w:p>
    <w:p w14:paraId="54D13698" w14:textId="77777777" w:rsidR="00031292" w:rsidRDefault="00000000">
      <w:pPr>
        <w:spacing w:before="200" w:after="200"/>
        <w:jc w:val="center"/>
      </w:pPr>
      <m:oMathPara>
        <m:oMath>
          <m:r>
            <w:rPr>
              <w:rFonts w:ascii="Cambria Math" w:eastAsia="Cambria Math" w:hAnsi="Cambria Math" w:cs="Cambria Math"/>
            </w:rPr>
            <m:t>Attention(Q,K,V)=</m:t>
          </m:r>
          <m:r>
            <m:rPr>
              <m:nor/>
            </m:rPr>
            <w:rPr>
              <w:rFonts w:ascii="Cambria Math" w:eastAsia="Cambria Math" w:hAnsi="Cambria Math" w:cs="Cambria Math"/>
            </w:rPr>
            <m:t>softmax</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Q</m:t>
              </m:r>
              <m:sSup>
                <m:sSupPr>
                  <m:ctrlPr>
                    <w:rPr>
                      <w:rFonts w:ascii="Cambria Math" w:hAnsi="Cambria Math"/>
                    </w:rPr>
                  </m:ctrlPr>
                </m:sSupPr>
                <m:e>
                  <m:r>
                    <w:rPr>
                      <w:rFonts w:ascii="Cambria Math" w:eastAsia="Cambria Math" w:hAnsi="Cambria Math" w:cs="Cambria Math"/>
                    </w:rPr>
                    <m:t>K</m:t>
                  </m:r>
                </m:e>
                <m:sup>
                  <m:r>
                    <w:rPr>
                      <w:rFonts w:ascii="Cambria Math" w:eastAsia="Cambria Math" w:hAnsi="Cambria Math" w:cs="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k</m:t>
                      </m:r>
                    </m:sub>
                  </m:sSub>
                </m:e>
              </m:rad>
            </m:den>
          </m:f>
          <m:r>
            <w:rPr>
              <w:rFonts w:ascii="Cambria Math" w:eastAsia="Cambria Math" w:hAnsi="Cambria Math" w:cs="Cambria Math"/>
            </w:rPr>
            <m:t>)*V</m:t>
          </m:r>
        </m:oMath>
      </m:oMathPara>
    </w:p>
    <w:p w14:paraId="79284BCB" w14:textId="77777777" w:rsidR="00031292" w:rsidRDefault="00000000">
      <w:pPr>
        <w:spacing w:after="80"/>
      </w:pPr>
      <w:r>
        <w:t>This allows the network to learn temporal dependencies across specific historical events (e.g., matching a liquidity event 45 days ago to today's price action) rather than relying only on the final state vector.</w:t>
      </w:r>
    </w:p>
    <w:p w14:paraId="19F09E23" w14:textId="77777777" w:rsidR="00031292" w:rsidRDefault="00000000">
      <w:pPr>
        <w:spacing w:before="240"/>
      </w:pPr>
      <w:r>
        <w:rPr>
          <w:b/>
          <w:color w:val="4A5568"/>
          <w:sz w:val="23"/>
        </w:rPr>
        <w:t>B. Worker 2: Extreme Gradient Boosting (XGBoost)</w:t>
      </w:r>
    </w:p>
    <w:p w14:paraId="3EEF7410" w14:textId="77777777" w:rsidR="00031292" w:rsidRDefault="00000000">
      <w:pPr>
        <w:spacing w:after="80"/>
      </w:pPr>
      <w:r>
        <w:t>XGBoost is a decision-tree ensemble based on gradient boosting algorithms.</w:t>
      </w:r>
    </w:p>
    <w:p w14:paraId="0344715E" w14:textId="77777777" w:rsidR="00031292" w:rsidRDefault="00000000">
      <w:pPr>
        <w:spacing w:after="60"/>
        <w:ind w:left="432"/>
      </w:pPr>
      <w:r>
        <w:rPr>
          <w:b/>
        </w:rPr>
        <w:t>Tabular Modeling</w:t>
      </w:r>
      <w:r>
        <w:t>: While LSTM learns sequence-dependent relationships, XGBoost models tabular macro-regime interactions. It builds sequential trees where each tree corrects the residual errors of the previous ones.</w:t>
      </w:r>
    </w:p>
    <w:p w14:paraId="73BDD7AC" w14:textId="77777777" w:rsidR="00031292" w:rsidRDefault="00000000">
      <w:pPr>
        <w:spacing w:after="60"/>
        <w:ind w:left="432"/>
      </w:pPr>
      <w:r>
        <w:rPr>
          <w:b/>
        </w:rPr>
        <w:t>Regularized Split Selection</w:t>
      </w:r>
      <w:r>
        <w:t>: The model optimizes an objective function containing L1 regularization (</w:t>
      </w:r>
      <w:r>
        <w:rPr>
          <w:rFonts w:ascii="Consolas" w:hAnsi="Consolas"/>
          <w:sz w:val="19"/>
        </w:rPr>
        <w:t>reg_alpha</w:t>
      </w:r>
      <w:r>
        <w:t>) and L2 regularization (</w:t>
      </w:r>
      <w:r>
        <w:rPr>
          <w:rFonts w:ascii="Consolas" w:hAnsi="Consolas"/>
          <w:sz w:val="19"/>
        </w:rPr>
        <w:t>reg_lambda</w:t>
      </w:r>
      <w:r>
        <w:t>) to penalize tree complexity:</w:t>
      </w:r>
    </w:p>
    <w:p w14:paraId="5507C7FD" w14:textId="77777777" w:rsidR="00031292" w:rsidRDefault="00000000">
      <w:pPr>
        <w:spacing w:before="200" w:after="200"/>
        <w:jc w:val="center"/>
      </w:pPr>
      <m:oMathPara>
        <m:oMath>
          <m:r>
            <w:rPr>
              <w:rFonts w:ascii="Cambria Math" w:eastAsia="Cambria Math" w:hAnsi="Cambria Math" w:cs="Cambria Math"/>
            </w:rPr>
            <m:t>Obj=</m:t>
          </m:r>
          <m:nary>
            <m:naryPr>
              <m:chr m:val="∑"/>
              <m:limLoc m:val="subSup"/>
              <m:grow m:val="1"/>
              <m:supHide m:val="1"/>
              <m:ctrlPr>
                <w:rPr>
                  <w:rFonts w:ascii="Cambria Math" w:hAnsi="Cambria Math"/>
                </w:rPr>
              </m:ctrlPr>
            </m:naryPr>
            <m:sub>
              <m:r>
                <w:rPr>
                  <w:rFonts w:ascii="Cambria Math" w:eastAsia="Cambria Math" w:hAnsi="Cambria Math" w:cs="Cambria Math"/>
                </w:rPr>
                <m:t>i</m:t>
              </m:r>
            </m:sub>
            <m:sup/>
            <m:e/>
          </m:nary>
          <m:r>
            <w:rPr>
              <w:rFonts w:ascii="Cambria Math" w:eastAsia="Cambria Math" w:hAnsi="Cambria Math" w:cs="Cambria Math"/>
            </w:rPr>
            <m:t>L(</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hAnsi="Cambria Math"/>
                </w:rPr>
              </m:ctrlPr>
            </m:sSubPr>
            <m:e>
              <m:acc>
                <m:accPr>
                  <m:chr m:val="^"/>
                  <m:ctrlPr>
                    <w:rPr>
                      <w:rFonts w:ascii="Cambria Math" w:hAnsi="Cambria Math"/>
                    </w:rPr>
                  </m:ctrlPr>
                </m:accPr>
                <m:e>
                  <m:r>
                    <w:rPr>
                      <w:rFonts w:ascii="Cambria Math" w:eastAsia="Cambria Math" w:hAnsi="Cambria Math" w:cs="Cambria Math"/>
                    </w:rPr>
                    <m:t>y</m:t>
                  </m:r>
                </m:e>
              </m:acc>
            </m:e>
            <m:sub>
              <m:r>
                <w:rPr>
                  <w:rFonts w:ascii="Cambria Math" w:eastAsia="Cambria Math" w:hAnsi="Cambria Math" w:cs="Cambria Math"/>
                </w:rPr>
                <m:t>i</m:t>
              </m:r>
            </m:sub>
          </m:sSub>
          <m:r>
            <w:rPr>
              <w:rFonts w:ascii="Cambria Math" w:eastAsia="Cambria Math" w:hAnsi="Cambria Math" w:cs="Cambria Math"/>
            </w:rPr>
            <m:t>)+</m:t>
          </m:r>
          <m:nary>
            <m:naryPr>
              <m:chr m:val="∑"/>
              <m:limLoc m:val="subSup"/>
              <m:grow m:val="1"/>
              <m:supHide m:val="1"/>
              <m:ctrlPr>
                <w:rPr>
                  <w:rFonts w:ascii="Cambria Math" w:hAnsi="Cambria Math"/>
                </w:rPr>
              </m:ctrlPr>
            </m:naryPr>
            <m:sub>
              <m:r>
                <w:rPr>
                  <w:rFonts w:ascii="Cambria Math" w:eastAsia="Cambria Math" w:hAnsi="Cambria Math" w:cs="Cambria Math"/>
                </w:rPr>
                <m:t>j</m:t>
              </m:r>
            </m:sub>
            <m:sup/>
            <m:e>
              <m:r>
                <w:rPr>
                  <w:rFonts w:ascii="Cambria Math" w:eastAsia="Cambria Math" w:hAnsi="Cambria Math" w:cs="Cambria Math"/>
                </w:rPr>
                <m:t>(γ·</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j</m:t>
                  </m:r>
                </m:sub>
              </m:sSub>
              <m:r>
                <w:rPr>
                  <w:rFonts w:ascii="Cambria Math" w:eastAsia="Cambria Math" w:hAnsi="Cambria Math" w:cs="Cambria Math"/>
                </w:rPr>
                <m:t>+0.5·λ·</m:t>
              </m:r>
              <m:sSubSup>
                <m:sSubSupPr>
                  <m:ctrlPr>
                    <w:rPr>
                      <w:rFonts w:ascii="Cambria Math" w:hAnsi="Cambria Math"/>
                    </w:rPr>
                  </m:ctrlPr>
                </m:sSubSupPr>
                <m:e>
                  <m:r>
                    <w:rPr>
                      <w:rFonts w:ascii="Cambria Math" w:eastAsia="Cambria Math" w:hAnsi="Cambria Math" w:cs="Cambria Math"/>
                    </w:rPr>
                    <m:t>w</m:t>
                  </m:r>
                </m:e>
                <m:sub>
                  <m:r>
                    <w:rPr>
                      <w:rFonts w:ascii="Cambria Math" w:eastAsia="Cambria Math" w:hAnsi="Cambria Math" w:cs="Cambria Math"/>
                    </w:rPr>
                    <m:t>j</m:t>
                  </m:r>
                </m:sub>
                <m:sup>
                  <m:r>
                    <w:rPr>
                      <w:rFonts w:ascii="Cambria Math" w:eastAsia="Cambria Math" w:hAnsi="Cambria Math" w:cs="Cambria Math"/>
                    </w:rPr>
                    <m:t>2</m:t>
                  </m:r>
                </m:sup>
              </m:sSubSup>
              <m:r>
                <w:rPr>
                  <w:rFonts w:ascii="Cambria Math" w:eastAsia="Cambria Math" w:hAnsi="Cambria Math" w:cs="Cambria Math"/>
                </w:rPr>
                <m:t>+α·</m:t>
              </m:r>
              <m:sSub>
                <m:sSubPr>
                  <m:ctrlPr>
                    <w:rPr>
                      <w:rFonts w:ascii="Cambria Math" w:hAnsi="Cambria Math"/>
                    </w:rPr>
                  </m:ctrlPr>
                </m:sSubPr>
                <m:e>
                  <m:r>
                    <w:rPr>
                      <w:rFonts w:ascii="Cambria Math" w:eastAsia="Cambria Math" w:hAnsi="Cambria Math" w:cs="Cambria Math"/>
                    </w:rPr>
                    <m:t>w</m:t>
                  </m:r>
                </m:e>
                <m:sub>
                  <m:r>
                    <w:rPr>
                      <w:rFonts w:ascii="Cambria Math" w:eastAsia="Cambria Math" w:hAnsi="Cambria Math" w:cs="Cambria Math"/>
                    </w:rPr>
                    <m:t>j</m:t>
                  </m:r>
                </m:sub>
              </m:sSub>
              <m:r>
                <w:rPr>
                  <w:rFonts w:ascii="Cambria Math" w:eastAsia="Cambria Math" w:hAnsi="Cambria Math" w:cs="Cambria Math"/>
                </w:rPr>
                <m:t>)</m:t>
              </m:r>
            </m:e>
          </m:nary>
        </m:oMath>
      </m:oMathPara>
    </w:p>
    <w:p w14:paraId="2690120C" w14:textId="77777777" w:rsidR="00031292" w:rsidRDefault="00000000">
      <w:pPr>
        <w:spacing w:after="80"/>
      </w:pPr>
      <w:r>
        <w:t xml:space="preserve">Splits are chosen to maximize the gradient/hessian-based gain, rather than simple information gain. Asset-specific configurations (e.g., Gold: </w:t>
      </w:r>
      <w:r>
        <w:rPr>
          <w:rFonts w:ascii="Consolas" w:hAnsi="Consolas"/>
          <w:sz w:val="19"/>
        </w:rPr>
        <w:t>max_depth=5</w:t>
      </w:r>
      <w:r>
        <w:t xml:space="preserve">, </w:t>
      </w:r>
      <w:r>
        <w:rPr>
          <w:rFonts w:ascii="Consolas" w:hAnsi="Consolas"/>
          <w:sz w:val="19"/>
        </w:rPr>
        <w:t>reg_alpha=0.05</w:t>
      </w:r>
      <w:r>
        <w:t xml:space="preserve">, </w:t>
      </w:r>
      <w:r>
        <w:rPr>
          <w:rFonts w:ascii="Consolas" w:hAnsi="Consolas"/>
          <w:sz w:val="19"/>
        </w:rPr>
        <w:t>reg_lambda=0.5</w:t>
      </w:r>
      <w:r>
        <w:t xml:space="preserve">; Bitcoin: </w:t>
      </w:r>
      <w:r>
        <w:rPr>
          <w:rFonts w:ascii="Consolas" w:hAnsi="Consolas"/>
          <w:sz w:val="19"/>
        </w:rPr>
        <w:t>max_depth=4</w:t>
      </w:r>
      <w:r>
        <w:t xml:space="preserve">, </w:t>
      </w:r>
      <w:r>
        <w:rPr>
          <w:rFonts w:ascii="Consolas" w:hAnsi="Consolas"/>
          <w:sz w:val="19"/>
        </w:rPr>
        <w:t>reg_alpha=0.1</w:t>
      </w:r>
      <w:r>
        <w:t xml:space="preserve">, </w:t>
      </w:r>
      <w:r>
        <w:rPr>
          <w:rFonts w:ascii="Consolas" w:hAnsi="Consolas"/>
          <w:sz w:val="19"/>
        </w:rPr>
        <w:t>reg_lambda=1.0</w:t>
      </w:r>
      <w:r>
        <w:t>) are tuned to prevent overfitting to historical macroeconomic cycles.</w:t>
      </w:r>
    </w:p>
    <w:p w14:paraId="001127BC" w14:textId="77777777" w:rsidR="00031292" w:rsidRDefault="00000000">
      <w:pPr>
        <w:spacing w:before="320"/>
      </w:pPr>
      <w:r>
        <w:rPr>
          <w:b/>
          <w:color w:val="2C5282"/>
          <w:sz w:val="26"/>
        </w:rPr>
        <w:t>3. Target Standardization and Scaler Separation</w:t>
      </w:r>
    </w:p>
    <w:p w14:paraId="2D2E14D1" w14:textId="77777777" w:rsidR="00031292" w:rsidRDefault="00000000">
      <w:pPr>
        <w:spacing w:after="80"/>
      </w:pPr>
      <w:r>
        <w:t xml:space="preserve">Financial assets have vastly different nominal values and volatilities (e.g., Gold trading at </w:t>
      </w:r>
      <w:r>
        <w:rPr>
          <w:rFonts w:ascii="Consolas" w:hAnsi="Consolas"/>
          <w:sz w:val="19"/>
        </w:rPr>
        <w:t>$2,400/oz</w:t>
      </w:r>
      <w:r>
        <w:t xml:space="preserve"> vs Bitcoin at </w:t>
      </w:r>
      <w:r>
        <w:rPr>
          <w:rFonts w:ascii="Consolas" w:hAnsi="Consolas"/>
          <w:sz w:val="19"/>
        </w:rPr>
        <w:t>$60,000</w:t>
      </w:r>
      <w:r>
        <w:t>). To ensure model stability, the data preparation pipeline enforces two strict rules:</w:t>
      </w:r>
    </w:p>
    <w:p w14:paraId="5BE14E46" w14:textId="77777777" w:rsidR="00031292" w:rsidRDefault="00000000">
      <w:pPr>
        <w:spacing w:before="240"/>
      </w:pPr>
      <w:r>
        <w:rPr>
          <w:b/>
          <w:color w:val="4A5568"/>
          <w:sz w:val="23"/>
        </w:rPr>
        <w:t>A. Feature vs Target Scaler Isolation</w:t>
      </w:r>
    </w:p>
    <w:p w14:paraId="6D84AB51" w14:textId="77777777" w:rsidR="00031292" w:rsidRDefault="00000000">
      <w:pPr>
        <w:spacing w:after="80"/>
      </w:pPr>
      <w:r>
        <w:t xml:space="preserve">Features and targets are scaled independently. Input features are normalized using </w:t>
      </w:r>
      <w:r>
        <w:rPr>
          <w:rFonts w:ascii="Consolas" w:hAnsi="Consolas"/>
          <w:sz w:val="19"/>
        </w:rPr>
        <w:t>MinMaxScaler</w:t>
      </w:r>
      <w:r>
        <w:t xml:space="preserve"> to map values into </w:t>
      </w:r>
      <w:r>
        <w:rPr>
          <w:rFonts w:ascii="Consolas" w:hAnsi="Consolas"/>
          <w:sz w:val="19"/>
        </w:rPr>
        <w:t>[0, 1]</w:t>
      </w:r>
      <w:r>
        <w:t xml:space="preserve">, preserving relative feature structures. Targets (expected returns) are standardized using </w:t>
      </w:r>
      <w:r>
        <w:rPr>
          <w:rFonts w:ascii="Consolas" w:hAnsi="Consolas"/>
          <w:sz w:val="19"/>
        </w:rPr>
        <w:t>StandardScaler</w:t>
      </w:r>
      <w:r>
        <w:t xml:space="preserve"> to have zero mean and unit variance.</w:t>
      </w:r>
    </w:p>
    <w:p w14:paraId="15AD451B" w14:textId="77777777" w:rsidR="00031292" w:rsidRDefault="00000000">
      <w:pPr>
        <w:spacing w:before="240"/>
      </w:pPr>
      <w:r>
        <w:rPr>
          <w:b/>
          <w:color w:val="4A5568"/>
          <w:sz w:val="23"/>
        </w:rPr>
        <w:t>B. Target Leakage Prevention</w:t>
      </w:r>
    </w:p>
    <w:p w14:paraId="3340C7E5" w14:textId="77777777" w:rsidR="00031292" w:rsidRDefault="00000000">
      <w:pPr>
        <w:spacing w:after="80"/>
      </w:pPr>
      <w:r>
        <w:t xml:space="preserve">Using a single scaler for both features and targets causes look-ahead leakage. The future target value is present in the feature scaling matrix during fitting. The system saves target scaling </w:t>
      </w:r>
      <w:r>
        <w:lastRenderedPageBreak/>
        <w:t>parameters in a separate file (</w:t>
      </w:r>
      <w:r>
        <w:rPr>
          <w:rFonts w:ascii="Consolas" w:hAnsi="Consolas"/>
          <w:sz w:val="19"/>
        </w:rPr>
        <w:t>{asset}_scaler_target.pkl</w:t>
      </w:r>
      <w:r>
        <w:t>). This ensures that during inference, the raw target return predictions can be inverse-transformed back to percentage returns without leaking future price structures.</w:t>
      </w:r>
    </w:p>
    <w:p w14:paraId="574160AD" w14:textId="77777777" w:rsidR="00031292" w:rsidRDefault="00000000">
      <w:pPr>
        <w:spacing w:before="320"/>
      </w:pPr>
      <w:r>
        <w:rPr>
          <w:b/>
          <w:color w:val="2C5282"/>
          <w:sz w:val="26"/>
        </w:rPr>
        <w:t>4. The Dual-Head Stacker Meta-Learner</w:t>
      </w:r>
    </w:p>
    <w:p w14:paraId="0226A771" w14:textId="77777777" w:rsidR="00031292" w:rsidRDefault="00000000">
      <w:pPr>
        <w:spacing w:after="80"/>
      </w:pPr>
      <w:r>
        <w:t>Traditional ensembles use simple weighted averages to combine model predictions. However, in regime-shifting markets, base model performance is highly variable. The Manager Layer uses a Dual-Head Stacker Meta-Learner (trained on a chronological 20% hold-out validation set) to resolve this:</w:t>
      </w:r>
    </w:p>
    <w:p w14:paraId="1FF23E52" w14:textId="77777777" w:rsidR="00031292" w:rsidRDefault="00000000">
      <w:pPr>
        <w:spacing w:before="240"/>
      </w:pPr>
      <w:r>
        <w:rPr>
          <w:b/>
          <w:color w:val="4A5568"/>
          <w:sz w:val="23"/>
        </w:rPr>
        <w:t>A. Meta-Feature Matrix</w:t>
      </w:r>
    </w:p>
    <w:p w14:paraId="2B4D7FF9" w14:textId="77777777" w:rsidR="00031292" w:rsidRDefault="00000000">
      <w:pPr>
        <w:spacing w:after="80"/>
      </w:pPr>
      <w:r>
        <w:t>The input to the Stacker is a meta-feature vector containing:</w:t>
      </w:r>
    </w:p>
    <w:p w14:paraId="57333611" w14:textId="77777777" w:rsidR="00031292" w:rsidRDefault="00000000">
      <w:pPr>
        <w:spacing w:before="200" w:after="200"/>
        <w:jc w:val="center"/>
      </w:pPr>
      <m:oMathPara>
        <m:oMath>
          <m:sSub>
            <m:sSubPr>
              <m:ctrlPr>
                <w:rPr>
                  <w:rFonts w:ascii="Cambria Math" w:hAnsi="Cambria Math"/>
                </w:rPr>
              </m:ctrlPr>
            </m:sSubPr>
            <m:e>
              <m:r>
                <w:rPr>
                  <w:rFonts w:ascii="Cambria Math" w:eastAsia="Cambria Math" w:hAnsi="Cambria Math" w:cs="Cambria Math"/>
                </w:rPr>
                <m:t>X</m:t>
              </m:r>
            </m:e>
            <m:sub>
              <m:r>
                <m:rPr>
                  <m:nor/>
                </m:rPr>
                <w:rPr>
                  <w:rFonts w:ascii="Cambria Math" w:eastAsia="Cambria Math" w:hAnsi="Cambria Math" w:cs="Cambria Math"/>
                </w:rPr>
                <m:t>meta</m:t>
              </m:r>
            </m:sub>
          </m:sSub>
          <m:r>
            <w:rPr>
              <w:rFonts w:ascii="Cambria Math" w:eastAsia="Cambria Math" w:hAnsi="Cambria Math" w:cs="Cambria Math"/>
            </w:rPr>
            <m:t>=[</m:t>
          </m:r>
          <m:r>
            <m:rPr>
              <m:nor/>
            </m:rPr>
            <w:rPr>
              <w:rFonts w:ascii="Cambria Math" w:eastAsia="Cambria Math" w:hAnsi="Cambria Math" w:cs="Cambria Math"/>
            </w:rPr>
            <m:t>lstm pred</m:t>
          </m:r>
          <m:r>
            <w:rPr>
              <w:rFonts w:ascii="Cambria Math" w:eastAsia="Cambria Math" w:hAnsi="Cambria Math" w:cs="Cambria Math"/>
            </w:rPr>
            <m:t>,</m:t>
          </m:r>
          <m:r>
            <m:rPr>
              <m:nor/>
            </m:rPr>
            <w:rPr>
              <w:rFonts w:ascii="Cambria Math" w:eastAsia="Cambria Math" w:hAnsi="Cambria Math" w:cs="Cambria Math"/>
            </w:rPr>
            <m:t>xgb pred</m:t>
          </m:r>
          <m:r>
            <w:rPr>
              <w:rFonts w:ascii="Cambria Math" w:eastAsia="Cambria Math" w:hAnsi="Cambria Math" w:cs="Cambria Math"/>
            </w:rPr>
            <m:t>,</m:t>
          </m:r>
          <m:r>
            <m:rPr>
              <m:nor/>
            </m:rPr>
            <w:rPr>
              <w:rFonts w:ascii="Cambria Math" w:eastAsia="Cambria Math" w:hAnsi="Cambria Math" w:cs="Cambria Math"/>
            </w:rPr>
            <m:t>VIX</m:t>
          </m:r>
          <m:r>
            <w:rPr>
              <w:rFonts w:ascii="Cambria Math" w:eastAsia="Cambria Math" w:hAnsi="Cambria Math" w:cs="Cambria Math"/>
            </w:rPr>
            <m:t>,</m:t>
          </m:r>
          <m:r>
            <m:rPr>
              <m:nor/>
            </m:rPr>
            <w:rPr>
              <w:rFonts w:ascii="Cambria Math" w:eastAsia="Cambria Math" w:hAnsi="Cambria Math" w:cs="Cambria Math"/>
            </w:rPr>
            <m:t>GK Vol 21d</m:t>
          </m:r>
          <m:r>
            <w:rPr>
              <w:rFonts w:ascii="Cambria Math" w:eastAsia="Cambria Math" w:hAnsi="Cambria Math" w:cs="Cambria Math"/>
            </w:rPr>
            <m:t>,</m:t>
          </m:r>
          <m:r>
            <m:rPr>
              <m:nor/>
            </m:rPr>
            <w:rPr>
              <w:rFonts w:ascii="Cambria Math" w:eastAsia="Cambria Math" w:hAnsi="Cambria Math" w:cs="Cambria Math"/>
            </w:rPr>
            <m:t>Sentiment</m:t>
          </m:r>
          <m:r>
            <w:rPr>
              <w:rFonts w:ascii="Cambria Math" w:eastAsia="Cambria Math" w:hAnsi="Cambria Math" w:cs="Cambria Math"/>
            </w:rPr>
            <m:t>,</m:t>
          </m:r>
          <m:r>
            <m:rPr>
              <m:nor/>
            </m:rPr>
            <w:rPr>
              <w:rFonts w:ascii="Cambria Math" w:eastAsia="Cambria Math" w:hAnsi="Cambria Math" w:cs="Cambria Math"/>
            </w:rPr>
            <m:t>Sentiment Std</m:t>
          </m:r>
          <m:r>
            <w:rPr>
              <w:rFonts w:ascii="Cambria Math" w:eastAsia="Cambria Math" w:hAnsi="Cambria Math" w:cs="Cambria Math"/>
            </w:rPr>
            <m:t>,</m:t>
          </m:r>
          <m:r>
            <m:rPr>
              <m:nor/>
            </m:rPr>
            <w:rPr>
              <w:rFonts w:ascii="Cambria Math" w:eastAsia="Cambria Math" w:hAnsi="Cambria Math" w:cs="Cambria Math"/>
            </w:rPr>
            <m:t>YieldCurve 10Y2Y</m:t>
          </m:r>
          <m:r>
            <w:rPr>
              <w:rFonts w:ascii="Cambria Math" w:eastAsia="Cambria Math" w:hAnsi="Cambria Math" w:cs="Cambria Math"/>
            </w:rPr>
            <m:t>,</m:t>
          </m:r>
          <m:r>
            <m:rPr>
              <m:nor/>
            </m:rPr>
            <w:rPr>
              <w:rFonts w:ascii="Cambria Math" w:eastAsia="Cambria Math" w:hAnsi="Cambria Math" w:cs="Cambria Math"/>
            </w:rPr>
            <m:t>DXY</m:t>
          </m:r>
          <m:r>
            <w:rPr>
              <w:rFonts w:ascii="Cambria Math" w:eastAsia="Cambria Math" w:hAnsi="Cambria Math" w:cs="Cambria Math"/>
            </w:rPr>
            <m:t>]</m:t>
          </m:r>
        </m:oMath>
      </m:oMathPara>
    </w:p>
    <w:p w14:paraId="62AE165F" w14:textId="77777777" w:rsidR="00031292" w:rsidRDefault="00000000">
      <w:pPr>
        <w:spacing w:after="80"/>
      </w:pPr>
      <w:r>
        <w:t xml:space="preserve">This matrix is normalized using a </w:t>
      </w:r>
      <w:r>
        <w:rPr>
          <w:rFonts w:ascii="Consolas" w:hAnsi="Consolas"/>
          <w:sz w:val="19"/>
        </w:rPr>
        <w:t>Meta StandardScaler</w:t>
      </w:r>
      <w:r>
        <w:t xml:space="preserve"> before entering the heads.</w:t>
      </w:r>
    </w:p>
    <w:p w14:paraId="4B9D1F71" w14:textId="77777777" w:rsidR="00031292" w:rsidRDefault="00000000">
      <w:pPr>
        <w:spacing w:before="240"/>
      </w:pPr>
      <w:r>
        <w:rPr>
          <w:b/>
          <w:color w:val="4A5568"/>
          <w:sz w:val="23"/>
        </w:rPr>
        <w:t>B. Head 1: Direction Head (LogisticRegressionCV)</w:t>
      </w:r>
    </w:p>
    <w:p w14:paraId="65CBFF3A" w14:textId="77777777" w:rsidR="00031292" w:rsidRDefault="00000000">
      <w:pPr>
        <w:spacing w:after="80"/>
      </w:pPr>
      <w:r>
        <w:t>The Direction Head acts as a probabilistic classifier. It is trained to predict the binary direction of the return (</w:t>
      </w:r>
      <w:r>
        <w:rPr>
          <w:rFonts w:ascii="Consolas" w:hAnsi="Consolas"/>
          <w:sz w:val="19"/>
        </w:rPr>
        <w:t>y_dir = 1</w:t>
      </w:r>
      <w:r>
        <w:t xml:space="preserve"> if return </w:t>
      </w:r>
      <w:r>
        <w:rPr>
          <w:rFonts w:ascii="Consolas" w:hAnsi="Consolas"/>
          <w:sz w:val="19"/>
        </w:rPr>
        <w:t>&gt; 0</w:t>
      </w:r>
      <w:r>
        <w:t xml:space="preserve">, else </w:t>
      </w:r>
      <w:r>
        <w:rPr>
          <w:rFonts w:ascii="Consolas" w:hAnsi="Consolas"/>
          <w:sz w:val="19"/>
        </w:rPr>
        <w:t>0</w:t>
      </w:r>
      <w:r>
        <w:t xml:space="preserve">) using L2 penalty selection (cross-validated across </w:t>
      </w:r>
      <w:r>
        <w:rPr>
          <w:rFonts w:ascii="Consolas" w:hAnsi="Consolas"/>
          <w:sz w:val="19"/>
        </w:rPr>
        <w:t>Cs=[0.01, 0.1, 1.0, 10.0, 100.0]</w:t>
      </w:r>
      <w:r>
        <w:t>) and 5-fold cross-validation. The model minimizes Binary Cross-Entropy Loss:</w:t>
      </w:r>
    </w:p>
    <w:p w14:paraId="5E0B315B" w14:textId="77777777" w:rsidR="00031292" w:rsidRDefault="00000000">
      <w:pPr>
        <w:spacing w:before="200" w:after="200"/>
        <w:jc w:val="center"/>
      </w:pPr>
      <m:oMathPara>
        <m:oMath>
          <m:r>
            <w:rPr>
              <w:rFonts w:ascii="Cambria Math" w:eastAsia="Cambria Math" w:hAnsi="Cambria Math" w:cs="Cambria Math"/>
            </w:rPr>
            <m:t>Loss=-</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N</m:t>
              </m:r>
            </m:den>
          </m:f>
          <m:nary>
            <m:naryPr>
              <m:chr m:val="∑"/>
              <m:limLoc m:val="subSup"/>
              <m:grow m:val="1"/>
              <m:supHide m:val="1"/>
              <m:ctrlPr>
                <w:rPr>
                  <w:rFonts w:ascii="Cambria Math" w:hAnsi="Cambria Math"/>
                </w:rPr>
              </m:ctrlPr>
            </m:naryPr>
            <m:sub>
              <m:r>
                <w:rPr>
                  <w:rFonts w:ascii="Cambria Math" w:eastAsia="Cambria Math" w:hAnsi="Cambria Math" w:cs="Cambria Math"/>
                </w:rPr>
                <m:t>i</m:t>
              </m:r>
            </m:sub>
            <m:sup/>
            <m:e>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m:rPr>
                      <m:nor/>
                    </m:rPr>
                    <w:rPr>
                      <w:rFonts w:ascii="Cambria Math" w:eastAsia="Cambria Math" w:hAnsi="Cambria Math" w:cs="Cambria Math"/>
                    </w:rPr>
                    <m:t>dir</m:t>
                  </m:r>
                  <m:r>
                    <w:rPr>
                      <w:rFonts w:ascii="Cambria Math" w:eastAsia="Cambria Math" w:hAnsi="Cambria Math" w:cs="Cambria Math"/>
                    </w:rPr>
                    <m:t>,i</m:t>
                  </m:r>
                </m:sub>
              </m:sSub>
              <m:r>
                <m:rPr>
                  <m:sty m:val="p"/>
                </m:rPr>
                <w:rPr>
                  <w:rFonts w:ascii="Cambria Math" w:eastAsia="Cambria Math" w:hAnsi="Cambria Math" w:cs="Cambria Math"/>
                </w:rPr>
                <m:t>ln</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i</m:t>
                  </m:r>
                </m:sub>
              </m:sSub>
              <m:r>
                <w:rPr>
                  <w:rFonts w:ascii="Cambria Math" w:eastAsia="Cambria Math" w:hAnsi="Cambria Math" w:cs="Cambria Math"/>
                </w:rPr>
                <m:t>)+(1-</m:t>
              </m:r>
              <m:sSub>
                <m:sSubPr>
                  <m:ctrlPr>
                    <w:rPr>
                      <w:rFonts w:ascii="Cambria Math" w:hAnsi="Cambria Math"/>
                    </w:rPr>
                  </m:ctrlPr>
                </m:sSubPr>
                <m:e>
                  <m:r>
                    <w:rPr>
                      <w:rFonts w:ascii="Cambria Math" w:eastAsia="Cambria Math" w:hAnsi="Cambria Math" w:cs="Cambria Math"/>
                    </w:rPr>
                    <m:t>y</m:t>
                  </m:r>
                </m:e>
                <m:sub>
                  <m:r>
                    <m:rPr>
                      <m:nor/>
                    </m:rPr>
                    <w:rPr>
                      <w:rFonts w:ascii="Cambria Math" w:eastAsia="Cambria Math" w:hAnsi="Cambria Math" w:cs="Cambria Math"/>
                    </w:rPr>
                    <m:t>dir</m:t>
                  </m:r>
                  <m:r>
                    <w:rPr>
                      <w:rFonts w:ascii="Cambria Math" w:eastAsia="Cambria Math" w:hAnsi="Cambria Math" w:cs="Cambria Math"/>
                    </w:rPr>
                    <m:t>,i</m:t>
                  </m:r>
                </m:sub>
              </m:sSub>
              <m:r>
                <w:rPr>
                  <w:rFonts w:ascii="Cambria Math" w:eastAsia="Cambria Math" w:hAnsi="Cambria Math" w:cs="Cambria Math"/>
                </w:rPr>
                <m:t>)</m:t>
              </m:r>
              <m:r>
                <m:rPr>
                  <m:sty m:val="p"/>
                </m:rPr>
                <w:rPr>
                  <w:rFonts w:ascii="Cambria Math" w:eastAsia="Cambria Math" w:hAnsi="Cambria Math" w:cs="Cambria Math"/>
                </w:rPr>
                <m:t>ln</m:t>
              </m:r>
              <m:r>
                <w:rPr>
                  <w:rFonts w:ascii="Cambria Math" w:eastAsia="Cambria Math" w:hAnsi="Cambria Math" w:cs="Cambria Math"/>
                </w:rPr>
                <m:t>(1-</m:t>
              </m:r>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i</m:t>
                  </m:r>
                </m:sub>
              </m:sSub>
              <m:r>
                <w:rPr>
                  <w:rFonts w:ascii="Cambria Math" w:eastAsia="Cambria Math" w:hAnsi="Cambria Math" w:cs="Cambria Math"/>
                </w:rPr>
                <m:t>)]</m:t>
              </m:r>
            </m:e>
          </m:nary>
        </m:oMath>
      </m:oMathPara>
    </w:p>
    <w:p w14:paraId="6E714F5D" w14:textId="77777777" w:rsidR="00031292" w:rsidRDefault="00000000">
      <w:pPr>
        <w:spacing w:after="80"/>
      </w:pPr>
      <w:r>
        <w:t xml:space="preserve">Crucially, the Direction Head sets </w:t>
      </w:r>
      <w:r>
        <w:rPr>
          <w:rFonts w:ascii="Consolas" w:hAnsi="Consolas"/>
          <w:sz w:val="19"/>
        </w:rPr>
        <w:t>class_weight='balanced'</w:t>
      </w:r>
      <w:r>
        <w:t xml:space="preserve"> to correct for any historical upward bias in assets, focusing strictly on directional accuracy (Hit Ratio).</w:t>
      </w:r>
    </w:p>
    <w:p w14:paraId="0BFEA4CA" w14:textId="77777777" w:rsidR="00031292" w:rsidRDefault="00000000">
      <w:pPr>
        <w:spacing w:before="240"/>
      </w:pPr>
      <w:r>
        <w:rPr>
          <w:b/>
          <w:color w:val="4A5568"/>
          <w:sz w:val="23"/>
        </w:rPr>
        <w:t>C. Head 2: Magnitude Head (HuberRegressor)</w:t>
      </w:r>
    </w:p>
    <w:p w14:paraId="4304928E" w14:textId="77777777" w:rsidR="00031292" w:rsidRDefault="00000000">
      <w:pPr>
        <w:spacing w:after="80"/>
      </w:pPr>
      <w:r>
        <w:t>The Magnitude Head predicts the absolute percentage return. Standard ordinary least squares (OLS) regression minimizes mean squared error (MSE), which heavily penalizes large errors. In financial markets, tail-risk events (e.g., sudden market crashes) dominate OLS training, causing the model to overfit to outliers. The Magnitude Head uses a Huber Loss function (</w:t>
      </w:r>
      <w:r>
        <w:rPr>
          <w:rFonts w:ascii="Consolas" w:hAnsi="Consolas"/>
          <w:sz w:val="19"/>
        </w:rPr>
        <w:t>epsilon=1.35</w:t>
      </w:r>
      <w:r>
        <w:t>, L2 regularization=</w:t>
      </w:r>
      <w:r>
        <w:rPr>
          <w:rFonts w:ascii="Consolas" w:hAnsi="Consolas"/>
          <w:sz w:val="19"/>
        </w:rPr>
        <w:t>0.001</w:t>
      </w:r>
      <w:r>
        <w:t>):</w:t>
      </w:r>
    </w:p>
    <w:p w14:paraId="21771BC4" w14:textId="77777777" w:rsidR="00031292" w:rsidRDefault="00000000">
      <w:pPr>
        <w:spacing w:before="200" w:after="200"/>
        <w:jc w:val="center"/>
      </w:pPr>
      <m:oMathPara>
        <m:oMath>
          <m:r>
            <w:rPr>
              <w:rFonts w:ascii="Cambria Math" w:eastAsia="Cambria Math" w:hAnsi="Cambria Math" w:cs="Cambria Math"/>
            </w:rPr>
            <m:t>Loss={</m:t>
          </m:r>
          <m:m>
            <m:mPr>
              <m:plcHide m:val="1"/>
              <m:mcs>
                <m:mc>
                  <m:mcPr>
                    <m:count m:val="2"/>
                    <m:mcJc m:val="center"/>
                  </m:mcPr>
                </m:mc>
              </m:mcs>
              <m:ctrlPr>
                <w:rPr>
                  <w:rFonts w:ascii="Cambria Math" w:hAnsi="Cambria Math"/>
                </w:rPr>
              </m:ctrlPr>
            </m:mPr>
            <m:mr>
              <m:e>
                <m:r>
                  <w:rPr>
                    <w:rFonts w:ascii="Cambria Math" w:eastAsia="Cambria Math" w:hAnsi="Cambria Math" w:cs="Cambria Math"/>
                  </w:rPr>
                  <m:t>0.5·(y-</m:t>
                </m:r>
                <m:acc>
                  <m:accPr>
                    <m:chr m:val="^"/>
                    <m:ctrlPr>
                      <w:rPr>
                        <w:rFonts w:ascii="Cambria Math" w:hAnsi="Cambria Math"/>
                      </w:rPr>
                    </m:ctrlPr>
                  </m:accPr>
                  <m:e>
                    <m:r>
                      <w:rPr>
                        <w:rFonts w:ascii="Cambria Math" w:eastAsia="Cambria Math" w:hAnsi="Cambria Math" w:cs="Cambria Math"/>
                      </w:rPr>
                      <m:t>y</m:t>
                    </m:r>
                  </m:e>
                </m:acc>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e>
              <m:e>
                <m:r>
                  <m:rPr>
                    <m:nor/>
                  </m:rPr>
                  <w:rPr>
                    <w:rFonts w:ascii="Cambria Math" w:eastAsia="Cambria Math" w:hAnsi="Cambria Math" w:cs="Cambria Math"/>
                  </w:rPr>
                  <m:t>for </m:t>
                </m:r>
                <m:r>
                  <w:rPr>
                    <w:rFonts w:ascii="Cambria Math" w:eastAsia="Cambria Math" w:hAnsi="Cambria Math" w:cs="Cambria Math"/>
                  </w:rPr>
                  <m:t>|y-</m:t>
                </m:r>
                <m:acc>
                  <m:accPr>
                    <m:chr m:val="^"/>
                    <m:ctrlPr>
                      <w:rPr>
                        <w:rFonts w:ascii="Cambria Math" w:hAnsi="Cambria Math"/>
                      </w:rPr>
                    </m:ctrlPr>
                  </m:accPr>
                  <m:e>
                    <m:r>
                      <w:rPr>
                        <w:rFonts w:ascii="Cambria Math" w:eastAsia="Cambria Math" w:hAnsi="Cambria Math" w:cs="Cambria Math"/>
                      </w:rPr>
                      <m:t>y</m:t>
                    </m:r>
                  </m:e>
                </m:acc>
                <m:r>
                  <w:rPr>
                    <w:rFonts w:ascii="Cambria Math" w:eastAsia="Cambria Math" w:hAnsi="Cambria Math" w:cs="Cambria Math"/>
                  </w:rPr>
                  <m:t>|≤ϵ</m:t>
                </m:r>
              </m:e>
            </m:mr>
            <m:mr>
              <m:e>
                <m:r>
                  <w:rPr>
                    <w:rFonts w:ascii="Cambria Math" w:eastAsia="Cambria Math" w:hAnsi="Cambria Math" w:cs="Cambria Math"/>
                  </w:rPr>
                  <m:t>ϵ·(|y-</m:t>
                </m:r>
                <m:acc>
                  <m:accPr>
                    <m:chr m:val="^"/>
                    <m:ctrlPr>
                      <w:rPr>
                        <w:rFonts w:ascii="Cambria Math" w:hAnsi="Cambria Math"/>
                      </w:rPr>
                    </m:ctrlPr>
                  </m:accPr>
                  <m:e>
                    <m:r>
                      <w:rPr>
                        <w:rFonts w:ascii="Cambria Math" w:eastAsia="Cambria Math" w:hAnsi="Cambria Math" w:cs="Cambria Math"/>
                      </w:rPr>
                      <m:t>y</m:t>
                    </m:r>
                  </m:e>
                </m:acc>
                <m:r>
                  <w:rPr>
                    <w:rFonts w:ascii="Cambria Math" w:eastAsia="Cambria Math" w:hAnsi="Cambria Math" w:cs="Cambria Math"/>
                  </w:rPr>
                  <m:t>|-0.5·ϵ)</m:t>
                </m:r>
              </m:e>
              <m:e>
                <m:r>
                  <m:rPr>
                    <m:nor/>
                  </m:rPr>
                  <w:rPr>
                    <w:rFonts w:ascii="Cambria Math" w:eastAsia="Cambria Math" w:hAnsi="Cambria Math" w:cs="Cambria Math"/>
                  </w:rPr>
                  <m:t>for </m:t>
                </m:r>
                <m:r>
                  <w:rPr>
                    <w:rFonts w:ascii="Cambria Math" w:eastAsia="Cambria Math" w:hAnsi="Cambria Math" w:cs="Cambria Math"/>
                  </w:rPr>
                  <m:t>|y-</m:t>
                </m:r>
                <m:acc>
                  <m:accPr>
                    <m:chr m:val="^"/>
                    <m:ctrlPr>
                      <w:rPr>
                        <w:rFonts w:ascii="Cambria Math" w:hAnsi="Cambria Math"/>
                      </w:rPr>
                    </m:ctrlPr>
                  </m:accPr>
                  <m:e>
                    <m:r>
                      <w:rPr>
                        <w:rFonts w:ascii="Cambria Math" w:eastAsia="Cambria Math" w:hAnsi="Cambria Math" w:cs="Cambria Math"/>
                      </w:rPr>
                      <m:t>y</m:t>
                    </m:r>
                  </m:e>
                </m:acc>
                <m:r>
                  <w:rPr>
                    <w:rFonts w:ascii="Cambria Math" w:eastAsia="Cambria Math" w:hAnsi="Cambria Math" w:cs="Cambria Math"/>
                  </w:rPr>
                  <m:t>|&gt;ϵ</m:t>
                </m:r>
              </m:e>
            </m:mr>
          </m:m>
        </m:oMath>
      </m:oMathPara>
    </w:p>
    <w:p w14:paraId="7171014C" w14:textId="77777777" w:rsidR="00031292" w:rsidRDefault="00000000">
      <w:pPr>
        <w:spacing w:after="80"/>
      </w:pPr>
      <w:r>
        <w:t>This penalizes outliers linearly rather than quadratically, rendering the magnitude estimation robust to market spikes.</w:t>
      </w:r>
    </w:p>
    <w:p w14:paraId="174BAB4F" w14:textId="77777777" w:rsidR="00031292" w:rsidRDefault="00000000">
      <w:pPr>
        <w:spacing w:before="240"/>
      </w:pPr>
      <w:r>
        <w:rPr>
          <w:b/>
          <w:color w:val="4A5568"/>
          <w:sz w:val="23"/>
        </w:rPr>
        <w:t>D. Combined Output Synthesis</w:t>
      </w:r>
    </w:p>
    <w:p w14:paraId="4CF7C25A" w14:textId="77777777" w:rsidR="00031292" w:rsidRDefault="00000000">
      <w:pPr>
        <w:spacing w:after="80"/>
      </w:pPr>
      <w:r>
        <w:t>The predictions of the two heads are combined to generate the final expected return signal:</w:t>
      </w:r>
    </w:p>
    <w:p w14:paraId="57E7C991" w14:textId="77777777" w:rsidR="00031292" w:rsidRDefault="00000000">
      <w:pPr>
        <w:spacing w:before="200" w:after="200"/>
        <w:jc w:val="center"/>
      </w:pPr>
      <m:oMathPara>
        <m:oMath>
          <m:r>
            <m:rPr>
              <m:nor/>
            </m:rPr>
            <w:rPr>
              <w:rFonts w:ascii="Cambria Math" w:eastAsia="Cambria Math" w:hAnsi="Cambria Math" w:cs="Cambria Math"/>
            </w:rPr>
            <w:lastRenderedPageBreak/>
            <m:t>Final Return</m:t>
          </m:r>
          <m:r>
            <w:rPr>
              <w:rFonts w:ascii="Cambria Math" w:eastAsia="Cambria Math" w:hAnsi="Cambria Math" w:cs="Cambria Math"/>
            </w:rPr>
            <m:t>=(2·P(</m:t>
          </m:r>
          <m:r>
            <m:rPr>
              <m:nor/>
            </m:rPr>
            <w:rPr>
              <w:rFonts w:ascii="Cambria Math" w:eastAsia="Cambria Math" w:hAnsi="Cambria Math" w:cs="Cambria Math"/>
            </w:rPr>
            <m:t>Up</m:t>
          </m:r>
          <m:r>
            <w:rPr>
              <w:rFonts w:ascii="Cambria Math" w:eastAsia="Cambria Math" w:hAnsi="Cambria Math" w:cs="Cambria Math"/>
            </w:rPr>
            <m:t>)-1)·|</m:t>
          </m:r>
          <m:r>
            <m:rPr>
              <m:nor/>
            </m:rPr>
            <w:rPr>
              <w:rFonts w:ascii="Cambria Math" w:eastAsia="Cambria Math" w:hAnsi="Cambria Math" w:cs="Cambria Math"/>
            </w:rPr>
            <m:t>Expected Magnitude</m:t>
          </m:r>
          <m:r>
            <w:rPr>
              <w:rFonts w:ascii="Cambria Math" w:eastAsia="Cambria Math" w:hAnsi="Cambria Math" w:cs="Cambria Math"/>
            </w:rPr>
            <m:t>|</m:t>
          </m:r>
        </m:oMath>
      </m:oMathPara>
    </w:p>
    <w:p w14:paraId="722C9577" w14:textId="77777777" w:rsidR="00031292" w:rsidRDefault="00000000">
      <w:pPr>
        <w:spacing w:after="80"/>
      </w:pPr>
      <w:r>
        <w:t xml:space="preserve">Where </w:t>
      </w:r>
      <w:r>
        <w:rPr>
          <w:rFonts w:ascii="Consolas" w:hAnsi="Consolas"/>
          <w:sz w:val="19"/>
        </w:rPr>
        <w:t>P(Up)</w:t>
      </w:r>
      <w:r>
        <w:t xml:space="preserve"> is the probability output of the Direction Head, and </w:t>
      </w:r>
      <w:r>
        <w:rPr>
          <w:rFonts w:ascii="Consolas" w:hAnsi="Consolas"/>
          <w:sz w:val="19"/>
        </w:rPr>
        <w:t>Expected_Magnitude</w:t>
      </w:r>
      <w:r>
        <w:t xml:space="preserve"> is the output of the Huber Regressor. This design resolves "Hesitation Bias" (where conflicting base models cause the ensemble to output a timid near-zero prediction) by forcing a directional choice scaled by historical volatility expectations.</w:t>
      </w:r>
    </w:p>
    <w:p w14:paraId="336EF59C" w14:textId="77777777" w:rsidR="00031292" w:rsidRDefault="00000000">
      <w:r>
        <w:br w:type="page"/>
      </w:r>
    </w:p>
    <w:p w14:paraId="42D1336B" w14:textId="77777777" w:rsidR="00031292" w:rsidRDefault="00000000">
      <w:pPr>
        <w:spacing w:before="400" w:after="240"/>
      </w:pPr>
      <w:r>
        <w:rPr>
          <w:b/>
          <w:color w:val="4A5568"/>
          <w:sz w:val="20"/>
        </w:rPr>
        <w:lastRenderedPageBreak/>
        <w:t>──────  PART 5 – PRODUCTION INFERENCE ENGINE &amp; TRAJECTORY SMOOTHING  ──────</w:t>
      </w:r>
    </w:p>
    <w:p w14:paraId="6EAE703A" w14:textId="77777777" w:rsidR="00031292" w:rsidRDefault="00000000">
      <w:pPr>
        <w:spacing w:before="440"/>
      </w:pPr>
      <w:r>
        <w:rPr>
          <w:b/>
          <w:color w:val="1A365D"/>
          <w:sz w:val="32"/>
        </w:rPr>
        <w:t>MARKET INTELLIGENCE SYSTEM: COMPREHENSIVE ARCHITECTURE &amp; RESEARCH WHITEPAPER</w:t>
      </w:r>
    </w:p>
    <w:p w14:paraId="3514518A" w14:textId="77777777" w:rsidR="00031292" w:rsidRDefault="00000000">
      <w:pPr>
        <w:spacing w:before="320"/>
      </w:pPr>
      <w:r>
        <w:rPr>
          <w:b/>
          <w:color w:val="2C5282"/>
          <w:sz w:val="26"/>
        </w:rPr>
        <w:t>PART 5: PRODUCTION INFERENCE ENGINE, TRAJECTORY SMOOTHING, &amp; SRE ROADMAP</w:t>
      </w:r>
    </w:p>
    <w:p w14:paraId="6788E755" w14:textId="77777777" w:rsidR="00031292" w:rsidRDefault="00000000">
      <w:pPr>
        <w:spacing w:before="320"/>
      </w:pPr>
      <w:r>
        <w:rPr>
          <w:b/>
          <w:color w:val="2C5282"/>
          <w:sz w:val="26"/>
        </w:rPr>
        <w:t>1. DAILY INFERENCE EXECUTION PIPELINE (STATE-MACHINE)</w:t>
      </w:r>
    </w:p>
    <w:p w14:paraId="0A1F9DAB" w14:textId="77777777" w:rsidR="00031292" w:rsidRDefault="00000000">
      <w:pPr>
        <w:spacing w:after="80"/>
      </w:pPr>
      <w:r>
        <w:t xml:space="preserve">The production inference loop is orchestrated by </w:t>
      </w:r>
      <w:r>
        <w:rPr>
          <w:rFonts w:ascii="Consolas" w:hAnsi="Consolas"/>
          <w:sz w:val="19"/>
        </w:rPr>
        <w:t>utils/predictor_engine.py</w:t>
      </w:r>
      <w:r>
        <w:t xml:space="preserve"> and runs on a daily schedule. The execution path follows a strict, sequential state machine to ensure data integrity and prevent runtime crashes:</w:t>
      </w:r>
    </w:p>
    <w:p w14:paraId="79F07146" w14:textId="77777777" w:rsidR="00031292" w:rsidRDefault="00000000">
      <w:pPr>
        <w:spacing w:after="60"/>
        <w:ind w:left="432"/>
      </w:pPr>
      <w:r>
        <w:rPr>
          <w:b/>
        </w:rPr>
        <w:t>State 1: Data Ingestion and Validation</w:t>
      </w:r>
    </w:p>
    <w:p w14:paraId="18368790" w14:textId="77777777" w:rsidR="00031292" w:rsidRDefault="00000000">
      <w:pPr>
        <w:spacing w:after="80"/>
      </w:pPr>
      <w:r>
        <w:t>The engine fetches the latest closing prices (</w:t>
      </w:r>
      <w:r>
        <w:rPr>
          <w:rFonts w:ascii="Consolas" w:hAnsi="Consolas"/>
          <w:sz w:val="19"/>
        </w:rPr>
        <w:t>t=0</w:t>
      </w:r>
      <w:r>
        <w:t xml:space="preserve">) and computes daily technical indicators (e.g., </w:t>
      </w:r>
      <w:r>
        <w:rPr>
          <w:rFonts w:ascii="Consolas" w:hAnsi="Consolas"/>
          <w:sz w:val="19"/>
        </w:rPr>
        <w:t>EMA_90</w:t>
      </w:r>
      <w:r>
        <w:t>, realized volatility).</w:t>
      </w:r>
    </w:p>
    <w:p w14:paraId="7EFB5FF9" w14:textId="77777777" w:rsidR="00031292" w:rsidRDefault="00000000">
      <w:pPr>
        <w:spacing w:after="60"/>
        <w:ind w:left="432"/>
      </w:pPr>
      <w:r>
        <w:rPr>
          <w:b/>
        </w:rPr>
        <w:t>State 2: Macroeconomic and COT Synchronization</w:t>
      </w:r>
    </w:p>
    <w:p w14:paraId="0C9DCA4C" w14:textId="77777777" w:rsidR="00031292" w:rsidRDefault="00000000">
      <w:pPr>
        <w:spacing w:after="80"/>
      </w:pPr>
      <w:r>
        <w:t xml:space="preserve">The engine queries DuckDB OLAP tables to extract historical macroeconomic indicators and COT reports. It joins these datasets and computes rolling features (such as the 3-Year Rolling COT Index and the Smart Money Sentiment Gap) on the full historical dataset to guarantee valid rolling window calculations before extracting the final </w:t>
      </w:r>
      <w:r>
        <w:rPr>
          <w:rFonts w:ascii="Consolas" w:hAnsi="Consolas"/>
          <w:sz w:val="19"/>
        </w:rPr>
        <w:t>t=0</w:t>
      </w:r>
      <w:r>
        <w:t xml:space="preserve"> row.</w:t>
      </w:r>
    </w:p>
    <w:p w14:paraId="1C667C62" w14:textId="77777777" w:rsidR="00031292" w:rsidRDefault="00000000">
      <w:pPr>
        <w:spacing w:after="60"/>
        <w:ind w:left="432"/>
      </w:pPr>
      <w:r>
        <w:rPr>
          <w:b/>
        </w:rPr>
        <w:t>State 3: Base Learner Forward Pass (Worker Inference)</w:t>
      </w:r>
    </w:p>
    <w:p w14:paraId="22BE8CFA" w14:textId="77777777" w:rsidR="00031292" w:rsidRDefault="00000000">
      <w:pPr>
        <w:spacing w:after="80"/>
      </w:pPr>
      <w:r>
        <w:t xml:space="preserve">The scaled 60-day or 90-day feature window is passed to the LSTM models (Layer 1, Worker 1) to generate sequence predictions. Concurrently, the </w:t>
      </w:r>
      <w:r>
        <w:rPr>
          <w:rFonts w:ascii="Consolas" w:hAnsi="Consolas"/>
          <w:sz w:val="19"/>
        </w:rPr>
        <w:t>t=0</w:t>
      </w:r>
      <w:r>
        <w:t xml:space="preserve"> tabular macro vector is passed to the XGBoost regressors (Layer 1, Worker 2) to generate macro predictions.</w:t>
      </w:r>
    </w:p>
    <w:p w14:paraId="03331057" w14:textId="77777777" w:rsidR="00031292" w:rsidRDefault="00000000">
      <w:pPr>
        <w:spacing w:after="60"/>
        <w:ind w:left="432"/>
      </w:pPr>
      <w:r>
        <w:rPr>
          <w:b/>
        </w:rPr>
        <w:t>State 4: Meta-Learner Stacking (Manager Inference)</w:t>
      </w:r>
    </w:p>
    <w:p w14:paraId="590691F3" w14:textId="77777777" w:rsidR="00031292" w:rsidRDefault="00000000">
      <w:pPr>
        <w:spacing w:after="80"/>
      </w:pPr>
      <w:r>
        <w:t>The base model return predictions and live context features (</w:t>
      </w:r>
      <w:r>
        <w:rPr>
          <w:rFonts w:ascii="Consolas" w:hAnsi="Consolas"/>
          <w:sz w:val="19"/>
        </w:rPr>
        <w:t>VIX</w:t>
      </w:r>
      <w:r>
        <w:t xml:space="preserve">, </w:t>
      </w:r>
      <w:r>
        <w:rPr>
          <w:rFonts w:ascii="Consolas" w:hAnsi="Consolas"/>
          <w:sz w:val="19"/>
        </w:rPr>
        <w:t>DXY</w:t>
      </w:r>
      <w:r>
        <w:t>, Garman-Klass volatility, sentiment metrics) are assembled into a meta-vector. This vector is standardized and fed into the Dual-Head Stacker to output directional probability and return magnitude.</w:t>
      </w:r>
    </w:p>
    <w:p w14:paraId="6C1A07E5" w14:textId="77777777" w:rsidR="00031292" w:rsidRDefault="00000000">
      <w:pPr>
        <w:spacing w:after="60"/>
        <w:ind w:left="432"/>
      </w:pPr>
      <w:r>
        <w:rPr>
          <w:b/>
        </w:rPr>
        <w:t>State 5: CEO Layer Integration (Speculative Override)</w:t>
      </w:r>
    </w:p>
    <w:p w14:paraId="3DADCD42" w14:textId="77777777" w:rsidR="00031292" w:rsidRDefault="00000000">
      <w:pPr>
        <w:spacing w:after="80"/>
      </w:pPr>
      <w:r>
        <w:t>If news headlines are available and the Gemini API key is valid, the CEO Layer processes the chronologically-sorted, deduplicated news timeline. It outputs a drift multiplier, delta, and a bias vector. The drift multiplier scales the expected return, while the bias vector is logged for explainability.</w:t>
      </w:r>
    </w:p>
    <w:p w14:paraId="4FA83A90" w14:textId="77777777" w:rsidR="00031292" w:rsidRDefault="00000000">
      <w:pPr>
        <w:spacing w:after="60"/>
        <w:ind w:left="432"/>
      </w:pPr>
      <w:r>
        <w:rPr>
          <w:b/>
        </w:rPr>
        <w:t>State 6: Trajectory Generation and Monte Carlo Simulation</w:t>
      </w:r>
    </w:p>
    <w:p w14:paraId="03DB7B23" w14:textId="77777777" w:rsidR="00031292" w:rsidRDefault="00000000">
      <w:pPr>
        <w:spacing w:after="80"/>
      </w:pPr>
      <w:r>
        <w:t>The final expected returns are projected across a 90-day horizon, and 500 paths are simulated to construct the probability cloud. The results are logged to the database and passed to the Streamlit UI.</w:t>
      </w:r>
    </w:p>
    <w:p w14:paraId="160F9282" w14:textId="77777777" w:rsidR="00031292" w:rsidRDefault="00000000">
      <w:pPr>
        <w:spacing w:before="320"/>
      </w:pPr>
      <w:r>
        <w:rPr>
          <w:b/>
          <w:color w:val="2C5282"/>
          <w:sz w:val="26"/>
        </w:rPr>
        <w:t>2. TRAJECTORY GENERATION AND SMOOTHING</w:t>
      </w:r>
    </w:p>
    <w:p w14:paraId="6E743FD1" w14:textId="77777777" w:rsidR="00031292" w:rsidRDefault="00000000">
      <w:pPr>
        <w:spacing w:after="80"/>
      </w:pPr>
      <w:r>
        <w:lastRenderedPageBreak/>
        <w:t>A major challenge is displaying a daily 90-day forecast trajectory that is mathematically consistent with the model's direct predictions. The engine solves this through anchor-point interpolation:</w:t>
      </w:r>
    </w:p>
    <w:p w14:paraId="7CC136C6" w14:textId="77777777" w:rsidR="00031292" w:rsidRDefault="00000000">
      <w:pPr>
        <w:spacing w:after="60"/>
        <w:ind w:left="432"/>
      </w:pPr>
      <w:r>
        <w:t xml:space="preserve">The engine runs direct predictions for the target horizons </w:t>
      </w:r>
      <m:oMath>
        <m:r>
          <w:rPr>
            <w:rFonts w:ascii="Cambria Math" w:eastAsia="Cambria Math" w:hAnsi="Cambria Math" w:cs="Cambria Math"/>
          </w:rPr>
          <m:t>H=[1,7,14,30,90]</m:t>
        </m:r>
      </m:oMath>
      <w:r>
        <w:t xml:space="preserve"> days using the corresponding horizon models.</w:t>
      </w:r>
    </w:p>
    <w:p w14:paraId="1B5F41E4" w14:textId="77777777" w:rsidR="00031292" w:rsidRDefault="00000000">
      <w:pPr>
        <w:spacing w:after="60"/>
        <w:ind w:left="432"/>
      </w:pPr>
      <w:r>
        <w:t>This yields a set of discrete price points:</w:t>
      </w:r>
    </w:p>
    <w:p w14:paraId="306F9A53" w14:textId="77777777" w:rsidR="00031292" w:rsidRDefault="00000000">
      <w:pPr>
        <w:spacing w:before="200" w:after="200"/>
        <w:jc w:val="center"/>
      </w:pPr>
      <m:oMathPara>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H</m:t>
              </m:r>
            </m:sub>
          </m:sSub>
          <m:r>
            <w:rPr>
              <w:rFonts w:ascii="Cambria Math" w:eastAsia="Cambria Math" w:hAnsi="Cambria Math" w:cs="Cambria Math"/>
            </w:rPr>
            <m:t>=[</m:t>
          </m:r>
          <m:sSub>
            <m:sSubPr>
              <m:ctrlPr>
                <w:rPr>
                  <w:rFonts w:ascii="Cambria Math" w:hAnsi="Cambria Math"/>
                </w:rPr>
              </m:ctrlPr>
            </m:sSubPr>
            <m:e>
              <m:r>
                <m:rPr>
                  <m:nor/>
                </m:rPr>
                <w:rPr>
                  <w:rFonts w:ascii="Cambria Math" w:eastAsia="Cambria Math" w:hAnsi="Cambria Math" w:cs="Cambria Math"/>
                </w:rPr>
                <m:t>Price</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hAnsi="Cambria Math"/>
                </w:rPr>
              </m:ctrlPr>
            </m:sSubPr>
            <m:e>
              <m:r>
                <m:rPr>
                  <m:nor/>
                </m:rPr>
                <w:rPr>
                  <w:rFonts w:ascii="Cambria Math" w:eastAsia="Cambria Math" w:hAnsi="Cambria Math" w:cs="Cambria Math"/>
                </w:rPr>
                <m:t>Price</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m:rPr>
                  <m:nor/>
                </m:rPr>
                <w:rPr>
                  <w:rFonts w:ascii="Cambria Math" w:eastAsia="Cambria Math" w:hAnsi="Cambria Math" w:cs="Cambria Math"/>
                </w:rPr>
                <m:t>Price</m:t>
              </m:r>
            </m:e>
            <m:sub>
              <m:r>
                <w:rPr>
                  <w:rFonts w:ascii="Cambria Math" w:eastAsia="Cambria Math" w:hAnsi="Cambria Math" w:cs="Cambria Math"/>
                </w:rPr>
                <m:t>7</m:t>
              </m:r>
            </m:sub>
          </m:sSub>
          <m:r>
            <w:rPr>
              <w:rFonts w:ascii="Cambria Math" w:eastAsia="Cambria Math" w:hAnsi="Cambria Math" w:cs="Cambria Math"/>
            </w:rPr>
            <m:t>,</m:t>
          </m:r>
          <m:sSub>
            <m:sSubPr>
              <m:ctrlPr>
                <w:rPr>
                  <w:rFonts w:ascii="Cambria Math" w:hAnsi="Cambria Math"/>
                </w:rPr>
              </m:ctrlPr>
            </m:sSubPr>
            <m:e>
              <m:r>
                <m:rPr>
                  <m:nor/>
                </m:rPr>
                <w:rPr>
                  <w:rFonts w:ascii="Cambria Math" w:eastAsia="Cambria Math" w:hAnsi="Cambria Math" w:cs="Cambria Math"/>
                </w:rPr>
                <m:t>Price</m:t>
              </m:r>
            </m:e>
            <m:sub>
              <m:r>
                <w:rPr>
                  <w:rFonts w:ascii="Cambria Math" w:eastAsia="Cambria Math" w:hAnsi="Cambria Math" w:cs="Cambria Math"/>
                </w:rPr>
                <m:t>14</m:t>
              </m:r>
            </m:sub>
          </m:sSub>
          <m:r>
            <w:rPr>
              <w:rFonts w:ascii="Cambria Math" w:eastAsia="Cambria Math" w:hAnsi="Cambria Math" w:cs="Cambria Math"/>
            </w:rPr>
            <m:t>,</m:t>
          </m:r>
          <m:sSub>
            <m:sSubPr>
              <m:ctrlPr>
                <w:rPr>
                  <w:rFonts w:ascii="Cambria Math" w:hAnsi="Cambria Math"/>
                </w:rPr>
              </m:ctrlPr>
            </m:sSubPr>
            <m:e>
              <m:r>
                <m:rPr>
                  <m:nor/>
                </m:rPr>
                <w:rPr>
                  <w:rFonts w:ascii="Cambria Math" w:eastAsia="Cambria Math" w:hAnsi="Cambria Math" w:cs="Cambria Math"/>
                </w:rPr>
                <m:t>Price</m:t>
              </m:r>
            </m:e>
            <m:sub>
              <m:r>
                <w:rPr>
                  <w:rFonts w:ascii="Cambria Math" w:eastAsia="Cambria Math" w:hAnsi="Cambria Math" w:cs="Cambria Math"/>
                </w:rPr>
                <m:t>30</m:t>
              </m:r>
            </m:sub>
          </m:sSub>
          <m:r>
            <w:rPr>
              <w:rFonts w:ascii="Cambria Math" w:eastAsia="Cambria Math" w:hAnsi="Cambria Math" w:cs="Cambria Math"/>
            </w:rPr>
            <m:t>,</m:t>
          </m:r>
          <m:sSub>
            <m:sSubPr>
              <m:ctrlPr>
                <w:rPr>
                  <w:rFonts w:ascii="Cambria Math" w:hAnsi="Cambria Math"/>
                </w:rPr>
              </m:ctrlPr>
            </m:sSubPr>
            <m:e>
              <m:r>
                <m:rPr>
                  <m:nor/>
                </m:rPr>
                <w:rPr>
                  <w:rFonts w:ascii="Cambria Math" w:eastAsia="Cambria Math" w:hAnsi="Cambria Math" w:cs="Cambria Math"/>
                </w:rPr>
                <m:t>Price</m:t>
              </m:r>
            </m:e>
            <m:sub>
              <m:r>
                <w:rPr>
                  <w:rFonts w:ascii="Cambria Math" w:eastAsia="Cambria Math" w:hAnsi="Cambria Math" w:cs="Cambria Math"/>
                </w:rPr>
                <m:t>90</m:t>
              </m:r>
            </m:sub>
          </m:sSub>
          <m:r>
            <w:rPr>
              <w:rFonts w:ascii="Cambria Math" w:eastAsia="Cambria Math" w:hAnsi="Cambria Math" w:cs="Cambria Math"/>
            </w:rPr>
            <m:t>]</m:t>
          </m:r>
        </m:oMath>
      </m:oMathPara>
    </w:p>
    <w:p w14:paraId="44803B78" w14:textId="77777777" w:rsidR="00031292" w:rsidRDefault="00000000">
      <w:pPr>
        <w:spacing w:after="60"/>
        <w:ind w:left="432"/>
      </w:pPr>
      <w:r>
        <w:t>To construct a smooth daily path without running ninety individual models (which would introduce noise and horizon decoherence), the engine interpolates these anchor points using a daily evaluation space (</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eval</m:t>
            </m:r>
          </m:sub>
        </m:sSub>
        <m:r>
          <w:rPr>
            <w:rFonts w:ascii="Cambria Math" w:eastAsia="Cambria Math" w:hAnsi="Cambria Math" w:cs="Cambria Math"/>
          </w:rPr>
          <m:t>=1</m:t>
        </m:r>
        <m:r>
          <m:rPr>
            <m:nor/>
          </m:rPr>
          <w:rPr>
            <w:rFonts w:ascii="Cambria Math" w:eastAsia="Cambria Math" w:hAnsi="Cambria Math" w:cs="Cambria Math"/>
          </w:rPr>
          <m:t> to </m:t>
        </m:r>
        <m:r>
          <w:rPr>
            <w:rFonts w:ascii="Cambria Math" w:eastAsia="Cambria Math" w:hAnsi="Cambria Math" w:cs="Cambria Math"/>
          </w:rPr>
          <m:t>90</m:t>
        </m:r>
      </m:oMath>
      <w:r>
        <w:t xml:space="preserve">) via the </w:t>
      </w:r>
      <w:r>
        <w:rPr>
          <w:rFonts w:ascii="Consolas" w:hAnsi="Consolas"/>
          <w:sz w:val="19"/>
        </w:rPr>
        <w:t>numpy.interp</w:t>
      </w:r>
      <w:r>
        <w:t xml:space="preserve"> function. This produces a smooth, natural trajectory for display on Streamlit charts.</w:t>
      </w:r>
    </w:p>
    <w:p w14:paraId="067631DB" w14:textId="77777777" w:rsidR="00031292" w:rsidRDefault="00000000">
      <w:pPr>
        <w:spacing w:before="320"/>
      </w:pPr>
      <w:r>
        <w:rPr>
          <w:b/>
          <w:color w:val="2C5282"/>
          <w:sz w:val="26"/>
        </w:rPr>
        <w:t>3. POWER-LAW MOMENTUM DECAY</w:t>
      </w:r>
    </w:p>
    <w:p w14:paraId="7F634811" w14:textId="77777777" w:rsidR="00031292" w:rsidRDefault="00000000">
      <w:pPr>
        <w:spacing w:after="80"/>
      </w:pPr>
      <w:r>
        <w:t>If a specific horizon model (e.g., 90-day LSTM) is missing or fails to load, the engine falls back to projecting the 7-day Dual-Head Stacker prediction across the 90-day trajectory. Simply extrapolating a 7-day expected return linearly (e.g., multiplying a 1% weekly return by 12.8 to get a 90-day return) violates the Efficient Market Hypothesis (EMH), which states that speculative asset returns revert to the mean over longer horizons due to market efficiency and volume exhaustion.</w:t>
      </w:r>
    </w:p>
    <w:p w14:paraId="1ED0A625" w14:textId="77777777" w:rsidR="00031292" w:rsidRDefault="00000000">
      <w:pPr>
        <w:spacing w:after="80"/>
      </w:pPr>
      <w:r>
        <w:t>To model this, the engine applies a Power-Law Momentum Decay equation:</w:t>
      </w:r>
    </w:p>
    <w:p w14:paraId="4582978F" w14:textId="77777777" w:rsidR="00031292" w:rsidRDefault="00000000">
      <w:pPr>
        <w:spacing w:before="200" w:after="200"/>
        <w:jc w:val="center"/>
      </w:pPr>
      <m:oMathPara>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anchor</m:t>
              </m:r>
            </m:sub>
          </m:sSub>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i</m:t>
                  </m:r>
                </m:num>
                <m:den>
                  <m:r>
                    <w:rPr>
                      <w:rFonts w:ascii="Cambria Math" w:eastAsia="Cambria Math" w:hAnsi="Cambria Math" w:cs="Cambria Math"/>
                    </w:rPr>
                    <m:t>7.0</m:t>
                  </m:r>
                </m:den>
              </m:f>
              <m:r>
                <w:rPr>
                  <w:rFonts w:ascii="Cambria Math" w:eastAsia="Cambria Math" w:hAnsi="Cambria Math" w:cs="Cambria Math"/>
                </w:rPr>
                <m:t>)</m:t>
              </m:r>
            </m:e>
            <m:sup>
              <m:r>
                <w:rPr>
                  <w:rFonts w:ascii="Cambria Math" w:eastAsia="Cambria Math" w:hAnsi="Cambria Math" w:cs="Cambria Math"/>
                </w:rPr>
                <m:t>α</m:t>
              </m:r>
            </m:sup>
          </m:sSup>
        </m:oMath>
      </m:oMathPara>
    </w:p>
    <w:p w14:paraId="3DFD12AE" w14:textId="77777777" w:rsidR="00031292" w:rsidRDefault="00000000">
      <w:pPr>
        <w:spacing w:after="80"/>
      </w:pPr>
      <w:r>
        <w:t>Where:</w:t>
      </w:r>
    </w:p>
    <w:p w14:paraId="30C26CDC" w14:textId="77777777" w:rsidR="00031292" w:rsidRDefault="00000000">
      <w:pPr>
        <w:spacing w:after="60"/>
        <w:ind w:left="432"/>
      </w:pPr>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i</m:t>
            </m:r>
          </m:sub>
        </m:sSub>
      </m:oMath>
      <w:r>
        <w:t xml:space="preserve">: Projected cumulative return on day </w:t>
      </w:r>
      <m:oMath>
        <m:r>
          <w:rPr>
            <w:rFonts w:ascii="Cambria Math" w:eastAsia="Cambria Math" w:hAnsi="Cambria Math" w:cs="Cambria Math"/>
          </w:rPr>
          <m:t>i</m:t>
        </m:r>
      </m:oMath>
      <w:r>
        <w:t>.</w:t>
      </w:r>
    </w:p>
    <w:p w14:paraId="2DD710FC" w14:textId="77777777" w:rsidR="00031292" w:rsidRDefault="00000000">
      <w:pPr>
        <w:spacing w:after="60"/>
        <w:ind w:left="432"/>
      </w:pPr>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anchor</m:t>
            </m:r>
          </m:sub>
        </m:sSub>
      </m:oMath>
      <w:r>
        <w:t>: The 7-day expected return from the Dual-Head Stacker.</w:t>
      </w:r>
    </w:p>
    <w:p w14:paraId="2EB35DF4" w14:textId="77777777" w:rsidR="00031292" w:rsidRDefault="00000000">
      <w:pPr>
        <w:spacing w:after="60"/>
        <w:ind w:left="432"/>
      </w:pPr>
      <m:oMath>
        <m:r>
          <w:rPr>
            <w:rFonts w:ascii="Cambria Math" w:eastAsia="Cambria Math" w:hAnsi="Cambria Math" w:cs="Cambria Math"/>
          </w:rPr>
          <m:t>α</m:t>
        </m:r>
      </m:oMath>
      <w:r>
        <w:t>: The decay exponent, calibrated to 0.65.</w:t>
      </w:r>
    </w:p>
    <w:p w14:paraId="32281B47" w14:textId="77777777" w:rsidR="00031292" w:rsidRDefault="00000000">
      <w:pPr>
        <w:spacing w:after="80"/>
      </w:pPr>
      <w:r>
        <w:t xml:space="preserve">Because </w:t>
      </w:r>
      <m:oMath>
        <m:r>
          <w:rPr>
            <w:rFonts w:ascii="Cambria Math" w:eastAsia="Cambria Math" w:hAnsi="Cambria Math" w:cs="Cambria Math"/>
          </w:rPr>
          <m:t>α&lt;1</m:t>
        </m:r>
      </m:oMath>
      <w:r>
        <w:t>, the curve exhibits momentum clustering in the short term (rapid initial return scaling) but experiences asymptotic decay in the long term, simulating the exhaustion of buying or selling pressure.</w:t>
      </w:r>
    </w:p>
    <w:p w14:paraId="47AB5121" w14:textId="77777777" w:rsidR="00031292" w:rsidRDefault="00000000">
      <w:pPr>
        <w:spacing w:before="320"/>
      </w:pPr>
      <w:r>
        <w:rPr>
          <w:b/>
          <w:color w:val="2C5282"/>
          <w:sz w:val="26"/>
        </w:rPr>
        <w:t>4. GEOMETRIC BROWNIAN MOTION MONTE CARLO SIMULATION</w:t>
      </w:r>
    </w:p>
    <w:p w14:paraId="12542CC4" w14:textId="77777777" w:rsidR="00031292" w:rsidRDefault="00000000">
      <w:pPr>
        <w:spacing w:after="80"/>
      </w:pPr>
      <w:r>
        <w:t>To project probability clouds (P10 to P90 bands) around the expected trajectory, the engine runs 500 simulated paths using Geometric Brownian Motion (GBM):</w:t>
      </w:r>
    </w:p>
    <w:p w14:paraId="42462382" w14:textId="77777777" w:rsidR="00031292" w:rsidRDefault="00000000">
      <w:pPr>
        <w:spacing w:before="200" w:after="200"/>
        <w:jc w:val="center"/>
      </w:pPr>
      <m:oMathPara>
        <m:oMath>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t</m:t>
              </m:r>
            </m:sub>
          </m:sSub>
          <m:r>
            <w:rPr>
              <w:rFonts w:ascii="Cambria Math" w:eastAsia="Cambria Math" w:hAnsi="Cambria Math" w:cs="Cambria Math"/>
            </w:rPr>
            <m:t>·</m:t>
          </m:r>
          <m:r>
            <m:rPr>
              <m:sty m:val="p"/>
            </m:rPr>
            <w:rPr>
              <w:rFonts w:ascii="Cambria Math" w:eastAsia="Cambria Math" w:hAnsi="Cambria Math" w:cs="Cambria Math"/>
            </w:rPr>
            <m:t>exp</m:t>
          </m:r>
          <m:r>
            <w:rPr>
              <w:rFonts w:ascii="Cambria Math" w:eastAsia="Cambria Math" w:hAnsi="Cambria Math" w:cs="Cambria Math"/>
            </w:rPr>
            <m:t>((μ-0.5</m:t>
          </m:r>
          <m:sSup>
            <m:sSupPr>
              <m:ctrlPr>
                <w:rPr>
                  <w:rFonts w:ascii="Cambria Math" w:hAnsi="Cambria Math"/>
                </w:rPr>
              </m:ctrlPr>
            </m:sSupPr>
            <m:e>
              <m:r>
                <w:rPr>
                  <w:rFonts w:ascii="Cambria Math" w:eastAsia="Cambria Math" w:hAnsi="Cambria Math" w:cs="Cambria Math"/>
                </w:rPr>
                <m:t>σ</m:t>
              </m:r>
            </m:e>
            <m:sup>
              <m:r>
                <w:rPr>
                  <w:rFonts w:ascii="Cambria Math" w:eastAsia="Cambria Math" w:hAnsi="Cambria Math" w:cs="Cambria Math"/>
                </w:rPr>
                <m:t>2</m:t>
              </m:r>
            </m:sup>
          </m:sSup>
          <m:r>
            <w:rPr>
              <w:rFonts w:ascii="Cambria Math" w:eastAsia="Cambria Math" w:hAnsi="Cambria Math" w:cs="Cambria Math"/>
            </w:rPr>
            <m:t>)dt+σ</m:t>
          </m:r>
          <m:rad>
            <m:radPr>
              <m:degHide m:val="1"/>
              <m:ctrlPr>
                <w:rPr>
                  <w:rFonts w:ascii="Cambria Math" w:hAnsi="Cambria Math"/>
                </w:rPr>
              </m:ctrlPr>
            </m:radPr>
            <m:deg/>
            <m:e>
              <m:r>
                <w:rPr>
                  <w:rFonts w:ascii="Cambria Math" w:eastAsia="Cambria Math" w:hAnsi="Cambria Math" w:cs="Cambria Math"/>
                </w:rPr>
                <m:t>dt</m:t>
              </m:r>
            </m:e>
          </m:rad>
          <m:r>
            <w:rPr>
              <w:rFonts w:ascii="Cambria Math" w:eastAsia="Cambria Math" w:hAnsi="Cambria Math" w:cs="Cambria Math"/>
            </w:rPr>
            <m:t>·ϵ)</m:t>
          </m:r>
        </m:oMath>
      </m:oMathPara>
    </w:p>
    <w:p w14:paraId="17CD16EF" w14:textId="77777777" w:rsidR="00031292" w:rsidRDefault="00000000">
      <w:pPr>
        <w:spacing w:after="80"/>
      </w:pPr>
      <w:r>
        <w:t>Where:</w:t>
      </w:r>
    </w:p>
    <w:p w14:paraId="31F58719" w14:textId="77777777" w:rsidR="00031292" w:rsidRDefault="00000000">
      <w:pPr>
        <w:spacing w:after="60"/>
        <w:ind w:left="432"/>
      </w:pPr>
      <m:oMath>
        <m:sSub>
          <m:sSubPr>
            <m:ctrlPr>
              <w:rPr>
                <w:rFonts w:ascii="Cambria Math" w:hAnsi="Cambria Math"/>
              </w:rPr>
            </m:ctrlPr>
          </m:sSubPr>
          <m:e>
            <m:r>
              <w:rPr>
                <w:rFonts w:ascii="Cambria Math" w:eastAsia="Cambria Math" w:hAnsi="Cambria Math" w:cs="Cambria Math"/>
              </w:rPr>
              <m:t>S</m:t>
            </m:r>
          </m:e>
          <m:sub>
            <m:r>
              <w:rPr>
                <w:rFonts w:ascii="Cambria Math" w:eastAsia="Cambria Math" w:hAnsi="Cambria Math" w:cs="Cambria Math"/>
              </w:rPr>
              <m:t>t</m:t>
            </m:r>
          </m:sub>
        </m:sSub>
      </m:oMath>
      <w:r>
        <w:t xml:space="preserve">: Asset price at step </w:t>
      </w:r>
      <m:oMath>
        <m:r>
          <w:rPr>
            <w:rFonts w:ascii="Cambria Math" w:eastAsia="Cambria Math" w:hAnsi="Cambria Math" w:cs="Cambria Math"/>
          </w:rPr>
          <m:t>t</m:t>
        </m:r>
      </m:oMath>
      <w:r>
        <w:t>.</w:t>
      </w:r>
    </w:p>
    <w:p w14:paraId="334C8D5E" w14:textId="77777777" w:rsidR="00031292" w:rsidRDefault="00000000">
      <w:pPr>
        <w:spacing w:after="60"/>
        <w:ind w:left="432"/>
      </w:pPr>
      <m:oMath>
        <m:r>
          <w:rPr>
            <w:rFonts w:ascii="Cambria Math" w:eastAsia="Cambria Math" w:hAnsi="Cambria Math" w:cs="Cambria Math"/>
          </w:rPr>
          <w:lastRenderedPageBreak/>
          <m:t>μ</m:t>
        </m:r>
      </m:oMath>
      <w:r>
        <w:t>: Expected drift rate derived from the contextual forecast trajectory.</w:t>
      </w:r>
    </w:p>
    <w:p w14:paraId="1AD82D56" w14:textId="77777777" w:rsidR="00031292" w:rsidRDefault="00000000">
      <w:pPr>
        <w:spacing w:after="60"/>
        <w:ind w:left="432"/>
      </w:pPr>
      <m:oMath>
        <m:r>
          <w:rPr>
            <w:rFonts w:ascii="Cambria Math" w:eastAsia="Cambria Math" w:hAnsi="Cambria Math" w:cs="Cambria Math"/>
          </w:rPr>
          <m:t>σ</m:t>
        </m:r>
      </m:oMath>
      <w:r>
        <w:t>: Daily realized volatility.</w:t>
      </w:r>
    </w:p>
    <w:p w14:paraId="724FFC14" w14:textId="77777777" w:rsidR="00031292" w:rsidRDefault="00000000">
      <w:pPr>
        <w:spacing w:after="60"/>
        <w:ind w:left="432"/>
      </w:pPr>
      <m:oMath>
        <m:r>
          <w:rPr>
            <w:rFonts w:ascii="Cambria Math" w:eastAsia="Cambria Math" w:hAnsi="Cambria Math" w:cs="Cambria Math"/>
          </w:rPr>
          <m:t>ϵ</m:t>
        </m:r>
      </m:oMath>
      <w:r>
        <w:t xml:space="preserve">: Random variable drawn from a standard normal distribution </w:t>
      </w:r>
      <m:oMath>
        <m:r>
          <w:rPr>
            <w:rFonts w:ascii="Cambria Math" w:eastAsia="Cambria Math" w:hAnsi="Cambria Math" w:cs="Cambria Math"/>
          </w:rPr>
          <m:t>N(0,1)</m:t>
        </m:r>
      </m:oMath>
      <w:r>
        <w:t>.</w:t>
      </w:r>
    </w:p>
    <w:p w14:paraId="0186822E" w14:textId="77777777" w:rsidR="00031292" w:rsidRDefault="00000000">
      <w:pPr>
        <w:spacing w:after="60"/>
        <w:ind w:left="432"/>
      </w:pPr>
      <m:oMath>
        <m:r>
          <w:rPr>
            <w:rFonts w:ascii="Cambria Math" w:eastAsia="Cambria Math" w:hAnsi="Cambria Math" w:cs="Cambria Math"/>
          </w:rPr>
          <m:t>dt</m:t>
        </m:r>
      </m:oMath>
      <w:r>
        <w:t>: Time step delta (1/252 for daily trading cycles).</w:t>
      </w:r>
    </w:p>
    <w:p w14:paraId="203CDC61" w14:textId="77777777" w:rsidR="00031292" w:rsidRDefault="00000000">
      <w:pPr>
        <w:spacing w:after="80"/>
      </w:pPr>
      <w:r>
        <w:t xml:space="preserve">Crucially, rather than relying on historical residual errors (which are backward-looking), the daily volatility </w:t>
      </w:r>
      <m:oMath>
        <m:r>
          <w:rPr>
            <w:rFonts w:ascii="Cambria Math" w:eastAsia="Cambria Math" w:hAnsi="Cambria Math" w:cs="Cambria Math"/>
          </w:rPr>
          <m:t>σ</m:t>
        </m:r>
      </m:oMath>
      <w:r>
        <w:t xml:space="preserve"> is derived from live options market implied volatility (IV):</w:t>
      </w:r>
    </w:p>
    <w:p w14:paraId="59DF3B85" w14:textId="77777777" w:rsidR="00031292" w:rsidRDefault="00000000">
      <w:pPr>
        <w:spacing w:after="60"/>
        <w:ind w:left="432"/>
      </w:pPr>
      <w:r>
        <w:rPr>
          <w:b/>
        </w:rPr>
        <w:t>BTC</w:t>
      </w:r>
      <w:r>
        <w:t>: Sourced from the Deribit Implied Volatility Index (</w:t>
      </w:r>
      <w:r>
        <w:rPr>
          <w:rFonts w:ascii="Consolas" w:hAnsi="Consolas"/>
          <w:sz w:val="19"/>
        </w:rPr>
        <w:t>DVOL</w:t>
      </w:r>
      <w:r>
        <w:t>), representing the 30-day forward implied volatility of Bitcoin option contracts.</w:t>
      </w:r>
    </w:p>
    <w:p w14:paraId="63FB5131" w14:textId="77777777" w:rsidR="00031292" w:rsidRDefault="00000000">
      <w:pPr>
        <w:spacing w:after="60"/>
        <w:ind w:left="432"/>
      </w:pPr>
      <w:r>
        <w:rPr>
          <w:b/>
        </w:rPr>
        <w:t>Gold/Equities</w:t>
      </w:r>
      <w:r>
        <w:t>: Sourced from the CBOE Volatility Index (</w:t>
      </w:r>
      <w:r>
        <w:rPr>
          <w:rFonts w:ascii="Consolas" w:hAnsi="Consolas"/>
          <w:sz w:val="19"/>
        </w:rPr>
        <w:t>VIX</w:t>
      </w:r>
      <w:r>
        <w:t>), representing the implied volatility of S&amp;P 500 index options.</w:t>
      </w:r>
    </w:p>
    <w:p w14:paraId="3B66AE4D" w14:textId="77777777" w:rsidR="00031292" w:rsidRDefault="00000000">
      <w:pPr>
        <w:spacing w:after="80"/>
      </w:pPr>
      <w:r>
        <w:t>The annual IV is converted to daily volatility:</w:t>
      </w:r>
    </w:p>
    <w:p w14:paraId="6D399038" w14:textId="77777777" w:rsidR="00031292" w:rsidRDefault="00000000">
      <w:pPr>
        <w:spacing w:before="200" w:after="200"/>
        <w:jc w:val="center"/>
      </w:pPr>
      <m:oMathPara>
        <m:oMath>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daily</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I</m:t>
              </m:r>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annual</m:t>
                  </m:r>
                </m:sub>
              </m:sSub>
            </m:num>
            <m:den>
              <m:rad>
                <m:radPr>
                  <m:degHide m:val="1"/>
                  <m:ctrlPr>
                    <w:rPr>
                      <w:rFonts w:ascii="Cambria Math" w:hAnsi="Cambria Math"/>
                    </w:rPr>
                  </m:ctrlPr>
                </m:radPr>
                <m:deg/>
                <m:e>
                  <m:r>
                    <w:rPr>
                      <w:rFonts w:ascii="Cambria Math" w:eastAsia="Cambria Math" w:hAnsi="Cambria Math" w:cs="Cambria Math"/>
                    </w:rPr>
                    <m:t>252</m:t>
                  </m:r>
                </m:e>
              </m:rad>
            </m:den>
          </m:f>
        </m:oMath>
      </m:oMathPara>
    </w:p>
    <w:p w14:paraId="545EA2CA" w14:textId="77777777" w:rsidR="00031292" w:rsidRDefault="00000000">
      <w:pPr>
        <w:spacing w:after="80"/>
      </w:pPr>
      <w:r>
        <w:t xml:space="preserve">Furthermore, the volatility is dynamically adjusted based on the CEO (LLM) confidence score. If the LLM confidence is high (confidence </w:t>
      </w:r>
      <m:oMath>
        <m:r>
          <w:rPr>
            <w:rFonts w:ascii="Cambria Math" w:eastAsia="Cambria Math" w:hAnsi="Cambria Math" w:cs="Cambria Math"/>
          </w:rPr>
          <m:t>&gt;=0.7</m:t>
        </m:r>
      </m:oMath>
      <w:r>
        <w:t>), it signals high narrative clarity, and the engine narrows the probability cloud:</w:t>
      </w:r>
    </w:p>
    <w:p w14:paraId="4D97EF55" w14:textId="77777777" w:rsidR="00031292" w:rsidRDefault="00000000">
      <w:pPr>
        <w:spacing w:before="200" w:after="200"/>
        <w:jc w:val="center"/>
      </w:pPr>
      <m:oMathPara>
        <m:oMath>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adjusted</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daily</m:t>
              </m:r>
            </m:sub>
          </m:sSub>
          <m:r>
            <w:rPr>
              <w:rFonts w:ascii="Cambria Math" w:eastAsia="Cambria Math" w:hAnsi="Cambria Math" w:cs="Cambria Math"/>
            </w:rPr>
            <m:t>·max(0.50,1.0-0.40·</m:t>
          </m:r>
          <m:sSub>
            <m:sSubPr>
              <m:ctrlPr>
                <w:rPr>
                  <w:rFonts w:ascii="Cambria Math" w:hAnsi="Cambria Math"/>
                </w:rPr>
              </m:ctrlPr>
            </m:sSubPr>
            <m:e>
              <m:r>
                <m:rPr>
                  <m:nor/>
                </m:rPr>
                <w:rPr>
                  <w:rFonts w:ascii="Cambria Math" w:eastAsia="Cambria Math" w:hAnsi="Cambria Math" w:cs="Cambria Math"/>
                </w:rPr>
                <m:t>Confidence</m:t>
              </m:r>
            </m:e>
            <m:sub>
              <m:r>
                <w:rPr>
                  <w:rFonts w:ascii="Cambria Math" w:eastAsia="Cambria Math" w:hAnsi="Cambria Math" w:cs="Cambria Math"/>
                </w:rPr>
                <m:t>CEO</m:t>
              </m:r>
            </m:sub>
          </m:sSub>
          <m:r>
            <w:rPr>
              <w:rFonts w:ascii="Cambria Math" w:eastAsia="Cambria Math" w:hAnsi="Cambria Math" w:cs="Cambria Math"/>
            </w:rPr>
            <m:t>)</m:t>
          </m:r>
        </m:oMath>
      </m:oMathPara>
    </w:p>
    <w:p w14:paraId="58C56273" w14:textId="77777777" w:rsidR="00031292" w:rsidRDefault="00000000">
      <w:pPr>
        <w:spacing w:after="80"/>
      </w:pPr>
      <w:r>
        <w:t>This reduces the width of the Monte Carlo fan chart, visually signaling high-conviction regimes.</w:t>
      </w:r>
    </w:p>
    <w:p w14:paraId="275EB610" w14:textId="77777777" w:rsidR="00031292" w:rsidRDefault="00000000">
      <w:pPr>
        <w:spacing w:before="320"/>
      </w:pPr>
      <w:r>
        <w:rPr>
          <w:b/>
          <w:color w:val="2C5282"/>
          <w:sz w:val="26"/>
        </w:rPr>
        <w:t>5. RETRAINING CYCLE AND MODEL HEALTH MONITORING</w:t>
      </w:r>
    </w:p>
    <w:p w14:paraId="777B46F2" w14:textId="77777777" w:rsidR="00031292" w:rsidRDefault="00000000">
      <w:pPr>
        <w:spacing w:after="80"/>
      </w:pPr>
      <w:r>
        <w:t>To detect performance degradation due to regime shifts or model drift, the terminal implements a continuous feedback loop:</w:t>
      </w:r>
    </w:p>
    <w:p w14:paraId="4F5DA886" w14:textId="77777777" w:rsidR="00031292" w:rsidRDefault="00000000">
      <w:pPr>
        <w:spacing w:after="60"/>
        <w:ind w:left="432"/>
      </w:pPr>
      <w:r>
        <w:rPr>
          <w:b/>
        </w:rPr>
        <w:t>Counterfactual Logging</w:t>
      </w:r>
      <w:r>
        <w:t xml:space="preserve">: Every daily prediction series, baseline series, and associated macro feature vector is logged to </w:t>
      </w:r>
      <w:r>
        <w:rPr>
          <w:rFonts w:ascii="Consolas" w:hAnsi="Consolas"/>
          <w:sz w:val="19"/>
        </w:rPr>
        <w:t>counterfactual_log.jsonl</w:t>
      </w:r>
      <w:r>
        <w:t>.</w:t>
      </w:r>
    </w:p>
    <w:p w14:paraId="57170B33" w14:textId="77777777" w:rsidR="00031292" w:rsidRDefault="00000000">
      <w:pPr>
        <w:spacing w:after="60"/>
        <w:ind w:left="432"/>
      </w:pPr>
      <w:r>
        <w:rPr>
          <w:b/>
        </w:rPr>
        <w:t>Accuracy Evaluation</w:t>
      </w:r>
      <w:r>
        <w:t xml:space="preserve">: The script </w:t>
      </w:r>
      <w:r>
        <w:rPr>
          <w:rFonts w:ascii="Consolas" w:hAnsi="Consolas"/>
          <w:sz w:val="19"/>
        </w:rPr>
        <w:t>scripts/model_monitor.py</w:t>
      </w:r>
      <w:r>
        <w:t xml:space="preserve"> runs on a weekly schedule. It matches historical predictions (where the 7-day target date has elapsed) against actual realized market close prices.</w:t>
      </w:r>
    </w:p>
    <w:p w14:paraId="2A157A4C" w14:textId="77777777" w:rsidR="00031292" w:rsidRDefault="00000000">
      <w:pPr>
        <w:spacing w:after="60"/>
        <w:ind w:left="432"/>
      </w:pPr>
      <w:r>
        <w:rPr>
          <w:b/>
        </w:rPr>
        <w:t>Directional Hit Ratio</w:t>
      </w:r>
      <w:r>
        <w:t>: The monitor computes the percentage of correct directional predictions over a rolling window of the last 20 predictions.</w:t>
      </w:r>
    </w:p>
    <w:p w14:paraId="15017620" w14:textId="77777777" w:rsidR="00031292" w:rsidRDefault="00000000">
      <w:pPr>
        <w:spacing w:after="60"/>
        <w:ind w:left="432"/>
      </w:pPr>
      <w:r>
        <w:rPr>
          <w:b/>
        </w:rPr>
        <w:t>Health Classification</w:t>
      </w:r>
      <w:r>
        <w:t>:</w:t>
      </w:r>
    </w:p>
    <w:p w14:paraId="741D6C29" w14:textId="77777777" w:rsidR="00031292" w:rsidRDefault="00000000">
      <w:pPr>
        <w:spacing w:after="60"/>
        <w:ind w:left="432"/>
      </w:pPr>
      <w:r>
        <w:rPr>
          <w:b/>
        </w:rPr>
        <w:t>Healthy</w:t>
      </w:r>
      <w:r>
        <w:t xml:space="preserve"> (Hit Ratio </w:t>
      </w:r>
      <m:oMath>
        <m:r>
          <w:rPr>
            <w:rFonts w:ascii="Cambria Math" w:eastAsia="Cambria Math" w:hAnsi="Cambria Math" w:cs="Cambria Math"/>
          </w:rPr>
          <m:t>&gt;=40%</m:t>
        </m:r>
      </m:oMath>
      <w:r>
        <w:t>): The models are performing within normal statistical parameters for financial time series.</w:t>
      </w:r>
    </w:p>
    <w:p w14:paraId="27CB4620" w14:textId="77777777" w:rsidR="00031292" w:rsidRDefault="00000000">
      <w:pPr>
        <w:spacing w:after="60"/>
        <w:ind w:left="432"/>
      </w:pPr>
      <w:r>
        <w:rPr>
          <w:b/>
        </w:rPr>
        <w:t>Warning</w:t>
      </w:r>
      <w:r>
        <w:t xml:space="preserve"> (Hit Ratio </w:t>
      </w:r>
      <m:oMath>
        <m:r>
          <w:rPr>
            <w:rFonts w:ascii="Cambria Math" w:eastAsia="Cambria Math" w:hAnsi="Cambria Math" w:cs="Cambria Math"/>
          </w:rPr>
          <m:t>&lt;40%</m:t>
        </m:r>
      </m:oMath>
      <w:r>
        <w:t>): Performance is degrading. The Streamlit UI displays a warning banner.</w:t>
      </w:r>
    </w:p>
    <w:p w14:paraId="3C4DFC63" w14:textId="77777777" w:rsidR="00031292" w:rsidRDefault="00000000">
      <w:pPr>
        <w:spacing w:after="60"/>
        <w:ind w:left="432"/>
      </w:pPr>
      <w:r>
        <w:rPr>
          <w:b/>
        </w:rPr>
        <w:t>Degraded</w:t>
      </w:r>
      <w:r>
        <w:t xml:space="preserve"> (Hit Ratio </w:t>
      </w:r>
      <m:oMath>
        <m:r>
          <w:rPr>
            <w:rFonts w:ascii="Cambria Math" w:eastAsia="Cambria Math" w:hAnsi="Cambria Math" w:cs="Cambria Math"/>
          </w:rPr>
          <m:t>&lt;35%</m:t>
        </m:r>
      </m:oMath>
      <w:r>
        <w:t>): Severe model degradation. The UI displays an alert and provides the necessary terminal commands to trigger retraining.</w:t>
      </w:r>
    </w:p>
    <w:p w14:paraId="16D835BD" w14:textId="77777777" w:rsidR="00031292" w:rsidRDefault="00000000">
      <w:pPr>
        <w:spacing w:before="320"/>
      </w:pPr>
      <w:r>
        <w:rPr>
          <w:b/>
          <w:color w:val="2C5282"/>
          <w:sz w:val="26"/>
        </w:rPr>
        <w:lastRenderedPageBreak/>
        <w:t>6. FUTURE ROADMAP (PHASE 6 &amp; 7): CAPITAL ALLOCATION AND RISK MANAGEMENT</w:t>
      </w:r>
    </w:p>
    <w:p w14:paraId="7F9249FB" w14:textId="77777777" w:rsidR="00031292" w:rsidRDefault="00000000">
      <w:pPr>
        <w:spacing w:after="80"/>
      </w:pPr>
      <w:r>
        <w:t>The final phase of the Market Intelligence Terminal plans the integration of a capital allocation and risk management layer:</w:t>
      </w:r>
    </w:p>
    <w:p w14:paraId="2A2D1679" w14:textId="77777777" w:rsidR="00031292" w:rsidRDefault="00000000">
      <w:pPr>
        <w:spacing w:before="240"/>
      </w:pPr>
      <w:r>
        <w:rPr>
          <w:b/>
          <w:color w:val="4A5568"/>
          <w:sz w:val="23"/>
        </w:rPr>
        <w:t>A. Dynamic Kelly Criterion Position Sizing</w:t>
      </w:r>
    </w:p>
    <w:p w14:paraId="1EC3F634" w14:textId="77777777" w:rsidR="00031292" w:rsidRDefault="00000000">
      <w:pPr>
        <w:spacing w:after="80"/>
      </w:pPr>
      <w:r>
        <w:t xml:space="preserve">The Stacker's Direction Head outputs the raw probability of a positive return, </w:t>
      </w:r>
      <m:oMath>
        <m:r>
          <w:rPr>
            <w:rFonts w:ascii="Cambria Math" w:eastAsia="Cambria Math" w:hAnsi="Cambria Math" w:cs="Cambria Math"/>
          </w:rPr>
          <m:t>P(</m:t>
        </m:r>
        <m:r>
          <m:rPr>
            <m:nor/>
          </m:rPr>
          <w:rPr>
            <w:rFonts w:ascii="Cambria Math" w:eastAsia="Cambria Math" w:hAnsi="Cambria Math" w:cs="Cambria Math"/>
          </w:rPr>
          <m:t>Up</m:t>
        </m:r>
        <m:r>
          <w:rPr>
            <w:rFonts w:ascii="Cambria Math" w:eastAsia="Cambria Math" w:hAnsi="Cambria Math" w:cs="Cambria Math"/>
          </w:rPr>
          <m:t>)</m:t>
        </m:r>
      </m:oMath>
      <w:r>
        <w:t>. This probability will be fed directly into the Kelly Criterion formula to determine optimal portfolio leverage:</w:t>
      </w:r>
    </w:p>
    <w:p w14:paraId="5EC8DEFD" w14:textId="77777777" w:rsidR="00031292" w:rsidRDefault="00000000">
      <w:pPr>
        <w:spacing w:before="200" w:after="200"/>
        <w:jc w:val="center"/>
      </w:pPr>
      <m:oMathPara>
        <m:oMath>
          <m:sSup>
            <m:sSupPr>
              <m:ctrlPr>
                <w:rPr>
                  <w:rFonts w:ascii="Cambria Math" w:hAnsi="Cambria Math"/>
                </w:rPr>
              </m:ctrlPr>
            </m:sSupPr>
            <m:e>
              <m:r>
                <w:rPr>
                  <w:rFonts w:ascii="Cambria Math" w:eastAsia="Cambria Math" w:hAnsi="Cambria Math" w:cs="Cambria Math"/>
                </w:rPr>
                <m:t>f</m:t>
              </m:r>
            </m:e>
            <m:sup>
              <m:r>
                <w:rPr>
                  <w:rFonts w:ascii="Cambria Math" w:eastAsia="Cambria Math" w:hAnsi="Cambria Math" w:cs="Cambria Math"/>
                </w:rPr>
                <m:t>*</m:t>
              </m:r>
            </m:sup>
          </m:sSup>
          <m:r>
            <w:rPr>
              <w:rFonts w:ascii="Cambria Math" w:eastAsia="Cambria Math" w:hAnsi="Cambria Math" w:cs="Cambria Math"/>
            </w:rPr>
            <m:t>=P(</m:t>
          </m:r>
          <m:r>
            <m:rPr>
              <m:nor/>
            </m:rPr>
            <w:rPr>
              <w:rFonts w:ascii="Cambria Math" w:eastAsia="Cambria Math" w:hAnsi="Cambria Math" w:cs="Cambria Math"/>
            </w:rPr>
            <m:t>Up</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1-P(</m:t>
              </m:r>
              <m:r>
                <m:rPr>
                  <m:nor/>
                </m:rPr>
                <w:rPr>
                  <w:rFonts w:ascii="Cambria Math" w:eastAsia="Cambria Math" w:hAnsi="Cambria Math" w:cs="Cambria Math"/>
                </w:rPr>
                <m:t>Up</m:t>
              </m:r>
              <m:r>
                <w:rPr>
                  <w:rFonts w:ascii="Cambria Math" w:eastAsia="Cambria Math" w:hAnsi="Cambria Math" w:cs="Cambria Math"/>
                </w:rPr>
                <m:t>)</m:t>
              </m:r>
            </m:num>
            <m:den>
              <m:r>
                <w:rPr>
                  <w:rFonts w:ascii="Cambria Math" w:eastAsia="Cambria Math" w:hAnsi="Cambria Math" w:cs="Cambria Math"/>
                </w:rPr>
                <m:t>B</m:t>
              </m:r>
            </m:den>
          </m:f>
        </m:oMath>
      </m:oMathPara>
    </w:p>
    <w:p w14:paraId="5B1F6F4B" w14:textId="77777777" w:rsidR="00031292" w:rsidRDefault="00000000">
      <w:pPr>
        <w:spacing w:after="80"/>
      </w:pPr>
      <w:r>
        <w:t>Where:</w:t>
      </w:r>
    </w:p>
    <w:p w14:paraId="5FFD72DA" w14:textId="77777777" w:rsidR="00031292" w:rsidRDefault="00000000">
      <w:pPr>
        <w:spacing w:after="60"/>
        <w:ind w:left="432"/>
      </w:pPr>
      <m:oMath>
        <m:sSup>
          <m:sSupPr>
            <m:ctrlPr>
              <w:rPr>
                <w:rFonts w:ascii="Cambria Math" w:hAnsi="Cambria Math"/>
              </w:rPr>
            </m:ctrlPr>
          </m:sSupPr>
          <m:e>
            <m:r>
              <w:rPr>
                <w:rFonts w:ascii="Cambria Math" w:eastAsia="Cambria Math" w:hAnsi="Cambria Math" w:cs="Cambria Math"/>
              </w:rPr>
              <m:t>f</m:t>
            </m:r>
          </m:e>
          <m:sup>
            <m:r>
              <w:rPr>
                <w:rFonts w:ascii="Cambria Math" w:eastAsia="Cambria Math" w:hAnsi="Cambria Math" w:cs="Cambria Math"/>
              </w:rPr>
              <m:t>*</m:t>
            </m:r>
          </m:sup>
        </m:sSup>
      </m:oMath>
      <w:r>
        <w:t>: Optimal fraction of capital to allocate to the trade.</w:t>
      </w:r>
    </w:p>
    <w:p w14:paraId="192BF089" w14:textId="77777777" w:rsidR="00031292" w:rsidRDefault="00000000">
      <w:pPr>
        <w:spacing w:after="60"/>
        <w:ind w:left="432"/>
      </w:pPr>
      <m:oMath>
        <m:r>
          <w:rPr>
            <w:rFonts w:ascii="Cambria Math" w:eastAsia="Cambria Math" w:hAnsi="Cambria Math" w:cs="Cambria Math"/>
          </w:rPr>
          <m:t>B</m:t>
        </m:r>
      </m:oMath>
      <w:r>
        <w:t>: Payout ratio (Expected win magnitude divided by expected loss magnitude).</w:t>
      </w:r>
    </w:p>
    <w:p w14:paraId="45B77B5B" w14:textId="77777777" w:rsidR="00031292" w:rsidRDefault="00000000">
      <w:pPr>
        <w:spacing w:after="80"/>
      </w:pPr>
      <w:r>
        <w:t>This transitions the terminal from a directional signaling tool into an active, risk-adjusted portfolio optimization engine.</w:t>
      </w:r>
    </w:p>
    <w:p w14:paraId="2B0425C1" w14:textId="77777777" w:rsidR="00031292" w:rsidRDefault="00000000">
      <w:pPr>
        <w:spacing w:before="240"/>
      </w:pPr>
      <w:r>
        <w:rPr>
          <w:b/>
          <w:color w:val="4A5568"/>
          <w:sz w:val="23"/>
        </w:rPr>
        <w:t>B. Volatility-Adjusted Stop-Loss Calibration</w:t>
      </w:r>
    </w:p>
    <w:p w14:paraId="592932D4" w14:textId="77777777" w:rsidR="00031292" w:rsidRDefault="00000000">
      <w:pPr>
        <w:spacing w:after="80"/>
      </w:pPr>
      <w:r>
        <w:t>Instead of using static percentage stop-losses (e.g., 2% for all trades), the system will calibrate exit thresholds based on the 21-day Garman-Klass realized volatility. High-volatility regimes will automatically widen stop-losses to prevent premature liquidation due to noise, while low-volatility regimes will tighten stops to protect capital, aligning portfolio exposure with real-time liquidity conditions.</w:t>
      </w:r>
    </w:p>
    <w:p w14:paraId="1C8FE76E" w14:textId="77777777" w:rsidR="00031292" w:rsidRDefault="00000000">
      <w:r>
        <w:br w:type="page"/>
      </w:r>
    </w:p>
    <w:p w14:paraId="57AE1677" w14:textId="77777777" w:rsidR="00031292" w:rsidRDefault="00000000">
      <w:pPr>
        <w:spacing w:before="400" w:after="240"/>
      </w:pPr>
      <w:r>
        <w:rPr>
          <w:b/>
          <w:color w:val="4A5568"/>
          <w:sz w:val="20"/>
        </w:rPr>
        <w:lastRenderedPageBreak/>
        <w:t>──────  PART 6 – INTER-ASSET CORRELATION &amp; BETA-ADJUSTED FORECAST CORRECTOR  ──────</w:t>
      </w:r>
    </w:p>
    <w:p w14:paraId="4CA0B337" w14:textId="77777777" w:rsidR="00031292" w:rsidRDefault="00000000">
      <w:pPr>
        <w:spacing w:before="440"/>
      </w:pPr>
      <w:r>
        <w:rPr>
          <w:b/>
          <w:color w:val="1A365D"/>
          <w:sz w:val="32"/>
        </w:rPr>
        <w:t>MARKET INTELLIGENCE SYSTEM: COMPREHENSIVE ARCHITECTURE &amp; RESEARCH WHITEPAPER</w:t>
      </w:r>
    </w:p>
    <w:p w14:paraId="4C08129B" w14:textId="77777777" w:rsidR="00031292" w:rsidRDefault="00000000">
      <w:pPr>
        <w:spacing w:before="320"/>
      </w:pPr>
      <w:r>
        <w:rPr>
          <w:b/>
          <w:color w:val="2C5282"/>
          <w:sz w:val="26"/>
        </w:rPr>
        <w:t>PART 6: INTER-ASSET CORRELATION &amp; BETA-ADJUSTED FORECAST CORRECTOR</w:t>
      </w:r>
    </w:p>
    <w:p w14:paraId="6CBEA50A" w14:textId="77777777" w:rsidR="00031292" w:rsidRDefault="00031292">
      <w:pPr>
        <w:pBdr>
          <w:bottom w:val="single" w:sz="6" w:space="1" w:color="CBD5E1"/>
        </w:pBdr>
        <w:spacing w:before="120"/>
      </w:pPr>
    </w:p>
    <w:p w14:paraId="68CE5D94" w14:textId="77777777" w:rsidR="00031292" w:rsidRDefault="00000000">
      <w:pPr>
        <w:spacing w:before="440"/>
      </w:pPr>
      <w:r>
        <w:rPr>
          <w:b/>
          <w:color w:val="1A365D"/>
          <w:sz w:val="32"/>
        </w:rPr>
        <w:t>1. THE NEED FOR INTER-ASSET CORRELATION ENFORCEMENT</w:t>
      </w:r>
    </w:p>
    <w:p w14:paraId="4FE8D4CD" w14:textId="77777777" w:rsidR="00031292" w:rsidRDefault="00000000">
      <w:pPr>
        <w:spacing w:after="80"/>
      </w:pPr>
      <w:r>
        <w:t>In a multi-asset forecasting system, running independent machine learning models for separate tickers can result in mathematically impossible joint trajectories. For example, the LSTM and XGBoost models for the S&amp;P 500 ETF (SPY) might predict a minor contraction (e.g., -1%), while the models for the Nasdaq 100 ETF (QQQ) predict a catastrophic decline (e.g., -50%) over the same horizon.</w:t>
      </w:r>
    </w:p>
    <w:p w14:paraId="323894BD" w14:textId="77777777" w:rsidR="00031292" w:rsidRDefault="00000000">
      <w:pPr>
        <w:spacing w:after="80"/>
      </w:pPr>
      <w:r>
        <w:t>In real-world financial markets, these assets exhibit tight structural co-movements governed by common discount factors, interest rate dynamics, and risk regimes. Allowing independent models to project unconstrained, non-synchronized trajectories introduces systemic noise and degrades portfolio-level decision support.</w:t>
      </w:r>
    </w:p>
    <w:p w14:paraId="3FAEEF73" w14:textId="77777777" w:rsidR="00031292" w:rsidRDefault="00000000">
      <w:pPr>
        <w:spacing w:after="80"/>
      </w:pPr>
      <w:r>
        <w:t xml:space="preserve">The system implements the </w:t>
      </w:r>
      <w:r>
        <w:rPr>
          <w:rFonts w:ascii="Consolas" w:hAnsi="Consolas"/>
          <w:sz w:val="19"/>
        </w:rPr>
        <w:t>CorrelationEnforcer</w:t>
      </w:r>
      <w:r>
        <w:t xml:space="preserve"> class to correct these issues during the post-processing phase. It treats a highly liquid, stable reference index (default: SPY) as the anchor asset and applies beta-adjusted corrections to downstream asset forecasts, ensuring they conform to historical covariance boundaries.</w:t>
      </w:r>
    </w:p>
    <w:p w14:paraId="3524F1FC" w14:textId="77777777" w:rsidR="00031292" w:rsidRDefault="00000000">
      <w:pPr>
        <w:spacing w:before="440"/>
      </w:pPr>
      <w:r>
        <w:rPr>
          <w:b/>
          <w:color w:val="1A365D"/>
          <w:sz w:val="32"/>
        </w:rPr>
        <w:t>2. ESTIMATING HISTORICAL BETA AND CORRELATION COEFFICIENTS</w:t>
      </w:r>
    </w:p>
    <w:p w14:paraId="656416E7" w14:textId="77777777" w:rsidR="00031292" w:rsidRDefault="00000000">
      <w:pPr>
        <w:spacing w:after="80"/>
      </w:pPr>
      <w:r>
        <w:t>The system dynamically computes the historical relationships between the anchor asset and all downstream stock tickers. The calculation pipeline runs on a rolling 252-trading-day window (equivalent to one calendar year of financial data) to capture the current market regime:</w:t>
      </w:r>
    </w:p>
    <w:p w14:paraId="4BCF8B43" w14:textId="77777777" w:rsidR="00031292" w:rsidRDefault="00000000">
      <w:pPr>
        <w:spacing w:before="240"/>
      </w:pPr>
      <w:r>
        <w:rPr>
          <w:b/>
          <w:color w:val="4A5568"/>
          <w:sz w:val="23"/>
        </w:rPr>
        <w:t>A. Percentage Return Calculation</w:t>
      </w:r>
    </w:p>
    <w:p w14:paraId="741E6007" w14:textId="77777777" w:rsidR="00031292" w:rsidRDefault="00000000">
      <w:pPr>
        <w:spacing w:after="80"/>
      </w:pPr>
      <w:r>
        <w:t xml:space="preserve">Let </w:t>
      </w:r>
      <m:oMath>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t,ref</m:t>
            </m:r>
          </m:sub>
        </m:sSub>
      </m:oMath>
      <w:r>
        <w:t xml:space="preserve"> be the daily close price of the reference asset, and </w:t>
      </w:r>
      <m:oMath>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t,asset</m:t>
            </m:r>
          </m:sub>
        </m:sSub>
      </m:oMath>
      <w:r>
        <w:t xml:space="preserve"> be the close price of the target asset. The daily percentage returns </w:t>
      </w:r>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t,ref</m:t>
            </m:r>
          </m:sub>
        </m:sSub>
      </m:oMath>
      <w:r>
        <w:t xml:space="preserve"> and </w:t>
      </w:r>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t,asset</m:t>
            </m:r>
          </m:sub>
        </m:sSub>
      </m:oMath>
      <w:r>
        <w:t xml:space="preserve"> are computed as:</w:t>
      </w:r>
    </w:p>
    <w:p w14:paraId="4C56F2D0" w14:textId="77777777" w:rsidR="00031292" w:rsidRDefault="00000000">
      <w:pPr>
        <w:spacing w:before="200" w:after="200"/>
        <w:jc w:val="center"/>
      </w:pPr>
      <m:oMathPara>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t,ref</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t,ref</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t-1,ref</m:t>
                  </m:r>
                </m:sub>
              </m:sSub>
            </m:num>
            <m:den>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t-1,ref</m:t>
                  </m:r>
                </m:sub>
              </m:sSub>
            </m:den>
          </m:f>
        </m:oMath>
      </m:oMathPara>
    </w:p>
    <w:p w14:paraId="3EAE0295" w14:textId="77777777" w:rsidR="00031292" w:rsidRDefault="00000000">
      <w:pPr>
        <w:spacing w:before="200" w:after="200"/>
        <w:jc w:val="center"/>
      </w:pPr>
      <m:oMathPara>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t,asset</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t,asset</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t-1,asset</m:t>
                  </m:r>
                </m:sub>
              </m:sSub>
            </m:num>
            <m:den>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t-1,asset</m:t>
                  </m:r>
                </m:sub>
              </m:sSub>
            </m:den>
          </m:f>
        </m:oMath>
      </m:oMathPara>
    </w:p>
    <w:p w14:paraId="34A5F2FC" w14:textId="77777777" w:rsidR="00031292" w:rsidRDefault="00000000">
      <w:pPr>
        <w:spacing w:before="240"/>
      </w:pPr>
      <w:r>
        <w:rPr>
          <w:b/>
          <w:color w:val="4A5568"/>
          <w:sz w:val="23"/>
        </w:rPr>
        <w:t>B. Correlation Coefficient ($\rho$)</w:t>
      </w:r>
    </w:p>
    <w:p w14:paraId="5D6773C1" w14:textId="77777777" w:rsidR="00031292" w:rsidRDefault="00000000">
      <w:pPr>
        <w:spacing w:after="80"/>
      </w:pPr>
      <w:r>
        <w:t xml:space="preserve">The rolling correlation </w:t>
      </w:r>
      <m:oMath>
        <m:r>
          <w:rPr>
            <w:rFonts w:ascii="Cambria Math" w:eastAsia="Cambria Math" w:hAnsi="Cambria Math" w:cs="Cambria Math"/>
          </w:rPr>
          <m:t>ρ</m:t>
        </m:r>
      </m:oMath>
      <w:r>
        <w:t xml:space="preserve"> is defined as:</w:t>
      </w:r>
    </w:p>
    <w:p w14:paraId="64D09485" w14:textId="77777777" w:rsidR="00031292" w:rsidRDefault="00000000">
      <w:pPr>
        <w:spacing w:before="200" w:after="200"/>
        <w:jc w:val="center"/>
      </w:pPr>
      <m:oMathPara>
        <m:oMath>
          <m:r>
            <w:rPr>
              <w:rFonts w:ascii="Cambria Math" w:eastAsia="Cambria Math" w:hAnsi="Cambria Math" w:cs="Cambria Math"/>
            </w:rPr>
            <m:t>ρ=</m:t>
          </m:r>
          <m:f>
            <m:fPr>
              <m:ctrlPr>
                <w:rPr>
                  <w:rFonts w:ascii="Cambria Math" w:hAnsi="Cambria Math"/>
                </w:rPr>
              </m:ctrlPr>
            </m:fPr>
            <m:num>
              <m:r>
                <m:rPr>
                  <m:nor/>
                </m:rPr>
                <w:rPr>
                  <w:rFonts w:ascii="Cambria Math" w:eastAsia="Cambria Math" w:hAnsi="Cambria Math" w:cs="Cambria Math"/>
                </w:rPr>
                <m:t>Cov</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ref</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asset</m:t>
                  </m:r>
                </m:sub>
              </m:sSub>
              <m:r>
                <w:rPr>
                  <w:rFonts w:ascii="Cambria Math" w:eastAsia="Cambria Math" w:hAnsi="Cambria Math" w:cs="Cambria Math"/>
                </w:rPr>
                <m:t>)</m:t>
              </m:r>
            </m:num>
            <m:den>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ref</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asset</m:t>
                  </m:r>
                </m:sub>
              </m:sSub>
            </m:den>
          </m:f>
        </m:oMath>
      </m:oMathPara>
    </w:p>
    <w:p w14:paraId="30DE9140" w14:textId="77777777" w:rsidR="00031292" w:rsidRDefault="00000000">
      <w:pPr>
        <w:spacing w:after="80"/>
      </w:pPr>
      <w:r>
        <w:t>Where:</w:t>
      </w:r>
    </w:p>
    <w:p w14:paraId="65772368" w14:textId="77777777" w:rsidR="00031292" w:rsidRDefault="00000000">
      <w:pPr>
        <w:spacing w:after="60"/>
        <w:ind w:left="432"/>
      </w:pPr>
      <m:oMath>
        <m:r>
          <m:rPr>
            <m:nor/>
          </m:rPr>
          <w:rPr>
            <w:rFonts w:ascii="Cambria Math" w:eastAsia="Cambria Math" w:hAnsi="Cambria Math" w:cs="Cambria Math"/>
          </w:rPr>
          <m:t>Cov</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ref</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asset</m:t>
            </m:r>
          </m:sub>
        </m:sSub>
        <m:r>
          <w:rPr>
            <w:rFonts w:ascii="Cambria Math" w:eastAsia="Cambria Math" w:hAnsi="Cambria Math" w:cs="Cambria Math"/>
          </w:rPr>
          <m:t>)</m:t>
        </m:r>
      </m:oMath>
      <w:r>
        <w:t xml:space="preserve"> is the covariance of the returns.</w:t>
      </w:r>
    </w:p>
    <w:p w14:paraId="269640D9" w14:textId="77777777" w:rsidR="00031292" w:rsidRDefault="00000000">
      <w:pPr>
        <w:spacing w:after="60"/>
        <w:ind w:left="432"/>
      </w:pPr>
      <m:oMath>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ref</m:t>
            </m:r>
          </m:sub>
        </m:sSub>
      </m:oMath>
      <w:r>
        <w:t xml:space="preserve"> and </w:t>
      </w:r>
      <m:oMath>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asset</m:t>
            </m:r>
          </m:sub>
        </m:sSub>
      </m:oMath>
      <w:r>
        <w:t xml:space="preserve"> are the standard deviations of the returns.</w:t>
      </w:r>
    </w:p>
    <w:p w14:paraId="6D42862B" w14:textId="77777777" w:rsidR="00031292" w:rsidRDefault="00000000">
      <w:pPr>
        <w:spacing w:before="240"/>
      </w:pPr>
      <w:r>
        <w:rPr>
          <w:b/>
          <w:color w:val="4A5568"/>
          <w:sz w:val="23"/>
        </w:rPr>
        <w:t>C. Beta Coefficient ($\beta$)</w:t>
      </w:r>
    </w:p>
    <w:p w14:paraId="2C220873" w14:textId="77777777" w:rsidR="00031292" w:rsidRDefault="00000000">
      <w:pPr>
        <w:spacing w:after="80"/>
      </w:pPr>
      <w:r>
        <w:t>The beta coefficient represents the systematic risk or sensitivity of the target asset's returns relative to the reference asset. It is formulated as:</w:t>
      </w:r>
    </w:p>
    <w:p w14:paraId="30AADBC0" w14:textId="77777777" w:rsidR="00031292" w:rsidRDefault="00000000">
      <w:pPr>
        <w:spacing w:before="200" w:after="200"/>
        <w:jc w:val="center"/>
      </w:pPr>
      <m:oMathPara>
        <m:oMath>
          <m:r>
            <w:rPr>
              <w:rFonts w:ascii="Cambria Math" w:eastAsia="Cambria Math" w:hAnsi="Cambria Math" w:cs="Cambria Math"/>
            </w:rPr>
            <m:t>β=</m:t>
          </m:r>
          <m:f>
            <m:fPr>
              <m:ctrlPr>
                <w:rPr>
                  <w:rFonts w:ascii="Cambria Math" w:hAnsi="Cambria Math"/>
                </w:rPr>
              </m:ctrlPr>
            </m:fPr>
            <m:num>
              <m:r>
                <m:rPr>
                  <m:nor/>
                </m:rPr>
                <w:rPr>
                  <w:rFonts w:ascii="Cambria Math" w:eastAsia="Cambria Math" w:hAnsi="Cambria Math" w:cs="Cambria Math"/>
                </w:rPr>
                <m:t>Cov</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asset</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ref</m:t>
                  </m:r>
                </m:sub>
              </m:sSub>
              <m:r>
                <w:rPr>
                  <w:rFonts w:ascii="Cambria Math" w:eastAsia="Cambria Math" w:hAnsi="Cambria Math" w:cs="Cambria Math"/>
                </w:rPr>
                <m:t>)</m:t>
              </m:r>
            </m:num>
            <m:den>
              <m:r>
                <m:rPr>
                  <m:nor/>
                </m:rPr>
                <w:rPr>
                  <w:rFonts w:ascii="Cambria Math" w:eastAsia="Cambria Math" w:hAnsi="Cambria Math" w:cs="Cambria Math"/>
                </w:rPr>
                <m:t>Var</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ref</m:t>
                  </m:r>
                </m:sub>
              </m:sSub>
              <m:r>
                <w:rPr>
                  <w:rFonts w:ascii="Cambria Math" w:eastAsia="Cambria Math" w:hAnsi="Cambria Math" w:cs="Cambria Math"/>
                </w:rPr>
                <m:t>)</m:t>
              </m:r>
            </m:den>
          </m:f>
        </m:oMath>
      </m:oMathPara>
    </w:p>
    <w:p w14:paraId="25BD2287" w14:textId="77777777" w:rsidR="00031292" w:rsidRDefault="00000000">
      <w:pPr>
        <w:spacing w:after="80"/>
      </w:pPr>
      <w:r>
        <w:t xml:space="preserve">Where </w:t>
      </w:r>
      <m:oMath>
        <m:r>
          <m:rPr>
            <m:nor/>
          </m:rPr>
          <w:rPr>
            <w:rFonts w:ascii="Cambria Math" w:eastAsia="Cambria Math" w:hAnsi="Cambria Math" w:cs="Cambria Math"/>
          </w:rPr>
          <m:t>Var</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ref</m:t>
            </m:r>
          </m:sub>
        </m:sSub>
        <m:r>
          <w:rPr>
            <w:rFonts w:ascii="Cambria Math" w:eastAsia="Cambria Math" w:hAnsi="Cambria Math" w:cs="Cambria Math"/>
          </w:rPr>
          <m:t>)</m:t>
        </m:r>
      </m:oMath>
      <w:r>
        <w:t xml:space="preserve"> is the variance of the reference asset returns. A </w:t>
      </w:r>
      <m:oMath>
        <m:r>
          <w:rPr>
            <w:rFonts w:ascii="Cambria Math" w:eastAsia="Cambria Math" w:hAnsi="Cambria Math" w:cs="Cambria Math"/>
          </w:rPr>
          <m:t>β&gt;1.0</m:t>
        </m:r>
      </m:oMath>
      <w:r>
        <w:t xml:space="preserve"> indicates that the asset is more volatile than the market, whereas a </w:t>
      </w:r>
      <m:oMath>
        <m:r>
          <w:rPr>
            <w:rFonts w:ascii="Cambria Math" w:eastAsia="Cambria Math" w:hAnsi="Cambria Math" w:cs="Cambria Math"/>
          </w:rPr>
          <m:t>β&lt;1.0</m:t>
        </m:r>
      </m:oMath>
      <w:r>
        <w:t xml:space="preserve"> indicates lower relative systematic volatility.</w:t>
      </w:r>
    </w:p>
    <w:p w14:paraId="63E25D59" w14:textId="77777777" w:rsidR="00031292" w:rsidRDefault="00000000">
      <w:pPr>
        <w:spacing w:before="440"/>
      </w:pPr>
      <w:r>
        <w:rPr>
          <w:b/>
          <w:color w:val="1A365D"/>
          <w:sz w:val="32"/>
        </w:rPr>
        <w:t>3. RETURN BLENDING AND PRICE PATH RECONSTRUCTION</w:t>
      </w:r>
    </w:p>
    <w:p w14:paraId="7E240408" w14:textId="77777777" w:rsidR="00031292" w:rsidRDefault="00000000">
      <w:pPr>
        <w:spacing w:after="80"/>
      </w:pPr>
      <w:r>
        <w:t xml:space="preserve">During the daily inference workflow, the engine generates raw expected price trajectories for all assets. The </w:t>
      </w:r>
      <w:r>
        <w:rPr>
          <w:rFonts w:ascii="Consolas" w:hAnsi="Consolas"/>
          <w:sz w:val="19"/>
        </w:rPr>
        <w:t>CorrelationEnforcer</w:t>
      </w:r>
      <w:r>
        <w:t xml:space="preserve"> intercepts these trajectories and adjusts them using a three-step mathematical correction:</w:t>
      </w:r>
    </w:p>
    <w:p w14:paraId="46BBABE7" w14:textId="77777777" w:rsidR="00031292" w:rsidRDefault="00000000">
      <w:pPr>
        <w:spacing w:before="240"/>
      </w:pPr>
      <w:r>
        <w:rPr>
          <w:b/>
          <w:color w:val="4A5568"/>
          <w:sz w:val="23"/>
        </w:rPr>
        <w:t>A. Extract Raw Returns</w:t>
      </w:r>
    </w:p>
    <w:p w14:paraId="28BEA6A5" w14:textId="77777777" w:rsidR="00031292" w:rsidRDefault="00000000">
      <w:pPr>
        <w:spacing w:after="80"/>
      </w:pPr>
      <w:r>
        <w:t>The enforcer converts the raw price trajectories into daily expected returns:</w:t>
      </w:r>
    </w:p>
    <w:p w14:paraId="350BC6BB" w14:textId="77777777" w:rsidR="00031292" w:rsidRDefault="00000000">
      <w:pPr>
        <w:spacing w:before="200" w:after="200"/>
        <w:jc w:val="center"/>
      </w:pPr>
      <m:oMathPara>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raw,t</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raw,t</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raw,t-1</m:t>
                  </m:r>
                </m:sub>
              </m:sSub>
            </m:num>
            <m:den>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raw,t-1</m:t>
                  </m:r>
                </m:sub>
              </m:sSub>
            </m:den>
          </m:f>
          <m:r>
            <m:rPr>
              <m:nor/>
            </m:rPr>
            <w:rPr>
              <w:rFonts w:ascii="Cambria Math" w:eastAsia="Cambria Math" w:hAnsi="Cambria Math" w:cs="Cambria Math"/>
            </w:rPr>
            <m:t>for </m:t>
          </m:r>
          <m:r>
            <w:rPr>
              <w:rFonts w:ascii="Cambria Math" w:eastAsia="Cambria Math" w:hAnsi="Cambria Math" w:cs="Cambria Math"/>
            </w:rPr>
            <m:t>t=1</m:t>
          </m:r>
          <m:r>
            <m:rPr>
              <m:nor/>
            </m:rPr>
            <w:rPr>
              <w:rFonts w:ascii="Cambria Math" w:eastAsia="Cambria Math" w:hAnsi="Cambria Math" w:cs="Cambria Math"/>
            </w:rPr>
            <m:t> to </m:t>
          </m:r>
          <m:r>
            <w:rPr>
              <w:rFonts w:ascii="Cambria Math" w:eastAsia="Cambria Math" w:hAnsi="Cambria Math" w:cs="Cambria Math"/>
            </w:rPr>
            <m:t>H</m:t>
          </m:r>
        </m:oMath>
      </m:oMathPara>
    </w:p>
    <w:p w14:paraId="1FD3D604" w14:textId="77777777" w:rsidR="00031292" w:rsidRDefault="00000000">
      <w:pPr>
        <w:spacing w:before="240"/>
      </w:pPr>
      <w:r>
        <w:rPr>
          <w:b/>
          <w:color w:val="4A5568"/>
          <w:sz w:val="23"/>
        </w:rPr>
        <w:t>B. Compute Beta-Adjusted Expected Return</w:t>
      </w:r>
    </w:p>
    <w:p w14:paraId="1CC62861" w14:textId="77777777" w:rsidR="00031292" w:rsidRDefault="00000000">
      <w:pPr>
        <w:spacing w:after="80"/>
      </w:pPr>
      <w:r>
        <w:lastRenderedPageBreak/>
        <w:t>Using the reference asset's daily return trajectory (</w:t>
      </w:r>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ref,t</m:t>
            </m:r>
          </m:sub>
        </m:sSub>
      </m:oMath>
      <w:r>
        <w:t>), the enforcer calculates the expected return based on the asset's historical beta:</w:t>
      </w:r>
    </w:p>
    <w:p w14:paraId="7907CB4E" w14:textId="77777777" w:rsidR="00031292" w:rsidRDefault="00000000">
      <w:pPr>
        <w:spacing w:before="200" w:after="200"/>
        <w:jc w:val="center"/>
      </w:pPr>
      <m:oMathPara>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expected,t</m:t>
              </m:r>
            </m:sub>
          </m:sSub>
          <m:r>
            <w:rPr>
              <w:rFonts w:ascii="Cambria Math" w:eastAsia="Cambria Math" w:hAnsi="Cambria Math" w:cs="Cambria Math"/>
            </w:rPr>
            <m:t>=β·</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ref,t</m:t>
              </m:r>
            </m:sub>
          </m:sSub>
        </m:oMath>
      </m:oMathPara>
    </w:p>
    <w:p w14:paraId="3B0F66C6" w14:textId="77777777" w:rsidR="00031292" w:rsidRDefault="00000000">
      <w:pPr>
        <w:spacing w:before="240"/>
      </w:pPr>
      <w:r>
        <w:rPr>
          <w:b/>
          <w:color w:val="4A5568"/>
          <w:sz w:val="23"/>
        </w:rPr>
        <w:t>C. Blend Returns and Reconstruct Prices</w:t>
      </w:r>
    </w:p>
    <w:p w14:paraId="58E68216" w14:textId="77777777" w:rsidR="00031292" w:rsidRDefault="00000000">
      <w:pPr>
        <w:spacing w:after="80"/>
      </w:pPr>
      <w:r>
        <w:t xml:space="preserve">The enforcer blends the raw and expected returns using an adjustment strength parameter, </w:t>
      </w:r>
      <m:oMath>
        <m:r>
          <w:rPr>
            <w:rFonts w:ascii="Cambria Math" w:eastAsia="Cambria Math" w:hAnsi="Cambria Math" w:cs="Cambria Math"/>
          </w:rPr>
          <m:t>γ</m:t>
        </m:r>
      </m:oMath>
      <w:r>
        <w:t xml:space="preserve"> (default: 0.7):</w:t>
      </w:r>
    </w:p>
    <w:p w14:paraId="1E195CC3" w14:textId="77777777" w:rsidR="00031292" w:rsidRDefault="00000000">
      <w:pPr>
        <w:spacing w:before="200" w:after="200"/>
        <w:jc w:val="center"/>
      </w:pPr>
      <m:oMathPara>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blended,t</m:t>
              </m:r>
            </m:sub>
          </m:sSub>
          <m:r>
            <w:rPr>
              <w:rFonts w:ascii="Cambria Math" w:eastAsia="Cambria Math" w:hAnsi="Cambria Math" w:cs="Cambria Math"/>
            </w:rPr>
            <m:t>=(1-γ)·</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raw,t</m:t>
              </m:r>
            </m:sub>
          </m:sSub>
          <m:r>
            <w:rPr>
              <w:rFonts w:ascii="Cambria Math" w:eastAsia="Cambria Math" w:hAnsi="Cambria Math" w:cs="Cambria Math"/>
            </w:rPr>
            <m:t>+γ·</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expected,t</m:t>
              </m:r>
            </m:sub>
          </m:sSub>
        </m:oMath>
      </m:oMathPara>
    </w:p>
    <w:p w14:paraId="4E08655A" w14:textId="77777777" w:rsidR="00031292" w:rsidRDefault="00000000">
      <w:pPr>
        <w:spacing w:after="80"/>
      </w:pPr>
      <w:r>
        <w:t xml:space="preserve">Setting </w:t>
      </w:r>
      <m:oMath>
        <m:r>
          <w:rPr>
            <w:rFonts w:ascii="Cambria Math" w:eastAsia="Cambria Math" w:hAnsi="Cambria Math" w:cs="Cambria Math"/>
          </w:rPr>
          <m:t>γ=0.7</m:t>
        </m:r>
      </m:oMath>
      <w:r>
        <w:t xml:space="preserve"> allows the model to preserve 30% of the asset's individual predicted return dynamics (alpha) while forcing 70% to align with the systematic market beta.</w:t>
      </w:r>
    </w:p>
    <w:p w14:paraId="33251699" w14:textId="77777777" w:rsidR="00031292" w:rsidRDefault="00000000">
      <w:pPr>
        <w:spacing w:after="80"/>
      </w:pPr>
      <w:r>
        <w:t>Finally, the adjusted daily price trajectory is reconstructed starting from the initial price forecast (</w:t>
      </w:r>
      <m:oMath>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0</m:t>
            </m:r>
          </m:sub>
        </m:sSub>
      </m:oMath>
      <w:r>
        <w:t>):</w:t>
      </w:r>
    </w:p>
    <w:p w14:paraId="30E0AA73" w14:textId="77777777" w:rsidR="00031292" w:rsidRDefault="00000000">
      <w:pPr>
        <w:spacing w:before="200" w:after="200"/>
        <w:jc w:val="center"/>
      </w:pPr>
      <m:oMathPara>
        <m:oMath>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adjusted,0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0</m:t>
              </m:r>
            </m:sub>
          </m:sSub>
        </m:oMath>
      </m:oMathPara>
    </w:p>
    <w:p w14:paraId="35F7C077" w14:textId="77777777" w:rsidR="00031292" w:rsidRDefault="00000000">
      <w:pPr>
        <w:spacing w:before="200" w:after="200"/>
        <w:jc w:val="center"/>
      </w:pPr>
      <m:oMathPara>
        <m:oMath>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adjusted,t</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adjusted,t-1</m:t>
              </m:r>
            </m:sub>
          </m:sSub>
          <m:r>
            <w:rPr>
              <w:rFonts w:ascii="Cambria Math" w:eastAsia="Cambria Math" w:hAnsi="Cambria Math" w:cs="Cambria Math"/>
            </w:rPr>
            <m:t>·(1+</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blended,t</m:t>
              </m:r>
            </m:sub>
          </m:sSub>
          <m:r>
            <w:rPr>
              <w:rFonts w:ascii="Cambria Math" w:eastAsia="Cambria Math" w:hAnsi="Cambria Math" w:cs="Cambria Math"/>
            </w:rPr>
            <m:t>)</m:t>
          </m:r>
          <m:r>
            <m:rPr>
              <m:nor/>
            </m:rPr>
            <w:rPr>
              <w:rFonts w:ascii="Cambria Math" w:eastAsia="Cambria Math" w:hAnsi="Cambria Math" w:cs="Cambria Math"/>
            </w:rPr>
            <m:t>for </m:t>
          </m:r>
          <m:r>
            <w:rPr>
              <w:rFonts w:ascii="Cambria Math" w:eastAsia="Cambria Math" w:hAnsi="Cambria Math" w:cs="Cambria Math"/>
            </w:rPr>
            <m:t>t=1</m:t>
          </m:r>
          <m:r>
            <m:rPr>
              <m:nor/>
            </m:rPr>
            <w:rPr>
              <w:rFonts w:ascii="Cambria Math" w:eastAsia="Cambria Math" w:hAnsi="Cambria Math" w:cs="Cambria Math"/>
            </w:rPr>
            <m:t> to </m:t>
          </m:r>
          <m:r>
            <w:rPr>
              <w:rFonts w:ascii="Cambria Math" w:eastAsia="Cambria Math" w:hAnsi="Cambria Math" w:cs="Cambria Math"/>
            </w:rPr>
            <m:t>H</m:t>
          </m:r>
        </m:oMath>
      </m:oMathPara>
    </w:p>
    <w:p w14:paraId="7C9F6207" w14:textId="77777777" w:rsidR="00031292" w:rsidRDefault="00000000">
      <w:pPr>
        <w:spacing w:after="80"/>
      </w:pPr>
      <w:r>
        <w:t>This ensures that all asset price paths remain consistent with the broader equity market index, preventing impossible divergences.</w:t>
      </w:r>
    </w:p>
    <w:p w14:paraId="0980ADB8" w14:textId="77777777" w:rsidR="00031292" w:rsidRDefault="00000000">
      <w:pPr>
        <w:spacing w:before="440"/>
      </w:pPr>
      <w:r>
        <w:rPr>
          <w:b/>
          <w:color w:val="1A365D"/>
          <w:sz w:val="32"/>
        </w:rPr>
        <w:t>4. VALIDATION METRICS</w:t>
      </w:r>
    </w:p>
    <w:p w14:paraId="28951308" w14:textId="77777777" w:rsidR="00031292" w:rsidRDefault="00000000">
      <w:pPr>
        <w:spacing w:after="80"/>
      </w:pPr>
      <w:r>
        <w:t>To confirm that the correlation enforcer is working correctly, the system runs a validation check on the adjusted price series:</w:t>
      </w:r>
    </w:p>
    <w:p w14:paraId="7A07F3AB" w14:textId="77777777" w:rsidR="00031292" w:rsidRDefault="00000000">
      <w:pPr>
        <w:spacing w:after="60"/>
        <w:ind w:left="432"/>
      </w:pPr>
      <w:r>
        <w:rPr>
          <w:b/>
        </w:rPr>
        <w:t>Realized Prediction Correlation</w:t>
      </w:r>
      <w:r>
        <w:t>: It calculates the correlation coefficient between the adjusted asset returns and the reference returns over the forecast horizon.</w:t>
      </w:r>
    </w:p>
    <w:p w14:paraId="1E1BD831" w14:textId="77777777" w:rsidR="00031292" w:rsidRDefault="00000000">
      <w:pPr>
        <w:spacing w:after="60"/>
        <w:ind w:left="432"/>
      </w:pPr>
      <w:r>
        <w:rPr>
          <w:b/>
        </w:rPr>
        <w:t>Sign Alignment</w:t>
      </w:r>
      <w:r>
        <w:t>: It verifies if the sign of the cumulative return matches:</w:t>
      </w:r>
    </w:p>
    <w:p w14:paraId="2D418706" w14:textId="77777777" w:rsidR="00031292" w:rsidRDefault="00000000">
      <w:pPr>
        <w:spacing w:after="80"/>
      </w:pPr>
      <m:oMathPara>
        <m:oMath>
          <m:r>
            <m:rPr>
              <m:nor/>
            </m:rPr>
            <w:rPr>
              <w:rFonts w:ascii="Cambria Math" w:eastAsia="Cambria Math" w:hAnsi="Cambria Math" w:cs="Cambria Math"/>
            </w:rPr>
            <m:t>Sign</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adjusted,cumulative</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ref,cumulative</m:t>
              </m:r>
            </m:sub>
          </m:sSub>
          <m:r>
            <w:rPr>
              <w:rFonts w:ascii="Cambria Math" w:eastAsia="Cambria Math" w:hAnsi="Cambria Math" w:cs="Cambria Math"/>
            </w:rPr>
            <m:t>)&gt;0</m:t>
          </m:r>
        </m:oMath>
      </m:oMathPara>
    </w:p>
    <w:p w14:paraId="45E5C600" w14:textId="77777777" w:rsidR="00031292" w:rsidRDefault="00000000">
      <w:pPr>
        <w:spacing w:after="80"/>
      </w:pPr>
      <w:r>
        <w:t>This validation data is exposed in the system logs and diagnostics panels.</w:t>
      </w:r>
    </w:p>
    <w:p w14:paraId="1AE9B928" w14:textId="77777777" w:rsidR="00031292" w:rsidRDefault="00000000">
      <w:r>
        <w:br w:type="page"/>
      </w:r>
    </w:p>
    <w:p w14:paraId="1370EE21" w14:textId="77777777" w:rsidR="00031292" w:rsidRDefault="00000000">
      <w:pPr>
        <w:spacing w:before="400" w:after="240"/>
      </w:pPr>
      <w:r>
        <w:rPr>
          <w:b/>
          <w:color w:val="4A5568"/>
          <w:sz w:val="20"/>
        </w:rPr>
        <w:lastRenderedPageBreak/>
        <w:t>──────  PART 7 – EXPLAINABLE AI, FREQUENCY-AWARE Z-SCORE &amp; LLM ATTRIBUTION  ──────</w:t>
      </w:r>
    </w:p>
    <w:p w14:paraId="6E6C1D1C" w14:textId="77777777" w:rsidR="00031292" w:rsidRDefault="00000000">
      <w:pPr>
        <w:spacing w:before="440"/>
      </w:pPr>
      <w:r>
        <w:rPr>
          <w:b/>
          <w:color w:val="1A365D"/>
          <w:sz w:val="32"/>
        </w:rPr>
        <w:t>MARKET INTELLIGENCE SYSTEM: COMPREHENSIVE ARCHITECTURE &amp; RESEARCH WHITEPAPER</w:t>
      </w:r>
    </w:p>
    <w:p w14:paraId="44A5B30F" w14:textId="77777777" w:rsidR="00031292" w:rsidRDefault="00000000">
      <w:pPr>
        <w:spacing w:before="320"/>
      </w:pPr>
      <w:r>
        <w:rPr>
          <w:b/>
          <w:color w:val="2C5282"/>
          <w:sz w:val="26"/>
        </w:rPr>
        <w:t>PART 7: EXPLAINABLE AI, FREQUENCY-AWARE Z-SCORE, &amp; LLM ATTRIBUTION</w:t>
      </w:r>
    </w:p>
    <w:p w14:paraId="23D311E7" w14:textId="77777777" w:rsidR="00031292" w:rsidRDefault="00000000">
      <w:pPr>
        <w:spacing w:before="320"/>
      </w:pPr>
      <w:r>
        <w:rPr>
          <w:b/>
          <w:color w:val="2C5282"/>
          <w:sz w:val="26"/>
        </w:rPr>
        <w:t>1. EXPLAINABLE AI (XAI) IN QUANTITATIVE SYSTEMS</w:t>
      </w:r>
    </w:p>
    <w:p w14:paraId="7362A162" w14:textId="77777777" w:rsidR="00031292" w:rsidRDefault="00000000">
      <w:pPr>
        <w:spacing w:after="80"/>
      </w:pPr>
      <w:r>
        <w:t>Black-box machine learning systems that output predictions without attribution are unsuitable for institutional decision support. A quantitative strategist or portfolio manager must understand *why* a model expects a trend to occur. If a model predicts a sharp rally, the user must know whether the signal is driven by monetary easing, credit expansion, dollar depreciation, or safe-haven flows.</w:t>
      </w:r>
    </w:p>
    <w:p w14:paraId="29D61DF8" w14:textId="77777777" w:rsidR="00031292" w:rsidRDefault="00000000">
      <w:pPr>
        <w:spacing w:after="80"/>
      </w:pPr>
      <w:r>
        <w:t xml:space="preserve">The system implements the </w:t>
      </w:r>
      <w:r>
        <w:rPr>
          <w:rFonts w:ascii="Consolas" w:hAnsi="Consolas"/>
          <w:sz w:val="19"/>
        </w:rPr>
        <w:t>xai_explainer.py</w:t>
      </w:r>
      <w:r>
        <w:t xml:space="preserve"> module to extract the macroeconomic drivers behind every prediction, mapping quantitative features to real-world economic rationales.</w:t>
      </w:r>
    </w:p>
    <w:p w14:paraId="16488631" w14:textId="77777777" w:rsidR="00031292" w:rsidRDefault="00000000">
      <w:pPr>
        <w:spacing w:before="320"/>
      </w:pPr>
      <w:r>
        <w:rPr>
          <w:b/>
          <w:color w:val="2C5282"/>
          <w:sz w:val="26"/>
        </w:rPr>
        <w:t>2. FREQUENCY-AWARE Z-SCORE FORMULATION</w:t>
      </w:r>
    </w:p>
    <w:p w14:paraId="7750CA22" w14:textId="77777777" w:rsidR="00031292" w:rsidRDefault="00000000">
      <w:pPr>
        <w:spacing w:after="80"/>
      </w:pPr>
      <w:r>
        <w:t>To identify which macroeconomic features are exhibiting unusual behavior, the system calculates the statistical deviation of each indicator from its historical norm. However, traditional rolling Z-scores fail when applied to mixed-frequency datasets:</w:t>
      </w:r>
    </w:p>
    <w:p w14:paraId="71676D5D" w14:textId="77777777" w:rsidR="00031292" w:rsidRDefault="00000000">
      <w:pPr>
        <w:spacing w:after="60"/>
        <w:ind w:left="432"/>
      </w:pPr>
      <w:r>
        <w:t>Daily indicators (e.g., VIX, DXY) fluctuate constantly. A 14-day rolling window is appropriate to capture their recent trend.</w:t>
      </w:r>
    </w:p>
    <w:p w14:paraId="27DB8219" w14:textId="77777777" w:rsidR="00031292" w:rsidRDefault="00000000">
      <w:pPr>
        <w:spacing w:after="60"/>
        <w:ind w:left="432"/>
      </w:pPr>
      <w:r>
        <w:t>Monthly indicators (e.g., CPI, Non-Farm Payrolls) only update once every thirty days. If a 14-day window is used, the last 14 rows contain the identical value, resulting in a rolling standard deviation of zero and an artificial Z-score of zero.</w:t>
      </w:r>
    </w:p>
    <w:p w14:paraId="2B1AAF8E" w14:textId="77777777" w:rsidR="00031292" w:rsidRDefault="00000000">
      <w:pPr>
        <w:spacing w:after="80"/>
      </w:pPr>
      <w:r>
        <w:t xml:space="preserve">To resolve this, the system implements a Frequency-Aware Z-Score lookup, utilizing the </w:t>
      </w:r>
      <w:r>
        <w:rPr>
          <w:rFonts w:ascii="Consolas" w:hAnsi="Consolas"/>
          <w:sz w:val="19"/>
        </w:rPr>
        <w:t>INDICATOR_LOOKBACK</w:t>
      </w:r>
      <w:r>
        <w:t xml:space="preserve"> dictionary to adjust the lookback window based on the indicator's release schedule:</w:t>
      </w:r>
    </w:p>
    <w:p w14:paraId="39CDB673" w14:textId="77777777" w:rsidR="00031292" w:rsidRDefault="00000000">
      <w:pPr>
        <w:spacing w:after="60"/>
        <w:ind w:left="432"/>
      </w:pPr>
      <w:r>
        <w:rPr>
          <w:b/>
        </w:rPr>
        <w:t>Monthly Indicators</w:t>
      </w:r>
      <w:r>
        <w:t xml:space="preserve"> (CPI_MoM, PPI_MoM, PCE_MoM, NFP_Change, M2_MoM, M2_YoY): Lookback window </w:t>
      </w:r>
      <m:oMath>
        <m:r>
          <w:rPr>
            <w:rFonts w:ascii="Cambria Math" w:eastAsia="Cambria Math" w:hAnsi="Cambria Math" w:cs="Cambria Math"/>
          </w:rPr>
          <m:t>L=30</m:t>
        </m:r>
      </m:oMath>
      <w:r>
        <w:t xml:space="preserve"> days.</w:t>
      </w:r>
    </w:p>
    <w:p w14:paraId="23DD27C8" w14:textId="77777777" w:rsidR="00031292" w:rsidRDefault="00000000">
      <w:pPr>
        <w:spacing w:after="60"/>
        <w:ind w:left="432"/>
      </w:pPr>
      <w:r>
        <w:rPr>
          <w:b/>
        </w:rPr>
        <w:t>Quarterly Indicators</w:t>
      </w:r>
      <w:r>
        <w:t xml:space="preserve"> (Breakeven_5Y5Y): Lookback window </w:t>
      </w:r>
      <m:oMath>
        <m:r>
          <w:rPr>
            <w:rFonts w:ascii="Cambria Math" w:eastAsia="Cambria Math" w:hAnsi="Cambria Math" w:cs="Cambria Math"/>
          </w:rPr>
          <m:t>L=63</m:t>
        </m:r>
      </m:oMath>
      <w:r>
        <w:t xml:space="preserve"> days.</w:t>
      </w:r>
    </w:p>
    <w:p w14:paraId="764BDA80" w14:textId="77777777" w:rsidR="00031292" w:rsidRDefault="00000000">
      <w:pPr>
        <w:spacing w:after="60"/>
        <w:ind w:left="432"/>
      </w:pPr>
      <w:r>
        <w:rPr>
          <w:b/>
        </w:rPr>
        <w:t>Daily Market Indicators</w:t>
      </w:r>
      <w:r>
        <w:t xml:space="preserve"> (DXY, VIX, Yield_10Y, Oil_Price, YieldCurve_10Y2Y): Lookback window </w:t>
      </w:r>
      <m:oMath>
        <m:r>
          <w:rPr>
            <w:rFonts w:ascii="Cambria Math" w:eastAsia="Cambria Math" w:hAnsi="Cambria Math" w:cs="Cambria Math"/>
          </w:rPr>
          <m:t>L=14</m:t>
        </m:r>
      </m:oMath>
      <w:r>
        <w:t xml:space="preserve"> days.</w:t>
      </w:r>
    </w:p>
    <w:p w14:paraId="570A5F34" w14:textId="77777777" w:rsidR="00031292" w:rsidRDefault="00000000">
      <w:pPr>
        <w:spacing w:after="80"/>
      </w:pPr>
      <w:r>
        <w:t xml:space="preserve">The Z-score for feature X on day </w:t>
      </w:r>
      <m:oMath>
        <m:r>
          <w:rPr>
            <w:rFonts w:ascii="Cambria Math" w:eastAsia="Cambria Math" w:hAnsi="Cambria Math" w:cs="Cambria Math"/>
          </w:rPr>
          <m:t>t</m:t>
        </m:r>
      </m:oMath>
      <w:r>
        <w:t xml:space="preserve"> is computed as:</w:t>
      </w:r>
    </w:p>
    <w:p w14:paraId="43F32DB9" w14:textId="77777777" w:rsidR="00031292" w:rsidRDefault="00000000">
      <w:pPr>
        <w:spacing w:before="200" w:after="200"/>
        <w:jc w:val="center"/>
      </w:pPr>
      <m:oMathPara>
        <m:oMath>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t</m:t>
              </m:r>
            </m:sub>
          </m:sSub>
          <m:r>
            <w:rPr>
              <w:rFonts w:ascii="Cambria Math" w:eastAsia="Cambria Math" w:hAnsi="Cambria Math" w:cs="Cambria Math"/>
            </w:rPr>
            <m:t>=</m:t>
          </m:r>
          <m:f>
            <m:fPr>
              <m:ctrlPr>
                <w:rPr>
                  <w:rFonts w:ascii="Cambria Math" w:hAnsi="Cambria Math"/>
                </w:rPr>
              </m:ctrlPr>
            </m:fPr>
            <m:num>
              <m:r>
                <m:rPr>
                  <m:nor/>
                </m:rPr>
                <w:rPr>
                  <w:rFonts w:ascii="Cambria Math" w:eastAsia="Cambria Math" w:hAnsi="Cambria Math" w:cs="Cambria Math"/>
                </w:rPr>
                <m:t>Mean</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t-L:t</m:t>
                  </m:r>
                </m:sub>
              </m:sSub>
              <m:r>
                <w:rPr>
                  <w:rFonts w:ascii="Cambria Math" w:eastAsia="Cambria Math" w:hAnsi="Cambria Math" w:cs="Cambria Math"/>
                </w:rPr>
                <m:t>)-</m:t>
              </m:r>
              <m:r>
                <m:rPr>
                  <m:nor/>
                </m:rPr>
                <w:rPr>
                  <w:rFonts w:ascii="Cambria Math" w:eastAsia="Cambria Math" w:hAnsi="Cambria Math" w:cs="Cambria Math"/>
                </w:rPr>
                <m:t>Mean</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0:t-L</m:t>
                  </m:r>
                </m:sub>
              </m:sSub>
              <m:r>
                <w:rPr>
                  <w:rFonts w:ascii="Cambria Math" w:eastAsia="Cambria Math" w:hAnsi="Cambria Math" w:cs="Cambria Math"/>
                </w:rPr>
                <m:t>)</m:t>
              </m:r>
            </m:num>
            <m:den>
              <m:r>
                <m:rPr>
                  <m:nor/>
                </m:rPr>
                <w:rPr>
                  <w:rFonts w:ascii="Cambria Math" w:eastAsia="Cambria Math" w:hAnsi="Cambria Math" w:cs="Cambria Math"/>
                </w:rPr>
                <m:t>Std</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0:t-L</m:t>
                  </m:r>
                </m:sub>
              </m:sSub>
              <m:r>
                <w:rPr>
                  <w:rFonts w:ascii="Cambria Math" w:eastAsia="Cambria Math" w:hAnsi="Cambria Math" w:cs="Cambria Math"/>
                </w:rPr>
                <m:t>)</m:t>
              </m:r>
            </m:den>
          </m:f>
        </m:oMath>
      </m:oMathPara>
    </w:p>
    <w:p w14:paraId="632DF842" w14:textId="77777777" w:rsidR="00031292" w:rsidRDefault="00000000">
      <w:pPr>
        <w:spacing w:after="80"/>
      </w:pPr>
      <w:r>
        <w:lastRenderedPageBreak/>
        <w:t xml:space="preserve">This compares the recent average value (the last </w:t>
      </w:r>
      <m:oMath>
        <m:r>
          <w:rPr>
            <w:rFonts w:ascii="Cambria Math" w:eastAsia="Cambria Math" w:hAnsi="Cambria Math" w:cs="Cambria Math"/>
          </w:rPr>
          <m:t>L</m:t>
        </m:r>
      </m:oMath>
      <w:r>
        <w:t xml:space="preserve"> trading days) against the historical baseline prior to that window, capturing the true statistical shift. The macro indicators are then ranked by the absolute value of their Z-scores, selecting the top three features with the most extreme deviations as the "Primary Macro Drivers".</w:t>
      </w:r>
    </w:p>
    <w:p w14:paraId="7599E4F3" w14:textId="77777777" w:rsidR="00031292" w:rsidRDefault="00000000">
      <w:pPr>
        <w:spacing w:before="320"/>
      </w:pPr>
      <w:r>
        <w:rPr>
          <w:b/>
          <w:color w:val="2C5282"/>
          <w:sz w:val="26"/>
        </w:rPr>
        <w:t>3. DYNAMIC DIRECTIONAL IMPACT MAPPING</w:t>
      </w:r>
    </w:p>
    <w:p w14:paraId="2BF12A7A" w14:textId="77777777" w:rsidR="00031292" w:rsidRDefault="00000000">
      <w:pPr>
        <w:spacing w:after="80"/>
      </w:pPr>
      <w:r>
        <w:t xml:space="preserve">Once the top macro drivers are extracted, they are mapped to their known economic impact on the specific asset class (Gold, Bitcoin, or Equities). The system utilizes a hard-coded mapping matrix, </w:t>
      </w:r>
      <w:r>
        <w:rPr>
          <w:rFonts w:ascii="Consolas" w:hAnsi="Consolas"/>
          <w:sz w:val="19"/>
        </w:rPr>
        <w:t>ASSET_IMPACT_MAP</w:t>
      </w:r>
      <w:r>
        <w:t>, derived from standard economic relationships:</w:t>
      </w:r>
    </w:p>
    <w:p w14:paraId="5DF748E2" w14:textId="77777777" w:rsidR="00031292" w:rsidRDefault="00000000">
      <w:pPr>
        <w:spacing w:before="240"/>
      </w:pPr>
      <w:r>
        <w:rPr>
          <w:b/>
          <w:color w:val="4A5568"/>
          <w:sz w:val="23"/>
        </w:rPr>
        <w:t>A. Gold Impact Mapping</w:t>
      </w:r>
    </w:p>
    <w:p w14:paraId="72B3F9A3" w14:textId="77777777" w:rsidR="00031292" w:rsidRDefault="00000000">
      <w:pPr>
        <w:spacing w:after="60"/>
        <w:ind w:left="432"/>
      </w:pPr>
      <w:r>
        <w:rPr>
          <w:b/>
        </w:rPr>
        <w:t>US Dollar Index (DXY) rising</w:t>
      </w:r>
      <w:r>
        <w:t xml:space="preserve"> = </w:t>
      </w:r>
      <w:r>
        <w:rPr>
          <w:b/>
        </w:rPr>
        <w:t>BEARISH</w:t>
      </w:r>
      <w:r>
        <w:t xml:space="preserve"> (Gold is priced in USD; a stronger dollar makes it more expensive for foreign buyers).</w:t>
      </w:r>
    </w:p>
    <w:p w14:paraId="7D7CE5DC" w14:textId="77777777" w:rsidR="00031292" w:rsidRDefault="00000000">
      <w:pPr>
        <w:spacing w:after="60"/>
        <w:ind w:left="432"/>
      </w:pPr>
      <w:r>
        <w:rPr>
          <w:b/>
        </w:rPr>
        <w:t>Volatility Index (VIX) rising</w:t>
      </w:r>
      <w:r>
        <w:t xml:space="preserve"> = </w:t>
      </w:r>
      <w:r>
        <w:rPr>
          <w:b/>
        </w:rPr>
        <w:t>BULLISH</w:t>
      </w:r>
      <w:r>
        <w:t xml:space="preserve"> (Fear increases safe-haven demand).</w:t>
      </w:r>
    </w:p>
    <w:p w14:paraId="3B8B2EAB" w14:textId="77777777" w:rsidR="00031292" w:rsidRDefault="00000000">
      <w:pPr>
        <w:spacing w:after="60"/>
        <w:ind w:left="432"/>
      </w:pPr>
      <w:r>
        <w:rPr>
          <w:b/>
        </w:rPr>
        <w:t>10Y Treasury Yield rising</w:t>
      </w:r>
      <w:r>
        <w:t xml:space="preserve"> = </w:t>
      </w:r>
      <w:r>
        <w:rPr>
          <w:b/>
        </w:rPr>
        <w:t>BEARISH</w:t>
      </w:r>
      <w:r>
        <w:t xml:space="preserve"> (Gold yields nothing; higher interest rates increase the opportunity cost of holding non-yielding assets).</w:t>
      </w:r>
    </w:p>
    <w:p w14:paraId="658A38CD" w14:textId="77777777" w:rsidR="00031292" w:rsidRDefault="00000000">
      <w:pPr>
        <w:spacing w:after="60"/>
        <w:ind w:left="432"/>
      </w:pPr>
      <w:r>
        <w:rPr>
          <w:b/>
        </w:rPr>
        <w:t>M2 Money Supply expansion</w:t>
      </w:r>
      <w:r>
        <w:t xml:space="preserve"> = </w:t>
      </w:r>
      <w:r>
        <w:rPr>
          <w:b/>
        </w:rPr>
        <w:t>BULLISH</w:t>
      </w:r>
      <w:r>
        <w:t xml:space="preserve"> (Currency debasement hedge).</w:t>
      </w:r>
    </w:p>
    <w:p w14:paraId="02B1F2C8" w14:textId="77777777" w:rsidR="00031292" w:rsidRDefault="00000000">
      <w:pPr>
        <w:spacing w:before="240"/>
      </w:pPr>
      <w:r>
        <w:rPr>
          <w:b/>
          <w:color w:val="4A5568"/>
          <w:sz w:val="23"/>
        </w:rPr>
        <w:t>B. Bitcoin Impact Mapping</w:t>
      </w:r>
    </w:p>
    <w:p w14:paraId="7FBBA21E" w14:textId="77777777" w:rsidR="00031292" w:rsidRDefault="00000000">
      <w:pPr>
        <w:spacing w:after="60"/>
        <w:ind w:left="432"/>
      </w:pPr>
      <w:r>
        <w:rPr>
          <w:b/>
        </w:rPr>
        <w:t>DXY rising</w:t>
      </w:r>
      <w:r>
        <w:t xml:space="preserve"> = </w:t>
      </w:r>
      <w:r>
        <w:rPr>
          <w:b/>
        </w:rPr>
        <w:t>BEARISH</w:t>
      </w:r>
      <w:r>
        <w:t xml:space="preserve"> (Risk-off capital flight).</w:t>
      </w:r>
    </w:p>
    <w:p w14:paraId="5C475355" w14:textId="77777777" w:rsidR="00031292" w:rsidRDefault="00000000">
      <w:pPr>
        <w:spacing w:after="60"/>
        <w:ind w:left="432"/>
      </w:pPr>
      <w:r>
        <w:rPr>
          <w:b/>
        </w:rPr>
        <w:t>VIX rising</w:t>
      </w:r>
      <w:r>
        <w:t xml:space="preserve"> = </w:t>
      </w:r>
      <w:r>
        <w:rPr>
          <w:b/>
        </w:rPr>
        <w:t>BEARISH</w:t>
      </w:r>
      <w:r>
        <w:t xml:space="preserve"> (Crypto is treated as a high-beta risk asset and is sold off during volatility spikes).</w:t>
      </w:r>
    </w:p>
    <w:p w14:paraId="3754CD27" w14:textId="77777777" w:rsidR="00031292" w:rsidRDefault="00000000">
      <w:pPr>
        <w:spacing w:after="60"/>
        <w:ind w:left="432"/>
      </w:pPr>
      <w:r>
        <w:rPr>
          <w:b/>
        </w:rPr>
        <w:t>M2 Money Supply expansion</w:t>
      </w:r>
      <w:r>
        <w:t xml:space="preserve"> = </w:t>
      </w:r>
      <w:r>
        <w:rPr>
          <w:b/>
        </w:rPr>
        <w:t>BULLISH</w:t>
      </w:r>
      <w:r>
        <w:t xml:space="preserve"> (Excess liquidity flows into speculative risk assets).</w:t>
      </w:r>
    </w:p>
    <w:p w14:paraId="4B4F32E0" w14:textId="77777777" w:rsidR="00031292" w:rsidRDefault="00000000">
      <w:pPr>
        <w:spacing w:before="240"/>
      </w:pPr>
      <w:r>
        <w:rPr>
          <w:b/>
          <w:color w:val="4A5568"/>
          <w:sz w:val="23"/>
        </w:rPr>
        <w:t>C. Equities / Stocks Impact Mapping</w:t>
      </w:r>
    </w:p>
    <w:p w14:paraId="385F8FD2" w14:textId="77777777" w:rsidR="00031292" w:rsidRDefault="00000000">
      <w:pPr>
        <w:spacing w:after="60"/>
        <w:ind w:left="432"/>
      </w:pPr>
      <w:r>
        <w:rPr>
          <w:b/>
        </w:rPr>
        <w:t>VIX rising</w:t>
      </w:r>
      <w:r>
        <w:t xml:space="preserve"> = </w:t>
      </w:r>
      <w:r>
        <w:rPr>
          <w:b/>
        </w:rPr>
        <w:t>BEARISH</w:t>
      </w:r>
      <w:r>
        <w:t xml:space="preserve"> (Broad market correction indicator).</w:t>
      </w:r>
    </w:p>
    <w:p w14:paraId="451D39F7" w14:textId="77777777" w:rsidR="00031292" w:rsidRDefault="00000000">
      <w:pPr>
        <w:spacing w:after="60"/>
        <w:ind w:left="432"/>
      </w:pPr>
      <w:r>
        <w:rPr>
          <w:b/>
        </w:rPr>
        <w:t>10Y Treasury Yield rising</w:t>
      </w:r>
      <w:r>
        <w:t xml:space="preserve"> = </w:t>
      </w:r>
      <w:r>
        <w:rPr>
          <w:b/>
        </w:rPr>
        <w:t>BEARISH</w:t>
      </w:r>
      <w:r>
        <w:t xml:space="preserve"> (Compresses equity multiples by increasing the discount rate in DCF models).</w:t>
      </w:r>
    </w:p>
    <w:p w14:paraId="0D4587EF" w14:textId="77777777" w:rsidR="00031292" w:rsidRDefault="00000000">
      <w:pPr>
        <w:spacing w:after="60"/>
        <w:ind w:left="432"/>
      </w:pPr>
      <w:r>
        <w:rPr>
          <w:b/>
        </w:rPr>
        <w:t>NFP Change rising</w:t>
      </w:r>
      <w:r>
        <w:t xml:space="preserve"> = </w:t>
      </w:r>
      <w:r>
        <w:rPr>
          <w:b/>
        </w:rPr>
        <w:t>BULLISH</w:t>
      </w:r>
      <w:r>
        <w:t xml:space="preserve"> (Reflects robust labor market and consumer demand, driving corporate earnings).</w:t>
      </w:r>
    </w:p>
    <w:p w14:paraId="3F7C8F13" w14:textId="77777777" w:rsidR="00031292" w:rsidRDefault="00000000">
      <w:pPr>
        <w:spacing w:before="240"/>
      </w:pPr>
      <w:r>
        <w:rPr>
          <w:b/>
          <w:color w:val="4A5568"/>
          <w:sz w:val="23"/>
        </w:rPr>
        <w:t>D. Dynamic Sign Inversion</w:t>
      </w:r>
    </w:p>
    <w:p w14:paraId="2889AF09" w14:textId="77777777" w:rsidR="00031292" w:rsidRDefault="00000000">
      <w:pPr>
        <w:spacing w:after="80"/>
      </w:pPr>
      <w:r>
        <w:t>If the ranked Z-score for an indicator is negative (</w:t>
      </w:r>
      <m:oMath>
        <m:r>
          <w:rPr>
            <w:rFonts w:ascii="Cambria Math" w:eastAsia="Cambria Math" w:hAnsi="Cambria Math" w:cs="Cambria Math"/>
          </w:rPr>
          <m:t>Z&lt;0</m:t>
        </m:r>
      </m:oMath>
      <w:r>
        <w:t>), indicating that the factor is falling relative to its history, the system dynamically inverts the impact label. For example, if DXY's impact on Gold is mapped as "BEARISH", but DXY is currently falling (</w:t>
      </w:r>
      <m:oMath>
        <m:r>
          <w:rPr>
            <w:rFonts w:ascii="Cambria Math" w:eastAsia="Cambria Math" w:hAnsi="Cambria Math" w:cs="Cambria Math"/>
          </w:rPr>
          <m:t>Z=-2.1</m:t>
        </m:r>
      </m:oMath>
      <w:r>
        <w:t>), the net impact is converted to "BULLISH". This dynamic alignment represents the true macroeconomic force acting on the asset.</w:t>
      </w:r>
    </w:p>
    <w:p w14:paraId="450CABA9" w14:textId="77777777" w:rsidR="00031292" w:rsidRDefault="00000000">
      <w:pPr>
        <w:spacing w:before="320"/>
      </w:pPr>
      <w:r>
        <w:rPr>
          <w:b/>
          <w:color w:val="2C5282"/>
          <w:sz w:val="26"/>
        </w:rPr>
        <w:t>4. LLM-POWERED ATTRIBUTION SYNTHESIS</w:t>
      </w:r>
    </w:p>
    <w:p w14:paraId="12223F80" w14:textId="77777777" w:rsidR="00031292" w:rsidRDefault="00000000">
      <w:pPr>
        <w:spacing w:after="80"/>
      </w:pPr>
      <w:r>
        <w:lastRenderedPageBreak/>
        <w:t>The structured driver data is sent to the LLM (Gemini) to generate a concise, institutional-style narrative. The prompt contains:</w:t>
      </w:r>
    </w:p>
    <w:p w14:paraId="46EAC174" w14:textId="77777777" w:rsidR="00031292" w:rsidRDefault="00000000">
      <w:pPr>
        <w:spacing w:after="60"/>
        <w:ind w:left="432"/>
      </w:pPr>
      <w:r>
        <w:t>The target asset name and predicted return direction.</w:t>
      </w:r>
    </w:p>
    <w:p w14:paraId="370C6292" w14:textId="77777777" w:rsidR="00031292" w:rsidRDefault="00000000">
      <w:pPr>
        <w:spacing w:after="60"/>
        <w:ind w:left="432"/>
      </w:pPr>
      <w:r>
        <w:t>The top three ranked macro drivers, their current values, Z-score deviations, and mapped directional impacts.</w:t>
      </w:r>
    </w:p>
    <w:p w14:paraId="712E564D" w14:textId="77777777" w:rsidR="00031292" w:rsidRDefault="00000000">
      <w:pPr>
        <w:spacing w:after="60"/>
        <w:ind w:left="432"/>
      </w:pPr>
      <w:r>
        <w:t>Live supplementary macro context.</w:t>
      </w:r>
    </w:p>
    <w:p w14:paraId="19B1AAF5" w14:textId="77777777" w:rsidR="00031292" w:rsidRDefault="00000000">
      <w:pPr>
        <w:spacing w:after="80"/>
      </w:pPr>
      <w:r>
        <w:t>The LLM is restricted by strict prompt guidelines to prevent AI hallucination:</w:t>
      </w:r>
    </w:p>
    <w:p w14:paraId="4FF82A88" w14:textId="77777777" w:rsidR="00031292" w:rsidRDefault="00000000">
      <w:pPr>
        <w:spacing w:after="60"/>
        <w:ind w:left="432"/>
      </w:pPr>
      <w:r>
        <w:t>No emojis or markdown icons.</w:t>
      </w:r>
    </w:p>
    <w:p w14:paraId="7E847FB7" w14:textId="77777777" w:rsidR="00031292" w:rsidRDefault="00000000">
      <w:pPr>
        <w:spacing w:after="60"/>
        <w:ind w:left="432"/>
      </w:pPr>
      <w:r>
        <w:t>Must use an objective, factual, institutional strategist tone.</w:t>
      </w:r>
    </w:p>
    <w:p w14:paraId="3C24874B" w14:textId="77777777" w:rsidR="00031292" w:rsidRDefault="00000000">
      <w:pPr>
        <w:spacing w:after="60"/>
        <w:ind w:left="432"/>
      </w:pPr>
      <w:r>
        <w:t>Must categorize the output into three structured sections:</w:t>
      </w:r>
    </w:p>
    <w:p w14:paraId="60670CCE" w14:textId="77777777" w:rsidR="00031292" w:rsidRDefault="00000000">
      <w:pPr>
        <w:spacing w:after="60"/>
        <w:ind w:left="432"/>
      </w:pPr>
      <w:r>
        <w:rPr>
          <w:b/>
        </w:rPr>
        <w:t>TAILWINDS</w:t>
      </w:r>
      <w:r>
        <w:t>: specific macro factors supporting the forecast direction.</w:t>
      </w:r>
    </w:p>
    <w:p w14:paraId="6C631C64" w14:textId="77777777" w:rsidR="00031292" w:rsidRDefault="00000000">
      <w:pPr>
        <w:spacing w:after="60"/>
        <w:ind w:left="432"/>
      </w:pPr>
      <w:r>
        <w:rPr>
          <w:b/>
        </w:rPr>
        <w:t>HEADWINDS</w:t>
      </w:r>
      <w:r>
        <w:t>: factors working against the forecast direction.</w:t>
      </w:r>
    </w:p>
    <w:p w14:paraId="31451533" w14:textId="77777777" w:rsidR="00031292" w:rsidRDefault="00000000">
      <w:pPr>
        <w:spacing w:after="60"/>
        <w:ind w:left="432"/>
      </w:pPr>
      <w:r>
        <w:rPr>
          <w:b/>
        </w:rPr>
        <w:t>SUMMARY</w:t>
      </w:r>
      <w:r>
        <w:t>: a 2-3 sentence overview of the structural thesis.</w:t>
      </w:r>
    </w:p>
    <w:p w14:paraId="424B1C85" w14:textId="77777777" w:rsidR="00031292" w:rsidRDefault="00000000">
      <w:pPr>
        <w:spacing w:after="80"/>
      </w:pPr>
      <w:r>
        <w:t>This results in a clean, explainable macro-attribution block presented on the dashboard.</w:t>
      </w:r>
    </w:p>
    <w:p w14:paraId="5691EFBC" w14:textId="77777777" w:rsidR="00031292" w:rsidRDefault="00000000">
      <w:r>
        <w:br w:type="page"/>
      </w:r>
    </w:p>
    <w:p w14:paraId="37A6DBD6" w14:textId="77777777" w:rsidR="00031292" w:rsidRDefault="00000000">
      <w:pPr>
        <w:spacing w:before="400" w:after="240"/>
      </w:pPr>
      <w:r>
        <w:rPr>
          <w:b/>
          <w:color w:val="4A5568"/>
          <w:sz w:val="20"/>
        </w:rPr>
        <w:lastRenderedPageBreak/>
        <w:t>──────  PART 8 – MULTI-FACTOR TRADING SIGNAL GENERATION &amp; RISK CALIBRATION  ──────</w:t>
      </w:r>
    </w:p>
    <w:p w14:paraId="174C60BC" w14:textId="77777777" w:rsidR="00031292" w:rsidRDefault="00000000">
      <w:pPr>
        <w:spacing w:before="440"/>
      </w:pPr>
      <w:r>
        <w:rPr>
          <w:b/>
          <w:color w:val="1A365D"/>
          <w:sz w:val="32"/>
        </w:rPr>
        <w:t>MARKET INTELLIGENCE SYSTEM: COMPREHENSIVE ARCHITECTURE &amp; RESEARCH WHITEPAPER</w:t>
      </w:r>
    </w:p>
    <w:p w14:paraId="6827C46B" w14:textId="77777777" w:rsidR="00031292" w:rsidRDefault="00000000">
      <w:pPr>
        <w:spacing w:before="320"/>
      </w:pPr>
      <w:r>
        <w:rPr>
          <w:b/>
          <w:color w:val="2C5282"/>
          <w:sz w:val="26"/>
        </w:rPr>
        <w:t>PART 8: MULTI-FACTOR TRADING SIGNAL GENERATION &amp; RISK CALIBRATION</w:t>
      </w:r>
    </w:p>
    <w:p w14:paraId="58A71895" w14:textId="77777777" w:rsidR="00031292" w:rsidRDefault="00000000">
      <w:pPr>
        <w:spacing w:before="240"/>
      </w:pPr>
      <w:r>
        <w:rPr>
          <w:b/>
          <w:color w:val="4A5568"/>
          <w:sz w:val="23"/>
        </w:rPr>
        <w:t>1. CONSOLIDATED SIGNAL METRICS</w:t>
      </w:r>
    </w:p>
    <w:p w14:paraId="1D66F28F" w14:textId="77777777" w:rsidR="00031292" w:rsidRDefault="00000000">
      <w:pPr>
        <w:spacing w:after="80"/>
      </w:pPr>
      <w:r>
        <w:t xml:space="preserve">The </w:t>
      </w:r>
      <w:r>
        <w:rPr>
          <w:rFonts w:ascii="Consolas" w:hAnsi="Consolas"/>
          <w:sz w:val="19"/>
        </w:rPr>
        <w:t>SignalGenerator</w:t>
      </w:r>
      <w:r>
        <w:t xml:space="preserve"> class synthesizes quantitative model outputs, macroeconomic indicators, sentiment indexes, and technical indicators into a single, actionable trading signal (BUY, SELL, or HOLD). Financial models that rely only on a single signal source are vulnerable to failure when market conditions shift. By combining multiple independent factors, the signal generator ensures that the final trading recommendation is supported by both macro regimes and micro price action.</w:t>
      </w:r>
    </w:p>
    <w:p w14:paraId="1174170B" w14:textId="77777777" w:rsidR="00031292" w:rsidRDefault="00000000">
      <w:pPr>
        <w:spacing w:after="80"/>
      </w:pPr>
      <w:r>
        <w:t xml:space="preserve">The output dictionary returned by </w:t>
      </w:r>
      <w:r>
        <w:rPr>
          <w:rFonts w:ascii="Consolas" w:hAnsi="Consolas"/>
          <w:sz w:val="19"/>
        </w:rPr>
        <w:t>generate_signal()</w:t>
      </w:r>
      <w:r>
        <w:t xml:space="preserve"> contains:</w:t>
      </w:r>
    </w:p>
    <w:p w14:paraId="2DA4B23A" w14:textId="77777777" w:rsidR="00031292" w:rsidRDefault="00000000">
      <w:pPr>
        <w:spacing w:after="60"/>
        <w:ind w:left="432"/>
      </w:pPr>
      <w:r>
        <w:rPr>
          <w:b/>
        </w:rPr>
        <w:t>Consolidated Signal</w:t>
      </w:r>
      <w:r>
        <w:t>: BUY, SELL, or HOLD.</w:t>
      </w:r>
    </w:p>
    <w:p w14:paraId="22561B83" w14:textId="77777777" w:rsidR="00031292" w:rsidRDefault="00000000">
      <w:pPr>
        <w:spacing w:after="60"/>
        <w:ind w:left="432"/>
      </w:pPr>
      <w:r>
        <w:rPr>
          <w:b/>
        </w:rPr>
        <w:t>Confidence</w:t>
      </w:r>
      <w:r>
        <w:t>: A float score between 0.0 and 1.0.</w:t>
      </w:r>
    </w:p>
    <w:p w14:paraId="5C6A2C28" w14:textId="77777777" w:rsidR="00031292" w:rsidRDefault="00000000">
      <w:pPr>
        <w:spacing w:after="60"/>
        <w:ind w:left="432"/>
      </w:pPr>
      <w:r>
        <w:rPr>
          <w:b/>
        </w:rPr>
        <w:t>Reasons</w:t>
      </w:r>
      <w:r>
        <w:t>: A list of qualitative and quantitative attributions explaining the decision.</w:t>
      </w:r>
    </w:p>
    <w:p w14:paraId="702CE3E1" w14:textId="77777777" w:rsidR="00031292" w:rsidRDefault="00000000">
      <w:pPr>
        <w:spacing w:after="60"/>
        <w:ind w:left="432"/>
      </w:pPr>
      <w:r>
        <w:rPr>
          <w:b/>
        </w:rPr>
        <w:t>Factors</w:t>
      </w:r>
      <w:r>
        <w:t>: Sub-scores for each input category.</w:t>
      </w:r>
    </w:p>
    <w:p w14:paraId="052F176B" w14:textId="77777777" w:rsidR="00031292" w:rsidRDefault="00000000">
      <w:pPr>
        <w:spacing w:after="60"/>
        <w:ind w:left="432"/>
      </w:pPr>
      <w:r>
        <w:rPr>
          <w:b/>
        </w:rPr>
        <w:t>Risk Parameters</w:t>
      </w:r>
      <w:r>
        <w:t>: Entry price, target price, and stop-loss levels.</w:t>
      </w:r>
    </w:p>
    <w:p w14:paraId="7AA20DE7" w14:textId="77777777" w:rsidR="00031292" w:rsidRDefault="00000000">
      <w:pPr>
        <w:spacing w:before="240"/>
      </w:pPr>
      <w:r>
        <w:rPr>
          <w:b/>
          <w:color w:val="4A5568"/>
          <w:sz w:val="23"/>
        </w:rPr>
        <w:t>2. MULTI-FACTOR WEIGHTING MATRIX</w:t>
      </w:r>
    </w:p>
    <w:p w14:paraId="35FC534D" w14:textId="77777777" w:rsidR="00031292" w:rsidRDefault="00000000">
      <w:pPr>
        <w:spacing w:after="80"/>
      </w:pPr>
      <w:r>
        <w:t>The signal generator scores and aggregates four categories of market data:</w:t>
      </w:r>
    </w:p>
    <w:p w14:paraId="2C147888" w14:textId="77777777" w:rsidR="00031292" w:rsidRDefault="00000000">
      <w:pPr>
        <w:spacing w:before="240"/>
      </w:pPr>
      <w:r>
        <w:rPr>
          <w:b/>
          <w:color w:val="4A5568"/>
          <w:sz w:val="23"/>
        </w:rPr>
        <w:t>A. AI Forecast Score (40% Weight)</w:t>
      </w:r>
    </w:p>
    <w:p w14:paraId="2860BECB" w14:textId="77777777" w:rsidR="00031292" w:rsidRDefault="00000000">
      <w:pPr>
        <w:spacing w:after="80"/>
      </w:pPr>
      <w:r>
        <w:t>The primary driver of the signal is the 1-week expected return from the Dual-Head Stacker. The raw percent change is normalized to a 0-1 scale:</w:t>
      </w:r>
    </w:p>
    <w:p w14:paraId="22842CDE" w14:textId="77777777" w:rsidR="00031292" w:rsidRDefault="00000000">
      <w:pPr>
        <w:spacing w:before="200" w:after="200"/>
        <w:jc w:val="center"/>
      </w:pPr>
      <m:oMathPara>
        <m:oMath>
          <m:r>
            <m:rPr>
              <m:nor/>
            </m:rPr>
            <w:rPr>
              <w:rFonts w:ascii="Cambria Math" w:eastAsia="Cambria Math" w:hAnsi="Cambria Math" w:cs="Cambria Math"/>
            </w:rPr>
            <m:t>Score</m:t>
          </m:r>
          <m:r>
            <w:rPr>
              <w:rFonts w:ascii="Cambria Math" w:eastAsia="Cambria Math" w:hAnsi="Cambria Math" w:cs="Cambria Math"/>
            </w:rPr>
            <m:t>=</m:t>
          </m:r>
          <m:f>
            <m:fPr>
              <m:ctrlPr>
                <w:rPr>
                  <w:rFonts w:ascii="Cambria Math" w:hAnsi="Cambria Math"/>
                </w:rPr>
              </m:ctrlPr>
            </m:fPr>
            <m:num>
              <m:r>
                <m:rPr>
                  <m:nor/>
                </m:rPr>
                <w:rPr>
                  <w:rFonts w:ascii="Cambria Math" w:eastAsia="Cambria Math" w:hAnsi="Cambria Math" w:cs="Cambria Math"/>
                </w:rPr>
                <m:t>Abs</m:t>
              </m:r>
              <m:r>
                <w:rPr>
                  <w:rFonts w:ascii="Cambria Math" w:eastAsia="Cambria Math" w:hAnsi="Cambria Math" w:cs="Cambria Math"/>
                </w:rPr>
                <m:t>(</m:t>
              </m:r>
              <m:r>
                <m:rPr>
                  <m:nor/>
                </m:rPr>
                <w:rPr>
                  <w:rFonts w:ascii="Cambria Math" w:eastAsia="Cambria Math" w:hAnsi="Cambria Math" w:cs="Cambria Math"/>
                </w:rPr>
                <m:t>Pct Change 7D</m:t>
              </m:r>
              <m:r>
                <w:rPr>
                  <w:rFonts w:ascii="Cambria Math" w:eastAsia="Cambria Math" w:hAnsi="Cambria Math" w:cs="Cambria Math"/>
                </w:rPr>
                <m:t>)</m:t>
              </m:r>
            </m:num>
            <m:den>
              <m:r>
                <w:rPr>
                  <w:rFonts w:ascii="Cambria Math" w:eastAsia="Cambria Math" w:hAnsi="Cambria Math" w:cs="Cambria Math"/>
                </w:rPr>
                <m:t>10</m:t>
              </m:r>
            </m:den>
          </m:f>
        </m:oMath>
      </m:oMathPara>
    </w:p>
    <w:p w14:paraId="43BA0030" w14:textId="77777777" w:rsidR="00031292" w:rsidRDefault="00000000">
      <w:pPr>
        <w:spacing w:after="80"/>
      </w:pPr>
      <w:r>
        <w:t>If the predicted return is positive, it contributes to a BUY score; if negative, to a SELL score. The confidence of this factor is scaled by the dynamic hit ratio retrieved from backtest reports.</w:t>
      </w:r>
    </w:p>
    <w:p w14:paraId="51A60C7A" w14:textId="77777777" w:rsidR="00031292" w:rsidRDefault="00000000">
      <w:pPr>
        <w:spacing w:before="240"/>
      </w:pPr>
      <w:r>
        <w:rPr>
          <w:b/>
          <w:color w:val="4A5568"/>
          <w:sz w:val="23"/>
        </w:rPr>
        <w:t>B. Macroeconomic Regime Score (25% to 30% Weight)</w:t>
      </w:r>
    </w:p>
    <w:p w14:paraId="6A397265" w14:textId="77777777" w:rsidR="00031292" w:rsidRDefault="00000000">
      <w:pPr>
        <w:spacing w:after="80"/>
      </w:pPr>
      <w:r>
        <w:t>This factor evaluates macro-liquidity indicators.</w:t>
      </w:r>
    </w:p>
    <w:p w14:paraId="38E670DF" w14:textId="77777777" w:rsidR="00031292" w:rsidRDefault="00000000">
      <w:pPr>
        <w:spacing w:after="60"/>
        <w:ind w:left="432"/>
      </w:pPr>
      <w:r>
        <w:rPr>
          <w:b/>
        </w:rPr>
        <w:t>Gold</w:t>
      </w:r>
      <w:r>
        <w:t>: Evaluates DXY, VIX, and CME FedWatch decisions. DXY &lt; 105 and VIX &gt; 15 are bullish; DXY &gt; 108 and VIX &lt; 12 are bearish.</w:t>
      </w:r>
    </w:p>
    <w:p w14:paraId="7B84EF3A" w14:textId="77777777" w:rsidR="00031292" w:rsidRDefault="00000000">
      <w:pPr>
        <w:spacing w:after="60"/>
        <w:ind w:left="432"/>
      </w:pPr>
      <w:r>
        <w:rPr>
          <w:b/>
        </w:rPr>
        <w:lastRenderedPageBreak/>
        <w:t>Bitcoin</w:t>
      </w:r>
      <w:r>
        <w:t>: Evaluates DXY and Fed policy. DXY &lt; 104 is bullish; DXY &gt; 107 is bearish.</w:t>
      </w:r>
    </w:p>
    <w:p w14:paraId="35DA8A91" w14:textId="77777777" w:rsidR="00031292" w:rsidRDefault="00000000">
      <w:pPr>
        <w:spacing w:after="60"/>
        <w:ind w:left="432"/>
      </w:pPr>
      <w:r>
        <w:rPr>
          <w:b/>
        </w:rPr>
        <w:t>Equities</w:t>
      </w:r>
      <w:r>
        <w:t>: Evaluates VIX and interest rates. VIX &lt; 18 is bullish; VIX &gt; 25 is bearish.</w:t>
      </w:r>
    </w:p>
    <w:p w14:paraId="1C02B851" w14:textId="77777777" w:rsidR="00031292" w:rsidRDefault="00000000">
      <w:pPr>
        <w:spacing w:before="240"/>
      </w:pPr>
      <w:r>
        <w:rPr>
          <w:b/>
          <w:color w:val="4A5568"/>
          <w:sz w:val="23"/>
        </w:rPr>
        <w:t>C. Alternative Sentiment Score (20% Weight)</w:t>
      </w:r>
    </w:p>
    <w:p w14:paraId="2F65B486" w14:textId="77777777" w:rsidR="00031292" w:rsidRDefault="00000000">
      <w:pPr>
        <w:spacing w:after="80"/>
      </w:pPr>
      <w:r>
        <w:t>This factor combines retail interest and fear indexes.</w:t>
      </w:r>
    </w:p>
    <w:p w14:paraId="6BCB3BE3" w14:textId="77777777" w:rsidR="00031292" w:rsidRDefault="00000000">
      <w:pPr>
        <w:spacing w:after="60"/>
        <w:ind w:left="432"/>
      </w:pPr>
      <w:r>
        <w:rPr>
          <w:b/>
        </w:rPr>
        <w:t>Google Trends</w:t>
      </w:r>
      <w:r>
        <w:t>: The slope of search volume for key terms (e.g., "buy gold", "bitcoin price"). A rising trend slope contributes to bullish sentiment.</w:t>
      </w:r>
    </w:p>
    <w:p w14:paraId="6EC5710B" w14:textId="77777777" w:rsidR="00031292" w:rsidRDefault="00000000">
      <w:pPr>
        <w:spacing w:after="60"/>
        <w:ind w:left="432"/>
      </w:pPr>
      <w:r>
        <w:rPr>
          <w:b/>
        </w:rPr>
        <w:t>Fear &amp; Greed Index</w:t>
      </w:r>
      <w:r>
        <w:t>: Ingested daily. Values below 20 (extreme fear) are treated contrarian-bullish, while values above 80 (extreme greed) are treated contrarian-bearish.</w:t>
      </w:r>
    </w:p>
    <w:p w14:paraId="278E9D52" w14:textId="77777777" w:rsidR="00031292" w:rsidRDefault="00000000">
      <w:pPr>
        <w:spacing w:before="240"/>
      </w:pPr>
      <w:r>
        <w:rPr>
          <w:b/>
          <w:color w:val="4A5568"/>
          <w:sz w:val="23"/>
        </w:rPr>
        <w:t>D. Technical Price Action Score (15% to 20% Weight)</w:t>
      </w:r>
    </w:p>
    <w:p w14:paraId="2536230A" w14:textId="77777777" w:rsidR="00031292" w:rsidRDefault="00000000">
      <w:pPr>
        <w:spacing w:after="80"/>
      </w:pPr>
      <w:r>
        <w:t>This factor evaluates standard momentum indicators:</w:t>
      </w:r>
    </w:p>
    <w:p w14:paraId="28EAFEB7" w14:textId="77777777" w:rsidR="00031292" w:rsidRDefault="00000000">
      <w:pPr>
        <w:spacing w:after="60"/>
        <w:ind w:left="432"/>
      </w:pPr>
      <w:r>
        <w:rPr>
          <w:b/>
        </w:rPr>
        <w:t>EMA_90 Crossover</w:t>
      </w:r>
      <w:r>
        <w:t>: Close price above the 90-day Exponential Moving Average indicates a bullish trend.</w:t>
      </w:r>
    </w:p>
    <w:p w14:paraId="5A3A8247" w14:textId="77777777" w:rsidR="00031292" w:rsidRDefault="00000000">
      <w:pPr>
        <w:spacing w:after="60"/>
        <w:ind w:left="432"/>
      </w:pPr>
      <w:r>
        <w:rPr>
          <w:b/>
        </w:rPr>
        <w:t>RSI_14</w:t>
      </w:r>
      <w:r>
        <w:t>: Relative Strength Index values below 30 are oversold (bullish trigger), while values above 70 are overbought (bearish trigger).</w:t>
      </w:r>
    </w:p>
    <w:p w14:paraId="11A4C8CB" w14:textId="77777777" w:rsidR="00031292" w:rsidRDefault="00000000">
      <w:pPr>
        <w:spacing w:before="240"/>
      </w:pPr>
      <w:r>
        <w:rPr>
          <w:b/>
          <w:color w:val="4A5568"/>
          <w:sz w:val="23"/>
        </w:rPr>
        <w:t>3. INTEGRATION OF ALTERNATIVE SOURCES</w:t>
      </w:r>
    </w:p>
    <w:p w14:paraId="79B7D5E8" w14:textId="77777777" w:rsidR="00031292" w:rsidRDefault="00000000">
      <w:pPr>
        <w:spacing w:after="80"/>
      </w:pPr>
      <w:r>
        <w:t>The signal engine integrates two specialized fetchers to enrich its alternative data scores:</w:t>
      </w:r>
    </w:p>
    <w:p w14:paraId="1C960E09" w14:textId="77777777" w:rsidR="00031292" w:rsidRDefault="00000000">
      <w:pPr>
        <w:spacing w:before="240"/>
      </w:pPr>
      <w:r>
        <w:rPr>
          <w:b/>
          <w:color w:val="4A5568"/>
          <w:sz w:val="23"/>
        </w:rPr>
        <w:t>A. CME Fed Watch Rate Probability Parser</w:t>
      </w:r>
    </w:p>
    <w:p w14:paraId="43A52059" w14:textId="77777777" w:rsidR="00031292" w:rsidRDefault="00000000">
      <w:pPr>
        <w:spacing w:after="80"/>
      </w:pPr>
      <w:r>
        <w:t xml:space="preserve">The </w:t>
      </w:r>
      <w:r>
        <w:rPr>
          <w:rFonts w:ascii="Consolas" w:hAnsi="Consolas"/>
          <w:sz w:val="19"/>
        </w:rPr>
        <w:t>FedWatchFetcher</w:t>
      </w:r>
      <w:r>
        <w:t xml:space="preserve"> scrapes CME Group futures pricing to extract target interest rate probabilities for upcoming FOMC meetings.</w:t>
      </w:r>
    </w:p>
    <w:p w14:paraId="30D6CF33" w14:textId="77777777" w:rsidR="00031292" w:rsidRDefault="00000000">
      <w:pPr>
        <w:spacing w:after="60"/>
        <w:ind w:left="432"/>
      </w:pPr>
      <w:r>
        <w:rPr>
          <w:b/>
        </w:rPr>
        <w:t>Dovish Score</w:t>
      </w:r>
      <w:r>
        <w:t>: Sum of probabilities for interest rate cuts or halts.</w:t>
      </w:r>
    </w:p>
    <w:p w14:paraId="3BD79B57" w14:textId="77777777" w:rsidR="00031292" w:rsidRDefault="00000000">
      <w:pPr>
        <w:spacing w:after="60"/>
        <w:ind w:left="432"/>
      </w:pPr>
      <w:r>
        <w:rPr>
          <w:b/>
        </w:rPr>
        <w:t>Hawkish Score</w:t>
      </w:r>
      <w:r>
        <w:t>: Sum of probabilities for interest rate hikes.</w:t>
      </w:r>
    </w:p>
    <w:p w14:paraId="596F1AD7" w14:textId="77777777" w:rsidR="00031292" w:rsidRDefault="00000000">
      <w:pPr>
        <w:spacing w:after="80"/>
      </w:pPr>
      <w:r>
        <w:t>If the Dovish Score exceeds 60%, the engine registers a dovish stance. This stance is mapped directly as:</w:t>
      </w:r>
    </w:p>
    <w:p w14:paraId="166599D4" w14:textId="77777777" w:rsidR="00031292" w:rsidRDefault="00000000">
      <w:pPr>
        <w:spacing w:after="60"/>
        <w:ind w:left="432"/>
      </w:pPr>
      <w:r>
        <w:rPr>
          <w:b/>
        </w:rPr>
        <w:t>Gold</w:t>
      </w:r>
      <w:r>
        <w:t xml:space="preserve">: </w:t>
      </w:r>
      <w:r>
        <w:rPr>
          <w:b/>
        </w:rPr>
        <w:t>BULLISH</w:t>
      </w:r>
      <w:r>
        <w:t xml:space="preserve"> (Lower interest rates reduce non-yielding asset opportunity cost).</w:t>
      </w:r>
    </w:p>
    <w:p w14:paraId="52CB06D2" w14:textId="77777777" w:rsidR="00031292" w:rsidRDefault="00000000">
      <w:pPr>
        <w:spacing w:after="60"/>
        <w:ind w:left="432"/>
      </w:pPr>
      <w:r>
        <w:rPr>
          <w:b/>
        </w:rPr>
        <w:t>Bitcoin</w:t>
      </w:r>
      <w:r>
        <w:t xml:space="preserve">: </w:t>
      </w:r>
      <w:r>
        <w:rPr>
          <w:b/>
        </w:rPr>
        <w:t>BULLISH</w:t>
      </w:r>
      <w:r>
        <w:t xml:space="preserve"> (Easier financial conditions fuel risk asset appreciation).</w:t>
      </w:r>
    </w:p>
    <w:p w14:paraId="51D197F4" w14:textId="77777777" w:rsidR="00031292" w:rsidRDefault="00000000">
      <w:pPr>
        <w:spacing w:after="60"/>
        <w:ind w:left="432"/>
      </w:pPr>
      <w:r>
        <w:rPr>
          <w:b/>
        </w:rPr>
        <w:t>Stocks</w:t>
      </w:r>
      <w:r>
        <w:t xml:space="preserve">: </w:t>
      </w:r>
      <w:r>
        <w:rPr>
          <w:b/>
        </w:rPr>
        <w:t>BULLISH</w:t>
      </w:r>
      <w:r>
        <w:t xml:space="preserve"> (Lower discount rates expand DCF multiples, except during recessions).</w:t>
      </w:r>
    </w:p>
    <w:p w14:paraId="70BF5A88" w14:textId="77777777" w:rsidR="00031292" w:rsidRDefault="00000000">
      <w:pPr>
        <w:spacing w:before="240"/>
      </w:pPr>
      <w:r>
        <w:rPr>
          <w:b/>
          <w:color w:val="4A5568"/>
          <w:sz w:val="23"/>
        </w:rPr>
        <w:t>B. Google Trends Search Interest Normalization</w:t>
      </w:r>
    </w:p>
    <w:p w14:paraId="78010D03" w14:textId="77777777" w:rsidR="00031292" w:rsidRDefault="00000000">
      <w:pPr>
        <w:spacing w:after="80"/>
      </w:pPr>
      <w:r>
        <w:t xml:space="preserve">The </w:t>
      </w:r>
      <w:r>
        <w:rPr>
          <w:rFonts w:ascii="Consolas" w:hAnsi="Consolas"/>
          <w:sz w:val="19"/>
        </w:rPr>
        <w:t>GoogleTrendsFetcher</w:t>
      </w:r>
      <w:r>
        <w:t xml:space="preserve"> queries search volume indexes. Because raw interest index values are noisy, the fetcher calculates the rolling change:</w:t>
      </w:r>
    </w:p>
    <w:p w14:paraId="5B5D24CC" w14:textId="77777777" w:rsidR="00031292" w:rsidRDefault="00000000">
      <w:pPr>
        <w:spacing w:before="200" w:after="200"/>
        <w:jc w:val="center"/>
      </w:pPr>
      <m:oMathPara>
        <m:oMath>
          <m:r>
            <m:rPr>
              <m:nor/>
            </m:rPr>
            <w:rPr>
              <w:rFonts w:ascii="Cambria Math" w:eastAsia="Cambria Math" w:hAnsi="Cambria Math" w:cs="Cambria Math"/>
            </w:rPr>
            <m:t>Slope</m:t>
          </m:r>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m:rPr>
                      <m:nor/>
                    </m:rPr>
                    <w:rPr>
                      <w:rFonts w:ascii="Cambria Math" w:eastAsia="Cambria Math" w:hAnsi="Cambria Math" w:cs="Cambria Math"/>
                    </w:rPr>
                    <m:t>Interest</m:t>
                  </m:r>
                </m:e>
                <m:sub>
                  <m:r>
                    <w:rPr>
                      <w:rFonts w:ascii="Cambria Math" w:eastAsia="Cambria Math" w:hAnsi="Cambria Math" w:cs="Cambria Math"/>
                    </w:rPr>
                    <m:t>t</m:t>
                  </m:r>
                </m:sub>
              </m:sSub>
              <m:r>
                <w:rPr>
                  <w:rFonts w:ascii="Cambria Math" w:eastAsia="Cambria Math" w:hAnsi="Cambria Math" w:cs="Cambria Math"/>
                </w:rPr>
                <m:t>-</m:t>
              </m:r>
              <m:r>
                <m:rPr>
                  <m:nor/>
                </m:rPr>
                <w:rPr>
                  <w:rFonts w:ascii="Cambria Math" w:eastAsia="Cambria Math" w:hAnsi="Cambria Math" w:cs="Cambria Math"/>
                </w:rPr>
                <m:t>Mean</m:t>
              </m:r>
              <m:r>
                <w:rPr>
                  <w:rFonts w:ascii="Cambria Math" w:eastAsia="Cambria Math" w:hAnsi="Cambria Math" w:cs="Cambria Math"/>
                </w:rPr>
                <m:t>(</m:t>
              </m:r>
              <m:sSub>
                <m:sSubPr>
                  <m:ctrlPr>
                    <w:rPr>
                      <w:rFonts w:ascii="Cambria Math" w:hAnsi="Cambria Math"/>
                    </w:rPr>
                  </m:ctrlPr>
                </m:sSubPr>
                <m:e>
                  <m:r>
                    <m:rPr>
                      <m:nor/>
                    </m:rPr>
                    <w:rPr>
                      <w:rFonts w:ascii="Cambria Math" w:eastAsia="Cambria Math" w:hAnsi="Cambria Math" w:cs="Cambria Math"/>
                    </w:rPr>
                    <m:t>Interest</m:t>
                  </m:r>
                </m:e>
                <m:sub>
                  <m:r>
                    <w:rPr>
                      <w:rFonts w:ascii="Cambria Math" w:eastAsia="Cambria Math" w:hAnsi="Cambria Math" w:cs="Cambria Math"/>
                    </w:rPr>
                    <m:t>t-7:t</m:t>
                  </m:r>
                </m:sub>
              </m:sSub>
              <m:r>
                <w:rPr>
                  <w:rFonts w:ascii="Cambria Math" w:eastAsia="Cambria Math" w:hAnsi="Cambria Math" w:cs="Cambria Math"/>
                </w:rPr>
                <m:t>)</m:t>
              </m:r>
            </m:num>
            <m:den>
              <m:r>
                <m:rPr>
                  <m:nor/>
                </m:rPr>
                <w:rPr>
                  <w:rFonts w:ascii="Cambria Math" w:eastAsia="Cambria Math" w:hAnsi="Cambria Math" w:cs="Cambria Math"/>
                </w:rPr>
                <m:t>Std</m:t>
              </m:r>
              <m:r>
                <w:rPr>
                  <w:rFonts w:ascii="Cambria Math" w:eastAsia="Cambria Math" w:hAnsi="Cambria Math" w:cs="Cambria Math"/>
                </w:rPr>
                <m:t>(</m:t>
              </m:r>
              <m:sSub>
                <m:sSubPr>
                  <m:ctrlPr>
                    <w:rPr>
                      <w:rFonts w:ascii="Cambria Math" w:hAnsi="Cambria Math"/>
                    </w:rPr>
                  </m:ctrlPr>
                </m:sSubPr>
                <m:e>
                  <m:r>
                    <m:rPr>
                      <m:nor/>
                    </m:rPr>
                    <w:rPr>
                      <w:rFonts w:ascii="Cambria Math" w:eastAsia="Cambria Math" w:hAnsi="Cambria Math" w:cs="Cambria Math"/>
                    </w:rPr>
                    <m:t>Interest</m:t>
                  </m:r>
                </m:e>
                <m:sub>
                  <m:r>
                    <w:rPr>
                      <w:rFonts w:ascii="Cambria Math" w:eastAsia="Cambria Math" w:hAnsi="Cambria Math" w:cs="Cambria Math"/>
                    </w:rPr>
                    <m:t>t-7:t</m:t>
                  </m:r>
                </m:sub>
              </m:sSub>
              <m:r>
                <w:rPr>
                  <w:rFonts w:ascii="Cambria Math" w:eastAsia="Cambria Math" w:hAnsi="Cambria Math" w:cs="Cambria Math"/>
                </w:rPr>
                <m:t>)</m:t>
              </m:r>
            </m:den>
          </m:f>
        </m:oMath>
      </m:oMathPara>
    </w:p>
    <w:p w14:paraId="1F5997EE" w14:textId="77777777" w:rsidR="00031292" w:rsidRDefault="00000000">
      <w:pPr>
        <w:spacing w:after="80"/>
      </w:pPr>
      <w:r>
        <w:t>A positive slope indicates accelerating public retail interest, signaling a momentum expansion.</w:t>
      </w:r>
    </w:p>
    <w:p w14:paraId="4B263591" w14:textId="77777777" w:rsidR="00031292" w:rsidRDefault="00000000">
      <w:pPr>
        <w:spacing w:before="240"/>
      </w:pPr>
      <w:r>
        <w:rPr>
          <w:b/>
          <w:color w:val="4A5568"/>
          <w:sz w:val="23"/>
        </w:rPr>
        <w:t>4. RISK PARAMETERS CALIBRATION</w:t>
      </w:r>
    </w:p>
    <w:p w14:paraId="13E1C6AF" w14:textId="77777777" w:rsidR="00031292" w:rsidRDefault="00000000">
      <w:pPr>
        <w:spacing w:after="80"/>
      </w:pPr>
      <w:r>
        <w:lastRenderedPageBreak/>
        <w:t>When a BUY or SELL signal is triggered, the engine calculates risk thresholds:</w:t>
      </w:r>
    </w:p>
    <w:p w14:paraId="578FD43B" w14:textId="77777777" w:rsidR="00031292" w:rsidRDefault="00000000">
      <w:pPr>
        <w:spacing w:after="60"/>
        <w:ind w:left="432"/>
      </w:pPr>
      <w:r>
        <w:rPr>
          <w:b/>
        </w:rPr>
        <w:t>Entry Price</w:t>
      </w:r>
      <w:r>
        <w:t>: Set to the latest actual closing price (</w:t>
      </w:r>
      <m:oMath>
        <m:r>
          <w:rPr>
            <w:rFonts w:ascii="Cambria Math" w:eastAsia="Cambria Math" w:hAnsi="Cambria Math" w:cs="Cambria Math"/>
          </w:rPr>
          <m:t>t=0</m:t>
        </m:r>
      </m:oMath>
      <w:r>
        <w:t>).</w:t>
      </w:r>
    </w:p>
    <w:p w14:paraId="43CDBF2A" w14:textId="77777777" w:rsidR="00031292" w:rsidRDefault="00000000">
      <w:pPr>
        <w:spacing w:after="60"/>
        <w:ind w:left="432"/>
      </w:pPr>
      <w:r>
        <w:rPr>
          <w:b/>
        </w:rPr>
        <w:t>Target Price</w:t>
      </w:r>
      <w:r>
        <w:t>: Derived from the 7-day expected return from the Dual-Head Stacker:</w:t>
      </w:r>
    </w:p>
    <w:p w14:paraId="472B7F08" w14:textId="77777777" w:rsidR="00031292" w:rsidRDefault="00000000">
      <w:pPr>
        <w:spacing w:before="200" w:after="200"/>
        <w:jc w:val="center"/>
      </w:pPr>
      <m:oMathPara>
        <m:oMath>
          <m:r>
            <m:rPr>
              <m:nor/>
            </m:rPr>
            <w:rPr>
              <w:rFonts w:ascii="Cambria Math" w:eastAsia="Cambria Math" w:hAnsi="Cambria Math" w:cs="Cambria Math"/>
            </w:rPr>
            <m:t>Target Price</m:t>
          </m:r>
          <m:r>
            <w:rPr>
              <w:rFonts w:ascii="Cambria Math" w:eastAsia="Cambria Math" w:hAnsi="Cambria Math" w:cs="Cambria Math"/>
            </w:rPr>
            <m:t>=</m:t>
          </m:r>
          <m:r>
            <m:rPr>
              <m:nor/>
            </m:rPr>
            <w:rPr>
              <w:rFonts w:ascii="Cambria Math" w:eastAsia="Cambria Math" w:hAnsi="Cambria Math" w:cs="Cambria Math"/>
            </w:rPr>
            <m:t>Entry Price</m:t>
          </m:r>
          <m:r>
            <w:rPr>
              <w:rFonts w:ascii="Cambria Math" w:eastAsia="Cambria Math" w:hAnsi="Cambria Math" w:cs="Cambria Math"/>
            </w:rPr>
            <m:t>×(1+</m:t>
          </m:r>
          <m:r>
            <m:rPr>
              <m:nor/>
            </m:rPr>
            <w:rPr>
              <w:rFonts w:ascii="Cambria Math" w:eastAsia="Cambria Math" w:hAnsi="Cambria Math" w:cs="Cambria Math"/>
            </w:rPr>
            <m:t>Stacker Return 7D</m:t>
          </m:r>
          <m:r>
            <w:rPr>
              <w:rFonts w:ascii="Cambria Math" w:eastAsia="Cambria Math" w:hAnsi="Cambria Math" w:cs="Cambria Math"/>
            </w:rPr>
            <m:t>)</m:t>
          </m:r>
        </m:oMath>
      </m:oMathPara>
    </w:p>
    <w:p w14:paraId="6AB52866" w14:textId="77777777" w:rsidR="00031292" w:rsidRDefault="00000000">
      <w:pPr>
        <w:spacing w:after="60"/>
        <w:ind w:left="432"/>
      </w:pPr>
      <w:r>
        <w:rPr>
          <w:b/>
        </w:rPr>
        <w:t>Stop-Loss</w:t>
      </w:r>
      <w:r>
        <w:t>: Computed dynamically based on Garman-Klass volatility (</w:t>
      </w:r>
      <m:oMath>
        <m:sSub>
          <m:sSubPr>
            <m:ctrlPr>
              <w:rPr>
                <w:rFonts w:ascii="Cambria Math" w:hAnsi="Cambria Math"/>
              </w:rPr>
            </m:ctrlPr>
          </m:sSubPr>
          <m:e>
            <m:r>
              <w:rPr>
                <w:rFonts w:ascii="Cambria Math" w:eastAsia="Cambria Math" w:hAnsi="Cambria Math" w:cs="Cambria Math"/>
              </w:rPr>
              <m:t>σ</m:t>
            </m:r>
          </m:e>
          <m:sub>
            <m:r>
              <m:rPr>
                <m:nor/>
              </m:rPr>
              <w:rPr>
                <w:rFonts w:ascii="Cambria Math" w:eastAsia="Cambria Math" w:hAnsi="Cambria Math" w:cs="Cambria Math"/>
              </w:rPr>
              <m:t>GK</m:t>
            </m:r>
          </m:sub>
        </m:sSub>
      </m:oMath>
      <w:r>
        <w:t>). The stop-loss is placed at a distance proportional to two standard deviations of 7-day price movement:</w:t>
      </w:r>
    </w:p>
    <w:p w14:paraId="42DBD0BC" w14:textId="77777777" w:rsidR="00031292" w:rsidRDefault="00000000">
      <w:pPr>
        <w:spacing w:before="200" w:after="200"/>
        <w:jc w:val="center"/>
      </w:pPr>
      <m:oMathPara>
        <m:oMath>
          <m:r>
            <m:rPr>
              <m:nor/>
            </m:rPr>
            <w:rPr>
              <w:rFonts w:ascii="Cambria Math" w:eastAsia="Cambria Math" w:hAnsi="Cambria Math" w:cs="Cambria Math"/>
            </w:rPr>
            <m:t>Stop Loss Distance</m:t>
          </m:r>
          <m:r>
            <w:rPr>
              <w:rFonts w:ascii="Cambria Math" w:eastAsia="Cambria Math" w:hAnsi="Cambria Math" w:cs="Cambria Math"/>
            </w:rPr>
            <m:t>=</m:t>
          </m:r>
          <m:r>
            <m:rPr>
              <m:nor/>
            </m:rPr>
            <w:rPr>
              <w:rFonts w:ascii="Cambria Math" w:eastAsia="Cambria Math" w:hAnsi="Cambria Math" w:cs="Cambria Math"/>
            </w:rPr>
            <m:t>Entry Price</m:t>
          </m:r>
          <m:r>
            <w:rPr>
              <w:rFonts w:ascii="Cambria Math" w:eastAsia="Cambria Math" w:hAnsi="Cambria Math" w:cs="Cambria Math"/>
            </w:rPr>
            <m:t>×(2×</m:t>
          </m:r>
          <m:sSub>
            <m:sSubPr>
              <m:ctrlPr>
                <w:rPr>
                  <w:rFonts w:ascii="Cambria Math" w:hAnsi="Cambria Math"/>
                </w:rPr>
              </m:ctrlPr>
            </m:sSubPr>
            <m:e>
              <m:r>
                <w:rPr>
                  <w:rFonts w:ascii="Cambria Math" w:eastAsia="Cambria Math" w:hAnsi="Cambria Math" w:cs="Cambria Math"/>
                </w:rPr>
                <m:t>σ</m:t>
              </m:r>
            </m:e>
            <m:sub>
              <m:r>
                <m:rPr>
                  <m:nor/>
                </m:rPr>
                <w:rPr>
                  <w:rFonts w:ascii="Cambria Math" w:eastAsia="Cambria Math" w:hAnsi="Cambria Math" w:cs="Cambria Math"/>
                </w:rPr>
                <m:t>GK</m:t>
              </m:r>
            </m:sub>
          </m:sSub>
          <m:r>
            <w:rPr>
              <w:rFonts w:ascii="Cambria Math" w:eastAsia="Cambria Math" w:hAnsi="Cambria Math" w:cs="Cambria Math"/>
            </w:rPr>
            <m:t>×</m:t>
          </m:r>
          <m:rad>
            <m:radPr>
              <m:degHide m:val="1"/>
              <m:ctrlPr>
                <w:rPr>
                  <w:rFonts w:ascii="Cambria Math" w:hAnsi="Cambria Math"/>
                </w:rPr>
              </m:ctrlPr>
            </m:radPr>
            <m:deg/>
            <m:e>
              <m:f>
                <m:fPr>
                  <m:type m:val="lin"/>
                  <m:ctrlPr>
                    <w:rPr>
                      <w:rFonts w:ascii="Cambria Math" w:hAnsi="Cambria Math"/>
                    </w:rPr>
                  </m:ctrlPr>
                </m:fPr>
                <m:num>
                  <m:r>
                    <w:rPr>
                      <w:rFonts w:ascii="Cambria Math" w:eastAsia="Cambria Math" w:hAnsi="Cambria Math" w:cs="Cambria Math"/>
                    </w:rPr>
                    <m:t>7</m:t>
                  </m:r>
                </m:num>
                <m:den>
                  <m:r>
                    <w:rPr>
                      <w:rFonts w:ascii="Cambria Math" w:eastAsia="Cambria Math" w:hAnsi="Cambria Math" w:cs="Cambria Math"/>
                    </w:rPr>
                    <m:t>252</m:t>
                  </m:r>
                </m:den>
              </m:f>
            </m:e>
          </m:rad>
          <m:r>
            <w:rPr>
              <w:rFonts w:ascii="Cambria Math" w:eastAsia="Cambria Math" w:hAnsi="Cambria Math" w:cs="Cambria Math"/>
            </w:rPr>
            <m:t>)</m:t>
          </m:r>
        </m:oMath>
      </m:oMathPara>
    </w:p>
    <w:p w14:paraId="05E3838F" w14:textId="77777777" w:rsidR="00031292" w:rsidRDefault="00000000">
      <w:pPr>
        <w:spacing w:after="80"/>
      </w:pPr>
      <w:r>
        <w:t>For BUY signals:</w:t>
      </w:r>
    </w:p>
    <w:p w14:paraId="043AAE77" w14:textId="77777777" w:rsidR="00031292" w:rsidRDefault="00000000">
      <w:pPr>
        <w:spacing w:before="200" w:after="200"/>
        <w:jc w:val="center"/>
      </w:pPr>
      <m:oMathPara>
        <m:oMath>
          <m:r>
            <m:rPr>
              <m:nor/>
            </m:rPr>
            <w:rPr>
              <w:rFonts w:ascii="Cambria Math" w:eastAsia="Cambria Math" w:hAnsi="Cambria Math" w:cs="Cambria Math"/>
            </w:rPr>
            <m:t>Stop Loss</m:t>
          </m:r>
          <m:r>
            <w:rPr>
              <w:rFonts w:ascii="Cambria Math" w:eastAsia="Cambria Math" w:hAnsi="Cambria Math" w:cs="Cambria Math"/>
            </w:rPr>
            <m:t>=</m:t>
          </m:r>
          <m:r>
            <m:rPr>
              <m:nor/>
            </m:rPr>
            <w:rPr>
              <w:rFonts w:ascii="Cambria Math" w:eastAsia="Cambria Math" w:hAnsi="Cambria Math" w:cs="Cambria Math"/>
            </w:rPr>
            <m:t>Entry Price</m:t>
          </m:r>
          <m:r>
            <w:rPr>
              <w:rFonts w:ascii="Cambria Math" w:eastAsia="Cambria Math" w:hAnsi="Cambria Math" w:cs="Cambria Math"/>
            </w:rPr>
            <m:t>-</m:t>
          </m:r>
          <m:r>
            <m:rPr>
              <m:nor/>
            </m:rPr>
            <w:rPr>
              <w:rFonts w:ascii="Cambria Math" w:eastAsia="Cambria Math" w:hAnsi="Cambria Math" w:cs="Cambria Math"/>
            </w:rPr>
            <m:t>Stop Loss Distance</m:t>
          </m:r>
        </m:oMath>
      </m:oMathPara>
    </w:p>
    <w:p w14:paraId="5A43B078" w14:textId="77777777" w:rsidR="00031292" w:rsidRDefault="00000000">
      <w:pPr>
        <w:spacing w:after="80"/>
      </w:pPr>
      <w:r>
        <w:t>For SELL signals:</w:t>
      </w:r>
    </w:p>
    <w:p w14:paraId="71D5CFFF" w14:textId="77777777" w:rsidR="00031292" w:rsidRDefault="00000000">
      <w:pPr>
        <w:spacing w:before="200" w:after="200"/>
        <w:jc w:val="center"/>
      </w:pPr>
      <m:oMathPara>
        <m:oMath>
          <m:r>
            <m:rPr>
              <m:nor/>
            </m:rPr>
            <w:rPr>
              <w:rFonts w:ascii="Cambria Math" w:eastAsia="Cambria Math" w:hAnsi="Cambria Math" w:cs="Cambria Math"/>
            </w:rPr>
            <m:t>Stop Loss</m:t>
          </m:r>
          <m:r>
            <w:rPr>
              <w:rFonts w:ascii="Cambria Math" w:eastAsia="Cambria Math" w:hAnsi="Cambria Math" w:cs="Cambria Math"/>
            </w:rPr>
            <m:t>=</m:t>
          </m:r>
          <m:r>
            <m:rPr>
              <m:nor/>
            </m:rPr>
            <w:rPr>
              <w:rFonts w:ascii="Cambria Math" w:eastAsia="Cambria Math" w:hAnsi="Cambria Math" w:cs="Cambria Math"/>
            </w:rPr>
            <m:t>Entry Price</m:t>
          </m:r>
          <m:r>
            <w:rPr>
              <w:rFonts w:ascii="Cambria Math" w:eastAsia="Cambria Math" w:hAnsi="Cambria Math" w:cs="Cambria Math"/>
            </w:rPr>
            <m:t>+</m:t>
          </m:r>
          <m:r>
            <m:rPr>
              <m:nor/>
            </m:rPr>
            <w:rPr>
              <w:rFonts w:ascii="Cambria Math" w:eastAsia="Cambria Math" w:hAnsi="Cambria Math" w:cs="Cambria Math"/>
            </w:rPr>
            <m:t>Stop Loss Distance</m:t>
          </m:r>
        </m:oMath>
      </m:oMathPara>
    </w:p>
    <w:p w14:paraId="329952C3" w14:textId="77777777" w:rsidR="00031292" w:rsidRDefault="00000000">
      <w:pPr>
        <w:spacing w:after="80"/>
      </w:pPr>
      <w:r>
        <w:t>This ensures that stop-loss boundaries expand during volatile regimes and tighten during quiet regimes, protecting capital from noise.</w:t>
      </w:r>
    </w:p>
    <w:p w14:paraId="3F08D6AF" w14:textId="77777777" w:rsidR="00031292" w:rsidRDefault="00000000">
      <w:r>
        <w:br w:type="page"/>
      </w:r>
    </w:p>
    <w:p w14:paraId="5120DB3A" w14:textId="77777777" w:rsidR="00031292" w:rsidRDefault="00000000">
      <w:pPr>
        <w:spacing w:before="400" w:after="240"/>
      </w:pPr>
      <w:r>
        <w:rPr>
          <w:b/>
          <w:color w:val="4A5568"/>
          <w:sz w:val="20"/>
        </w:rPr>
        <w:lastRenderedPageBreak/>
        <w:t>──────  PART 9 – COUNTERFACTUAL BACKTESTING &amp; MODEL ACCURACY SCORES  ──────</w:t>
      </w:r>
    </w:p>
    <w:p w14:paraId="7487303C" w14:textId="77777777" w:rsidR="00031292" w:rsidRDefault="00000000">
      <w:pPr>
        <w:spacing w:before="440"/>
      </w:pPr>
      <w:r>
        <w:rPr>
          <w:b/>
          <w:color w:val="1A365D"/>
          <w:sz w:val="32"/>
        </w:rPr>
        <w:t>PART 9: COUNTERFACTUAL BACKTESTING &amp; MODEL ACCURACY SCORES</w:t>
      </w:r>
    </w:p>
    <w:p w14:paraId="01526AC8" w14:textId="77777777" w:rsidR="00031292" w:rsidRDefault="00000000">
      <w:pPr>
        <w:spacing w:before="320"/>
      </w:pPr>
      <w:r>
        <w:rPr>
          <w:b/>
          <w:color w:val="2C5282"/>
          <w:sz w:val="26"/>
        </w:rPr>
        <w:t>1. THE PRINCIPLE OF COUNTERFACTUAL TESTING</w:t>
      </w:r>
    </w:p>
    <w:p w14:paraId="51D72D3B" w14:textId="77777777" w:rsidR="00031292" w:rsidRDefault="00000000">
      <w:pPr>
        <w:spacing w:after="80"/>
      </w:pPr>
      <w:r>
        <w:t>In machine learning systems that incorporate human inputs or LLM speculative overlays, evaluating model performance is challenging. If a model performs well, it is difficult to determine if the accuracy was driven by the underlying quantitative features or by the LLM override. Conversely, if the model performs poorly, it is unclear if the AI override corrupted an otherwise accurate base model.</w:t>
      </w:r>
    </w:p>
    <w:p w14:paraId="46EF2194" w14:textId="77777777" w:rsidR="00031292" w:rsidRDefault="00000000">
      <w:pPr>
        <w:spacing w:after="80"/>
      </w:pPr>
      <w:r>
        <w:t xml:space="preserve">The system resolves this through </w:t>
      </w:r>
      <w:r>
        <w:rPr>
          <w:b/>
        </w:rPr>
        <w:t>Counterfactual Testing</w:t>
      </w:r>
      <w:r>
        <w:t>. During daily inference, the engine calculates and logs two separate forecasts simultaneously:</w:t>
      </w:r>
    </w:p>
    <w:p w14:paraId="5EE7F458" w14:textId="77777777" w:rsidR="00031292" w:rsidRDefault="00000000">
      <w:pPr>
        <w:spacing w:after="60"/>
        <w:ind w:left="432"/>
      </w:pPr>
      <w:r>
        <w:rPr>
          <w:b/>
        </w:rPr>
        <w:t>Baseline Forecast</w:t>
      </w:r>
      <w:r>
        <w:t>: The raw prediction from the base models and the Dual-Head Stacker (Worker and Manager layers only, no LLM bias).</w:t>
      </w:r>
    </w:p>
    <w:p w14:paraId="0395BC0C" w14:textId="77777777" w:rsidR="00031292" w:rsidRDefault="00000000">
      <w:pPr>
        <w:spacing w:after="60"/>
        <w:ind w:left="432"/>
      </w:pPr>
      <w:r>
        <w:rPr>
          <w:b/>
        </w:rPr>
        <w:t>Contextual Forecast</w:t>
      </w:r>
      <w:r>
        <w:t>: The final prediction containing the CEO Layer's drift multiplier and bias vector override.</w:t>
      </w:r>
    </w:p>
    <w:p w14:paraId="225BD74D" w14:textId="77777777" w:rsidR="00031292" w:rsidRDefault="00000000">
      <w:pPr>
        <w:spacing w:after="80"/>
      </w:pPr>
      <w:r>
        <w:t xml:space="preserve">By comparing the performance of these two parallel trajectories over time, the system can statistically prove whether the </w:t>
      </w:r>
      <w:r>
        <w:rPr>
          <w:b/>
        </w:rPr>
        <w:t>CEO Layer</w:t>
      </w:r>
      <w:r>
        <w:t xml:space="preserve"> adds value (improves the </w:t>
      </w:r>
      <w:r>
        <w:rPr>
          <w:b/>
        </w:rPr>
        <w:t>Hit Ratio</w:t>
      </w:r>
      <w:r>
        <w:t>) or acts as noise.</w:t>
      </w:r>
    </w:p>
    <w:p w14:paraId="385F6EA1" w14:textId="77777777" w:rsidR="00031292" w:rsidRDefault="00000000">
      <w:pPr>
        <w:spacing w:before="320"/>
      </w:pPr>
      <w:r>
        <w:rPr>
          <w:b/>
          <w:color w:val="2C5282"/>
          <w:sz w:val="26"/>
        </w:rPr>
        <w:t>2. PARALLEL FORECAST LOGGING PIPELINE</w:t>
      </w:r>
    </w:p>
    <w:p w14:paraId="4023DF2B" w14:textId="77777777" w:rsidR="00031292" w:rsidRDefault="00000000">
      <w:pPr>
        <w:spacing w:after="80"/>
      </w:pPr>
      <w:r>
        <w:t xml:space="preserve">The </w:t>
      </w:r>
      <w:r>
        <w:rPr>
          <w:rFonts w:ascii="Consolas" w:hAnsi="Consolas"/>
          <w:sz w:val="19"/>
        </w:rPr>
        <w:t>CounterfactualLogger</w:t>
      </w:r>
      <w:r>
        <w:t xml:space="preserve"> class manages the persistence of forecast records.</w:t>
      </w:r>
    </w:p>
    <w:p w14:paraId="3B3555CE" w14:textId="77777777" w:rsidR="00031292" w:rsidRDefault="00000000">
      <w:pPr>
        <w:spacing w:after="60"/>
        <w:ind w:left="432"/>
      </w:pPr>
      <w:r>
        <w:rPr>
          <w:b/>
        </w:rPr>
        <w:t>Storage</w:t>
      </w:r>
      <w:r>
        <w:t xml:space="preserve">: Records are appended as JSON lines to the file </w:t>
      </w:r>
      <w:r>
        <w:rPr>
          <w:rFonts w:ascii="Consolas" w:hAnsi="Consolas"/>
          <w:sz w:val="19"/>
        </w:rPr>
        <w:t>data/counterfactual_log.jsonl</w:t>
      </w:r>
      <w:r>
        <w:t>.</w:t>
      </w:r>
    </w:p>
    <w:p w14:paraId="082989DE" w14:textId="77777777" w:rsidR="00031292" w:rsidRDefault="00000000">
      <w:pPr>
        <w:spacing w:after="60"/>
        <w:ind w:left="432"/>
      </w:pPr>
      <w:r>
        <w:rPr>
          <w:b/>
        </w:rPr>
        <w:t>Duplicate Prevention</w:t>
      </w:r>
      <w:r>
        <w:t>: Streamlit runs in a stateless, reactive loop; reloading the page or switching tabs re-runs the entire prediction script. To prevent writing duplicate records for the same day, the logger checks the existing log lines. If a record matches the same asset, forecast date, and forecast horizon steps, the logger overwrites the existing entry in-place instead of appending a new line.</w:t>
      </w:r>
    </w:p>
    <w:p w14:paraId="3C9ACECF" w14:textId="77777777" w:rsidR="00031292" w:rsidRDefault="00000000">
      <w:pPr>
        <w:spacing w:after="80"/>
      </w:pPr>
      <w:r>
        <w:t>A logged record contains the following schema:</w:t>
      </w:r>
    </w:p>
    <w:p w14:paraId="19FCA7C7" w14:textId="77777777" w:rsidR="00031292" w:rsidRDefault="00000000">
      <w:pPr>
        <w:spacing w:after="60"/>
        <w:ind w:left="432"/>
      </w:pPr>
      <w:r>
        <w:rPr>
          <w:rFonts w:ascii="Consolas" w:hAnsi="Consolas"/>
          <w:sz w:val="19"/>
        </w:rPr>
        <w:t>logged_at</w:t>
      </w:r>
      <w:r>
        <w:t>: UTC timestamp.</w:t>
      </w:r>
    </w:p>
    <w:p w14:paraId="0CBD4933" w14:textId="77777777" w:rsidR="00031292" w:rsidRDefault="00000000">
      <w:pPr>
        <w:spacing w:after="60"/>
        <w:ind w:left="432"/>
      </w:pPr>
      <w:r>
        <w:rPr>
          <w:rFonts w:ascii="Consolas" w:hAnsi="Consolas"/>
          <w:sz w:val="19"/>
        </w:rPr>
        <w:t>forecast_date</w:t>
      </w:r>
      <w:r>
        <w:t>: The date index (YYYY-MM-DD) when the forecast was executed.</w:t>
      </w:r>
    </w:p>
    <w:p w14:paraId="54ADDD14" w14:textId="77777777" w:rsidR="00031292" w:rsidRDefault="00000000">
      <w:pPr>
        <w:spacing w:after="60"/>
        <w:ind w:left="432"/>
      </w:pPr>
      <w:r>
        <w:rPr>
          <w:rFonts w:ascii="Consolas" w:hAnsi="Consolas"/>
          <w:sz w:val="19"/>
        </w:rPr>
        <w:t>asset</w:t>
      </w:r>
      <w:r>
        <w:t>: The target asset key.</w:t>
      </w:r>
    </w:p>
    <w:p w14:paraId="2D0720E8" w14:textId="77777777" w:rsidR="00031292" w:rsidRDefault="00000000">
      <w:pPr>
        <w:spacing w:after="60"/>
        <w:ind w:left="432"/>
      </w:pPr>
      <w:r>
        <w:rPr>
          <w:rFonts w:ascii="Consolas" w:hAnsi="Consolas"/>
          <w:sz w:val="19"/>
        </w:rPr>
        <w:t>steps</w:t>
      </w:r>
      <w:r>
        <w:t>: The forecast horizon (e.g., 7 days).</w:t>
      </w:r>
    </w:p>
    <w:p w14:paraId="0586398E" w14:textId="77777777" w:rsidR="00031292" w:rsidRDefault="00000000">
      <w:pPr>
        <w:spacing w:after="60"/>
        <w:ind w:left="432"/>
      </w:pPr>
      <w:r>
        <w:rPr>
          <w:rFonts w:ascii="Consolas" w:hAnsi="Consolas"/>
          <w:sz w:val="19"/>
        </w:rPr>
        <w:t>baseline_final</w:t>
      </w:r>
      <w:r>
        <w:t>: The predicted price at the horizon endpoint without LLM bias.</w:t>
      </w:r>
    </w:p>
    <w:p w14:paraId="095AA4D3" w14:textId="77777777" w:rsidR="00031292" w:rsidRDefault="00000000">
      <w:pPr>
        <w:spacing w:after="60"/>
        <w:ind w:left="432"/>
      </w:pPr>
      <w:r>
        <w:rPr>
          <w:rFonts w:ascii="Consolas" w:hAnsi="Consolas"/>
          <w:sz w:val="19"/>
        </w:rPr>
        <w:t>contextual_final</w:t>
      </w:r>
      <w:r>
        <w:t>: The predicted price at the horizon endpoint with LLM bias.</w:t>
      </w:r>
    </w:p>
    <w:p w14:paraId="7571FAE1" w14:textId="77777777" w:rsidR="00031292" w:rsidRDefault="00000000">
      <w:pPr>
        <w:spacing w:after="60"/>
        <w:ind w:left="432"/>
      </w:pPr>
      <w:r>
        <w:rPr>
          <w:rFonts w:ascii="Consolas" w:hAnsi="Consolas"/>
          <w:sz w:val="19"/>
        </w:rPr>
        <w:t>baseline_series</w:t>
      </w:r>
      <w:r>
        <w:t>: The daily 90-day baseline price trajectory.</w:t>
      </w:r>
    </w:p>
    <w:p w14:paraId="30B28DD7" w14:textId="77777777" w:rsidR="00031292" w:rsidRDefault="00000000">
      <w:pPr>
        <w:spacing w:after="60"/>
        <w:ind w:left="432"/>
      </w:pPr>
      <w:r>
        <w:rPr>
          <w:rFonts w:ascii="Consolas" w:hAnsi="Consolas"/>
          <w:sz w:val="19"/>
        </w:rPr>
        <w:t>contextual_series</w:t>
      </w:r>
      <w:r>
        <w:t>: The daily 90-day contextual price trajectory.</w:t>
      </w:r>
    </w:p>
    <w:p w14:paraId="4CF82D92" w14:textId="77777777" w:rsidR="00031292" w:rsidRDefault="00000000">
      <w:pPr>
        <w:spacing w:after="60"/>
        <w:ind w:left="432"/>
      </w:pPr>
      <w:r>
        <w:rPr>
          <w:rFonts w:ascii="Consolas" w:hAnsi="Consolas"/>
          <w:sz w:val="19"/>
        </w:rPr>
        <w:lastRenderedPageBreak/>
        <w:t>llm_scores</w:t>
      </w:r>
      <w:r>
        <w:t>: The raw score vector returned by the Gemini API.</w:t>
      </w:r>
    </w:p>
    <w:p w14:paraId="67F92A48" w14:textId="77777777" w:rsidR="00031292" w:rsidRDefault="00000000">
      <w:pPr>
        <w:spacing w:after="60"/>
        <w:ind w:left="432"/>
      </w:pPr>
      <w:r>
        <w:rPr>
          <w:rFonts w:ascii="Consolas" w:hAnsi="Consolas"/>
          <w:sz w:val="19"/>
        </w:rPr>
        <w:t>actual_price</w:t>
      </w:r>
      <w:r>
        <w:t>: Placeholder for the realized close price (resolved later).</w:t>
      </w:r>
    </w:p>
    <w:p w14:paraId="5CD7E9BE" w14:textId="77777777" w:rsidR="00031292" w:rsidRDefault="00000000">
      <w:pPr>
        <w:spacing w:after="60"/>
        <w:ind w:left="432"/>
      </w:pPr>
      <w:r>
        <w:rPr>
          <w:rFonts w:ascii="Consolas" w:hAnsi="Consolas"/>
          <w:sz w:val="19"/>
        </w:rPr>
        <w:t>baseline_hit</w:t>
      </w:r>
      <w:r>
        <w:t>: Placeholder for directional accuracy (resolved later).</w:t>
      </w:r>
    </w:p>
    <w:p w14:paraId="622EF2D7" w14:textId="77777777" w:rsidR="00031292" w:rsidRDefault="00000000">
      <w:pPr>
        <w:spacing w:after="60"/>
        <w:ind w:left="432"/>
      </w:pPr>
      <w:r>
        <w:rPr>
          <w:rFonts w:ascii="Consolas" w:hAnsi="Consolas"/>
          <w:sz w:val="19"/>
        </w:rPr>
        <w:t>contextual_hit</w:t>
      </w:r>
      <w:r>
        <w:t>: Placeholder for directional accuracy (resolved later).</w:t>
      </w:r>
    </w:p>
    <w:p w14:paraId="3E27139F" w14:textId="77777777" w:rsidR="00031292" w:rsidRDefault="00000000">
      <w:pPr>
        <w:spacing w:before="320"/>
      </w:pPr>
      <w:r>
        <w:rPr>
          <w:b/>
          <w:color w:val="2C5282"/>
          <w:sz w:val="26"/>
        </w:rPr>
        <w:t>3. AUTOMATIC OUTCOME RESOLUTION</w:t>
      </w:r>
    </w:p>
    <w:p w14:paraId="7C289BB7" w14:textId="77777777" w:rsidR="00031292" w:rsidRDefault="00000000">
      <w:pPr>
        <w:spacing w:after="80"/>
      </w:pPr>
      <w:r>
        <w:t xml:space="preserve">During the daily data synchronization process, the system automatically executes </w:t>
      </w:r>
      <w:r>
        <w:rPr>
          <w:rFonts w:ascii="Consolas" w:hAnsi="Consolas"/>
          <w:sz w:val="19"/>
        </w:rPr>
        <w:t>auto_resolve_all_outcomes()</w:t>
      </w:r>
      <w:r>
        <w:t>.</w:t>
      </w:r>
    </w:p>
    <w:p w14:paraId="3CEABD55" w14:textId="77777777" w:rsidR="00031292" w:rsidRDefault="00000000">
      <w:pPr>
        <w:spacing w:after="60"/>
        <w:ind w:left="432"/>
      </w:pPr>
      <w:r>
        <w:t xml:space="preserve">The function scans the log file to identify any unresolved records (where </w:t>
      </w:r>
      <w:r>
        <w:rPr>
          <w:rFonts w:ascii="Consolas" w:hAnsi="Consolas"/>
          <w:sz w:val="19"/>
        </w:rPr>
        <w:t>actual_price</w:t>
      </w:r>
      <w:r>
        <w:t xml:space="preserve"> is </w:t>
      </w:r>
      <w:r>
        <w:rPr>
          <w:rFonts w:ascii="Consolas" w:hAnsi="Consolas"/>
          <w:sz w:val="19"/>
        </w:rPr>
        <w:t>null</w:t>
      </w:r>
      <w:r>
        <w:t>).</w:t>
      </w:r>
    </w:p>
    <w:p w14:paraId="146E377B" w14:textId="77777777" w:rsidR="00031292" w:rsidRDefault="00000000">
      <w:pPr>
        <w:spacing w:after="60"/>
        <w:ind w:left="432"/>
      </w:pPr>
      <w:r>
        <w:t>It calculates the target date:</w:t>
      </w:r>
    </w:p>
    <w:p w14:paraId="635315BD" w14:textId="77777777" w:rsidR="00031292" w:rsidRDefault="00000000">
      <w:pPr>
        <w:spacing w:before="200" w:after="200"/>
        <w:jc w:val="center"/>
      </w:pPr>
      <m:oMathPara>
        <m:oMath>
          <m:r>
            <m:rPr>
              <m:nor/>
            </m:rPr>
            <w:rPr>
              <w:rFonts w:ascii="Cambria Math" w:eastAsia="Cambria Math" w:hAnsi="Cambria Math" w:cs="Cambria Math"/>
            </w:rPr>
            <m:t>Target Date</m:t>
          </m:r>
          <m:r>
            <w:rPr>
              <w:rFonts w:ascii="Cambria Math" w:eastAsia="Cambria Math" w:hAnsi="Cambria Math" w:cs="Cambria Math"/>
            </w:rPr>
            <m:t>=</m:t>
          </m:r>
          <m:r>
            <m:rPr>
              <m:nor/>
            </m:rPr>
            <w:rPr>
              <w:rFonts w:ascii="Cambria Math" w:eastAsia="Cambria Math" w:hAnsi="Cambria Math" w:cs="Cambria Math"/>
            </w:rPr>
            <m:t>Forecast Date</m:t>
          </m:r>
          <m:r>
            <w:rPr>
              <w:rFonts w:ascii="Cambria Math" w:eastAsia="Cambria Math" w:hAnsi="Cambria Math" w:cs="Cambria Math"/>
            </w:rPr>
            <m:t>+</m:t>
          </m:r>
          <m:r>
            <m:rPr>
              <m:nor/>
            </m:rPr>
            <w:rPr>
              <w:rFonts w:ascii="Cambria Math" w:eastAsia="Cambria Math" w:hAnsi="Cambria Math" w:cs="Cambria Math"/>
            </w:rPr>
            <m:t>Steps</m:t>
          </m:r>
        </m:oMath>
      </m:oMathPara>
    </w:p>
    <w:p w14:paraId="0575EC60" w14:textId="77777777" w:rsidR="00031292" w:rsidRDefault="00000000">
      <w:pPr>
        <w:spacing w:after="60"/>
        <w:ind w:left="432"/>
      </w:pPr>
      <w:r>
        <w:t>It checks if the target date is present in the updated historical database. If the target date has occurred, the engine retrieves the realized close price from the database:</w:t>
      </w:r>
    </w:p>
    <w:p w14:paraId="17F9C3E4" w14:textId="77777777" w:rsidR="00031292" w:rsidRDefault="00000000">
      <w:pPr>
        <w:spacing w:before="200" w:after="200"/>
        <w:jc w:val="center"/>
      </w:pPr>
      <m:oMathPara>
        <m:oMath>
          <m:sSub>
            <m:sSubPr>
              <m:ctrlPr>
                <w:rPr>
                  <w:rFonts w:ascii="Cambria Math" w:hAnsi="Cambria Math"/>
                </w:rPr>
              </m:ctrlPr>
            </m:sSubPr>
            <m:e>
              <m:r>
                <w:rPr>
                  <w:rFonts w:ascii="Cambria Math" w:eastAsia="Cambria Math" w:hAnsi="Cambria Math" w:cs="Cambria Math"/>
                </w:rPr>
                <m:t>P</m:t>
              </m:r>
            </m:e>
            <m:sub>
              <m:r>
                <m:rPr>
                  <m:nor/>
                </m:rPr>
                <w:rPr>
                  <w:rFonts w:ascii="Cambria Math" w:eastAsia="Cambria Math" w:hAnsi="Cambria Math" w:cs="Cambria Math"/>
                </w:rPr>
                <m:t>actual</m:t>
              </m:r>
            </m:sub>
          </m:sSub>
          <m:r>
            <w:rPr>
              <w:rFonts w:ascii="Cambria Math" w:eastAsia="Cambria Math" w:hAnsi="Cambria Math" w:cs="Cambria Math"/>
            </w:rPr>
            <m:t>=</m:t>
          </m:r>
          <m:r>
            <m:rPr>
              <m:nor/>
            </m:rPr>
            <w:rPr>
              <w:rFonts w:ascii="Cambria Math" w:eastAsia="Cambria Math" w:hAnsi="Cambria Math" w:cs="Cambria Math"/>
            </w:rPr>
            <m:t>Close price at Target Date</m:t>
          </m:r>
        </m:oMath>
      </m:oMathPara>
    </w:p>
    <w:p w14:paraId="63DCD153" w14:textId="77777777" w:rsidR="00031292" w:rsidRDefault="00000000">
      <w:pPr>
        <w:spacing w:after="60"/>
        <w:ind w:left="432"/>
      </w:pPr>
      <w:r>
        <w:t>The starting price (</w:t>
      </w:r>
      <m:oMath>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0</m:t>
            </m:r>
          </m:sub>
        </m:sSub>
      </m:oMath>
      <w:r>
        <w:t>) is extracted from the first element of the logged baseline series. The directional changes are evaluated:</w:t>
      </w:r>
    </w:p>
    <w:p w14:paraId="295752A4" w14:textId="77777777" w:rsidR="00031292" w:rsidRDefault="00000000">
      <w:pPr>
        <w:spacing w:before="200" w:after="200"/>
        <w:jc w:val="center"/>
      </w:pPr>
      <m:oMathPara>
        <m:oMath>
          <m:r>
            <m:rPr>
              <m:nor/>
            </m:rPr>
            <w:rPr>
              <w:rFonts w:ascii="Cambria Math" w:eastAsia="Cambria Math" w:hAnsi="Cambria Math" w:cs="Cambria Math"/>
            </w:rPr>
            <m:t>Actual Direction</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P</m:t>
              </m:r>
            </m:e>
            <m:sub>
              <m:r>
                <m:rPr>
                  <m:nor/>
                </m:rPr>
                <w:rPr>
                  <w:rFonts w:ascii="Cambria Math" w:eastAsia="Cambria Math" w:hAnsi="Cambria Math" w:cs="Cambria Math"/>
                </w:rPr>
                <m:t>actual</m:t>
              </m:r>
            </m:sub>
          </m:sSub>
          <m:r>
            <w:rPr>
              <w:rFonts w:ascii="Cambria Math" w:eastAsia="Cambria Math" w:hAnsi="Cambria Math" w:cs="Cambria Math"/>
            </w:rPr>
            <m:t>&gt;</m:t>
          </m:r>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0</m:t>
              </m:r>
            </m:sub>
          </m:sSub>
        </m:oMath>
      </m:oMathPara>
    </w:p>
    <w:p w14:paraId="160A303A" w14:textId="77777777" w:rsidR="00031292" w:rsidRDefault="00000000">
      <w:pPr>
        <w:spacing w:before="200" w:after="200"/>
        <w:jc w:val="center"/>
      </w:pPr>
      <m:oMathPara>
        <m:oMath>
          <m:r>
            <m:rPr>
              <m:nor/>
            </m:rPr>
            <w:rPr>
              <w:rFonts w:ascii="Cambria Math" w:eastAsia="Cambria Math" w:hAnsi="Cambria Math" w:cs="Cambria Math"/>
            </w:rPr>
            <m:t>Baseline Direction</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P</m:t>
              </m:r>
            </m:e>
            <m:sub>
              <m:r>
                <m:rPr>
                  <m:nor/>
                </m:rPr>
                <w:rPr>
                  <w:rFonts w:ascii="Cambria Math" w:eastAsia="Cambria Math" w:hAnsi="Cambria Math" w:cs="Cambria Math"/>
                </w:rPr>
                <m:t>baseline final</m:t>
              </m:r>
            </m:sub>
          </m:sSub>
          <m:r>
            <w:rPr>
              <w:rFonts w:ascii="Cambria Math" w:eastAsia="Cambria Math" w:hAnsi="Cambria Math" w:cs="Cambria Math"/>
            </w:rPr>
            <m:t>&gt;</m:t>
          </m:r>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0</m:t>
              </m:r>
            </m:sub>
          </m:sSub>
        </m:oMath>
      </m:oMathPara>
    </w:p>
    <w:p w14:paraId="1FE8E1F6" w14:textId="77777777" w:rsidR="00031292" w:rsidRDefault="00000000">
      <w:pPr>
        <w:spacing w:before="200" w:after="200"/>
        <w:jc w:val="center"/>
      </w:pPr>
      <m:oMathPara>
        <m:oMath>
          <m:r>
            <m:rPr>
              <m:nor/>
            </m:rPr>
            <w:rPr>
              <w:rFonts w:ascii="Cambria Math" w:eastAsia="Cambria Math" w:hAnsi="Cambria Math" w:cs="Cambria Math"/>
            </w:rPr>
            <m:t>Contextual Direction</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P</m:t>
              </m:r>
            </m:e>
            <m:sub>
              <m:r>
                <m:rPr>
                  <m:nor/>
                </m:rPr>
                <w:rPr>
                  <w:rFonts w:ascii="Cambria Math" w:eastAsia="Cambria Math" w:hAnsi="Cambria Math" w:cs="Cambria Math"/>
                </w:rPr>
                <m:t>contextual final</m:t>
              </m:r>
            </m:sub>
          </m:sSub>
          <m:r>
            <w:rPr>
              <w:rFonts w:ascii="Cambria Math" w:eastAsia="Cambria Math" w:hAnsi="Cambria Math" w:cs="Cambria Math"/>
            </w:rPr>
            <m:t>&gt;</m:t>
          </m:r>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0</m:t>
              </m:r>
            </m:sub>
          </m:sSub>
        </m:oMath>
      </m:oMathPara>
    </w:p>
    <w:p w14:paraId="44315962" w14:textId="77777777" w:rsidR="00031292" w:rsidRDefault="00000000">
      <w:pPr>
        <w:spacing w:after="60"/>
        <w:ind w:left="432"/>
      </w:pPr>
      <w:r>
        <w:t>The hit results are resolved:</w:t>
      </w:r>
    </w:p>
    <w:p w14:paraId="343ED53A" w14:textId="77777777" w:rsidR="00031292" w:rsidRDefault="00000000">
      <w:pPr>
        <w:spacing w:before="200" w:after="200"/>
        <w:jc w:val="center"/>
      </w:pPr>
      <m:oMathPara>
        <m:oMath>
          <m:r>
            <m:rPr>
              <m:nor/>
            </m:rPr>
            <w:rPr>
              <w:rFonts w:ascii="Cambria Math" w:eastAsia="Cambria Math" w:hAnsi="Cambria Math" w:cs="Cambria Math"/>
            </w:rPr>
            <m:t>Baseline Hit</m:t>
          </m:r>
          <m:r>
            <w:rPr>
              <w:rFonts w:ascii="Cambria Math" w:eastAsia="Cambria Math" w:hAnsi="Cambria Math" w:cs="Cambria Math"/>
            </w:rPr>
            <m:t>=(</m:t>
          </m:r>
          <m:r>
            <m:rPr>
              <m:nor/>
            </m:rPr>
            <w:rPr>
              <w:rFonts w:ascii="Cambria Math" w:eastAsia="Cambria Math" w:hAnsi="Cambria Math" w:cs="Cambria Math"/>
            </w:rPr>
            <m:t>Baseline Direction</m:t>
          </m:r>
          <m:r>
            <w:rPr>
              <w:rFonts w:ascii="Cambria Math" w:eastAsia="Cambria Math" w:hAnsi="Cambria Math" w:cs="Cambria Math"/>
            </w:rPr>
            <m:t>==</m:t>
          </m:r>
          <m:r>
            <m:rPr>
              <m:nor/>
            </m:rPr>
            <w:rPr>
              <w:rFonts w:ascii="Cambria Math" w:eastAsia="Cambria Math" w:hAnsi="Cambria Math" w:cs="Cambria Math"/>
            </w:rPr>
            <m:t>Actual Direction</m:t>
          </m:r>
          <m:r>
            <w:rPr>
              <w:rFonts w:ascii="Cambria Math" w:eastAsia="Cambria Math" w:hAnsi="Cambria Math" w:cs="Cambria Math"/>
            </w:rPr>
            <m:t>)</m:t>
          </m:r>
        </m:oMath>
      </m:oMathPara>
    </w:p>
    <w:p w14:paraId="6986D6A1" w14:textId="77777777" w:rsidR="00031292" w:rsidRDefault="00000000">
      <w:pPr>
        <w:spacing w:before="200" w:after="200"/>
        <w:jc w:val="center"/>
      </w:pPr>
      <m:oMathPara>
        <m:oMath>
          <m:r>
            <m:rPr>
              <m:nor/>
            </m:rPr>
            <w:rPr>
              <w:rFonts w:ascii="Cambria Math" w:eastAsia="Cambria Math" w:hAnsi="Cambria Math" w:cs="Cambria Math"/>
            </w:rPr>
            <m:t>Contextual Hit</m:t>
          </m:r>
          <m:r>
            <w:rPr>
              <w:rFonts w:ascii="Cambria Math" w:eastAsia="Cambria Math" w:hAnsi="Cambria Math" w:cs="Cambria Math"/>
            </w:rPr>
            <m:t>=(</m:t>
          </m:r>
          <m:r>
            <m:rPr>
              <m:nor/>
            </m:rPr>
            <w:rPr>
              <w:rFonts w:ascii="Cambria Math" w:eastAsia="Cambria Math" w:hAnsi="Cambria Math" w:cs="Cambria Math"/>
            </w:rPr>
            <m:t>Contextual Direction</m:t>
          </m:r>
          <m:r>
            <w:rPr>
              <w:rFonts w:ascii="Cambria Math" w:eastAsia="Cambria Math" w:hAnsi="Cambria Math" w:cs="Cambria Math"/>
            </w:rPr>
            <m:t>==</m:t>
          </m:r>
          <m:r>
            <m:rPr>
              <m:nor/>
            </m:rPr>
            <w:rPr>
              <w:rFonts w:ascii="Cambria Math" w:eastAsia="Cambria Math" w:hAnsi="Cambria Math" w:cs="Cambria Math"/>
            </w:rPr>
            <m:t>Actual Direction</m:t>
          </m:r>
          <m:r>
            <w:rPr>
              <w:rFonts w:ascii="Cambria Math" w:eastAsia="Cambria Math" w:hAnsi="Cambria Math" w:cs="Cambria Math"/>
            </w:rPr>
            <m:t>)</m:t>
          </m:r>
        </m:oMath>
      </m:oMathPara>
    </w:p>
    <w:p w14:paraId="74E4C00B" w14:textId="77777777" w:rsidR="00031292" w:rsidRDefault="00000000">
      <w:pPr>
        <w:spacing w:after="80"/>
      </w:pPr>
      <w:r>
        <w:t xml:space="preserve">The record is updated, and the results are written back to </w:t>
      </w:r>
      <w:r>
        <w:rPr>
          <w:rFonts w:ascii="Consolas" w:hAnsi="Consolas"/>
          <w:sz w:val="19"/>
        </w:rPr>
        <w:t>counterfactual_log.jsonl</w:t>
      </w:r>
      <w:r>
        <w:t>.</w:t>
      </w:r>
    </w:p>
    <w:p w14:paraId="06A852DF" w14:textId="77777777" w:rsidR="00031292" w:rsidRDefault="00000000">
      <w:pPr>
        <w:spacing w:after="80"/>
      </w:pPr>
      <w:r>
        <w:t xml:space="preserve">Once resolved records accumulate, the dashboard displays the comparative </w:t>
      </w:r>
      <w:r>
        <w:rPr>
          <w:b/>
        </w:rPr>
        <w:t>Hit Ratio</w:t>
      </w:r>
      <w:r>
        <w:t>:</w:t>
      </w:r>
    </w:p>
    <w:p w14:paraId="027FE5A5" w14:textId="77777777" w:rsidR="00031292" w:rsidRDefault="00000000">
      <w:pPr>
        <w:spacing w:before="200" w:after="200"/>
        <w:jc w:val="center"/>
      </w:pPr>
      <m:oMathPara>
        <m:oMath>
          <m:r>
            <m:rPr>
              <m:nor/>
            </m:rPr>
            <w:rPr>
              <w:rFonts w:ascii="Cambria Math" w:eastAsia="Cambria Math" w:hAnsi="Cambria Math" w:cs="Cambria Math"/>
            </w:rPr>
            <m:t>Hit Ratio</m:t>
          </m:r>
          <m:r>
            <w:rPr>
              <w:rFonts w:ascii="Cambria Math" w:eastAsia="Cambria Math" w:hAnsi="Cambria Math" w:cs="Cambria Math"/>
            </w:rPr>
            <m:t>=</m:t>
          </m:r>
          <m:f>
            <m:fPr>
              <m:ctrlPr>
                <w:rPr>
                  <w:rFonts w:ascii="Cambria Math" w:hAnsi="Cambria Math"/>
                </w:rPr>
              </m:ctrlPr>
            </m:fPr>
            <m:num>
              <m:r>
                <m:rPr>
                  <m:nor/>
                </m:rPr>
                <w:rPr>
                  <w:rFonts w:ascii="Cambria Math" w:eastAsia="Cambria Math" w:hAnsi="Cambria Math" w:cs="Cambria Math"/>
                </w:rPr>
                <m:t>Hits</m:t>
              </m:r>
            </m:num>
            <m:den>
              <m:r>
                <m:rPr>
                  <m:nor/>
                </m:rPr>
                <w:rPr>
                  <w:rFonts w:ascii="Cambria Math" w:eastAsia="Cambria Math" w:hAnsi="Cambria Math" w:cs="Cambria Math"/>
                </w:rPr>
                <m:t>Total Resolved</m:t>
              </m:r>
            </m:den>
          </m:f>
          <m:r>
            <w:rPr>
              <w:rFonts w:ascii="Cambria Math" w:eastAsia="Cambria Math" w:hAnsi="Cambria Math" w:cs="Cambria Math"/>
            </w:rPr>
            <m:t>×100</m:t>
          </m:r>
        </m:oMath>
      </m:oMathPara>
    </w:p>
    <w:p w14:paraId="7F9999FE" w14:textId="77777777" w:rsidR="00031292" w:rsidRDefault="00000000">
      <w:pPr>
        <w:spacing w:after="80"/>
      </w:pPr>
      <w:r>
        <w:t xml:space="preserve">The delta (Contextual Hit Ratio minus Baseline Hit Ratio) confirms the value-add of the </w:t>
      </w:r>
      <w:r>
        <w:rPr>
          <w:b/>
        </w:rPr>
        <w:t>CEO Layer</w:t>
      </w:r>
      <w:r>
        <w:t>.</w:t>
      </w:r>
    </w:p>
    <w:p w14:paraId="42B5A82D" w14:textId="77777777" w:rsidR="00031292" w:rsidRDefault="00000000">
      <w:pPr>
        <w:spacing w:before="320"/>
      </w:pPr>
      <w:r>
        <w:rPr>
          <w:b/>
          <w:color w:val="2C5282"/>
          <w:sz w:val="26"/>
        </w:rPr>
        <w:t>4. WALK-FORWARD BACKTEST ENGINE FRAMEWORK</w:t>
      </w:r>
    </w:p>
    <w:p w14:paraId="4E019D57" w14:textId="77777777" w:rsidR="00031292" w:rsidRDefault="00000000">
      <w:pPr>
        <w:spacing w:after="80"/>
      </w:pPr>
      <w:r>
        <w:lastRenderedPageBreak/>
        <w:t xml:space="preserve">Prior to production deployment, models are evaluated using a historical backtest framework in </w:t>
      </w:r>
      <w:r>
        <w:rPr>
          <w:rFonts w:ascii="Consolas" w:hAnsi="Consolas"/>
          <w:sz w:val="19"/>
        </w:rPr>
        <w:t>scripts/backtest_engine.py</w:t>
      </w:r>
      <w:r>
        <w:t>.</w:t>
      </w:r>
    </w:p>
    <w:p w14:paraId="2EFDE806" w14:textId="77777777" w:rsidR="00031292" w:rsidRDefault="00000000">
      <w:pPr>
        <w:spacing w:after="60"/>
        <w:ind w:left="432"/>
      </w:pPr>
      <w:r>
        <w:rPr>
          <w:b/>
        </w:rPr>
        <w:t>Chronological Split</w:t>
      </w:r>
      <w:r>
        <w:t>: Traditional cross-validation randomizes samples, which introduces look-ahead leakage in time series. The backtest engine enforces a chronological 80/20 train/test split. The model is trained on the first 80% of the historical timeline and evaluated on the final 20% of unseen data.</w:t>
      </w:r>
    </w:p>
    <w:p w14:paraId="5DBB0AB7" w14:textId="77777777" w:rsidR="00031292" w:rsidRDefault="00000000">
      <w:pPr>
        <w:spacing w:after="60"/>
        <w:ind w:left="432"/>
      </w:pPr>
      <w:r>
        <w:rPr>
          <w:b/>
        </w:rPr>
        <w:t>Performance Metrics</w:t>
      </w:r>
      <w:r>
        <w:t xml:space="preserve">: The engine calculates the directional accuracy (Hit Ratio) and </w:t>
      </w:r>
      <w:r>
        <w:rPr>
          <w:b/>
        </w:rPr>
        <w:t>Root Mean Squared Error (RMSE)</w:t>
      </w:r>
      <w:r>
        <w:t xml:space="preserve"> in percent change space:</w:t>
      </w:r>
    </w:p>
    <w:p w14:paraId="6B96F4D5" w14:textId="77777777" w:rsidR="00031292" w:rsidRDefault="00000000">
      <w:pPr>
        <w:spacing w:before="200" w:after="200"/>
        <w:jc w:val="center"/>
      </w:pPr>
      <m:oMathPara>
        <m:oMath>
          <m:r>
            <m:rPr>
              <m:nor/>
            </m:rPr>
            <w:rPr>
              <w:rFonts w:ascii="Cambria Math" w:eastAsia="Cambria Math" w:hAnsi="Cambria Math" w:cs="Cambria Math"/>
            </w:rPr>
            <m:t>RMSE</m:t>
          </m:r>
          <m:r>
            <w:rPr>
              <w:rFonts w:ascii="Cambria Math" w:eastAsia="Cambria Math" w:hAnsi="Cambria Math" w:cs="Cambria Math"/>
            </w:rPr>
            <m:t>=</m:t>
          </m:r>
          <m:rad>
            <m:radPr>
              <m:degHide m:val="1"/>
              <m:ctrlPr>
                <w:rPr>
                  <w:rFonts w:ascii="Cambria Math" w:hAnsi="Cambria Math"/>
                </w:rPr>
              </m:ctrlPr>
            </m:radPr>
            <m:deg/>
            <m:e>
              <m:r>
                <m:rPr>
                  <m:nor/>
                </m:rPr>
                <w:rPr>
                  <w:rFonts w:ascii="Cambria Math" w:eastAsia="Cambria Math" w:hAnsi="Cambria Math" w:cs="Cambria Math"/>
                </w:rPr>
                <m:t>Mean</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m:rPr>
                      <m:nor/>
                    </m:rPr>
                    <w:rPr>
                      <w:rFonts w:ascii="Cambria Math" w:eastAsia="Cambria Math" w:hAnsi="Cambria Math" w:cs="Cambria Math"/>
                    </w:rPr>
                    <m:t>realized</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m:rPr>
                      <m:nor/>
                    </m:rPr>
                    <w:rPr>
                      <w:rFonts w:ascii="Cambria Math" w:eastAsia="Cambria Math" w:hAnsi="Cambria Math" w:cs="Cambria Math"/>
                    </w:rPr>
                    <m:t>predicted</m:t>
                  </m:r>
                </m:sub>
              </m:sSub>
              <m:sSup>
                <m:sSupPr>
                  <m:ctrlPr>
                    <w:rPr>
                      <w:rFonts w:ascii="Cambria Math" w:hAnsi="Cambria Math"/>
                    </w:rPr>
                  </m:ctrlPr>
                </m:sSupPr>
                <m:e>
                  <m:r>
                    <w:rPr>
                      <w:rFonts w:ascii="Cambria Math" w:eastAsia="Cambria Math" w:hAnsi="Cambria Math" w:cs="Cambria Math"/>
                    </w:rPr>
                    <m:t>)</m:t>
                  </m:r>
                </m:e>
                <m:sup>
                  <m:r>
                    <w:rPr>
                      <w:rFonts w:ascii="Cambria Math" w:eastAsia="Cambria Math" w:hAnsi="Cambria Math" w:cs="Cambria Math"/>
                    </w:rPr>
                    <m:t>2</m:t>
                  </m:r>
                </m:sup>
              </m:sSup>
              <m:r>
                <w:rPr>
                  <w:rFonts w:ascii="Cambria Math" w:eastAsia="Cambria Math" w:hAnsi="Cambria Math" w:cs="Cambria Math"/>
                </w:rPr>
                <m:t>)</m:t>
              </m:r>
            </m:e>
          </m:rad>
        </m:oMath>
      </m:oMathPara>
    </w:p>
    <w:p w14:paraId="193B6DDE" w14:textId="77777777" w:rsidR="00031292" w:rsidRDefault="00000000">
      <w:pPr>
        <w:spacing w:after="60"/>
        <w:ind w:left="432"/>
      </w:pPr>
      <w:r>
        <w:rPr>
          <w:b/>
        </w:rPr>
        <w:t>Stacker vs Base Performance</w:t>
      </w:r>
      <w:r>
        <w:t xml:space="preserve">: The backtest engine evaluates the LSTM, XGBoost, and the Stacker Ensemble separately, saving the comparative metrics to </w:t>
      </w:r>
      <w:r>
        <w:rPr>
          <w:rFonts w:ascii="Consolas" w:hAnsi="Consolas"/>
          <w:sz w:val="19"/>
        </w:rPr>
        <w:t>reports/stacker_{asset}_backtest.json</w:t>
      </w:r>
      <w:r>
        <w:t>.</w:t>
      </w:r>
    </w:p>
    <w:p w14:paraId="17F29313" w14:textId="77777777" w:rsidR="00031292" w:rsidRDefault="00000000">
      <w:r>
        <w:br w:type="page"/>
      </w:r>
    </w:p>
    <w:p w14:paraId="500106EF" w14:textId="77777777" w:rsidR="00031292" w:rsidRDefault="00000000">
      <w:pPr>
        <w:spacing w:before="400" w:after="240"/>
      </w:pPr>
      <w:r>
        <w:rPr>
          <w:b/>
          <w:color w:val="4A5568"/>
          <w:sz w:val="20"/>
        </w:rPr>
        <w:lastRenderedPageBreak/>
        <w:t>──────  PART 10 – ALTERNATIVE DATA INGESTION PIPELINES &amp; API BINDINGS  ──────</w:t>
      </w:r>
    </w:p>
    <w:p w14:paraId="5273E028" w14:textId="77777777" w:rsidR="00031292" w:rsidRDefault="00000000">
      <w:pPr>
        <w:spacing w:before="440"/>
      </w:pPr>
      <w:r>
        <w:rPr>
          <w:b/>
          <w:color w:val="1A365D"/>
          <w:sz w:val="32"/>
        </w:rPr>
        <w:t>MARKET INTELLIGENCE SYSTEM: COMPREHENSIVE ARCHITECTURE &amp; RESEARCH WHITEPAPER</w:t>
      </w:r>
    </w:p>
    <w:p w14:paraId="426B367F" w14:textId="77777777" w:rsidR="00031292" w:rsidRDefault="00000000">
      <w:pPr>
        <w:spacing w:before="320"/>
      </w:pPr>
      <w:r>
        <w:rPr>
          <w:b/>
          <w:color w:val="2C5282"/>
          <w:sz w:val="26"/>
        </w:rPr>
        <w:t>PART 10: ALTERNATIVE DATA INGESTION PIPELINES &amp; API BINDINGS</w:t>
      </w:r>
    </w:p>
    <w:p w14:paraId="2616896B" w14:textId="77777777" w:rsidR="00031292" w:rsidRDefault="00000000">
      <w:pPr>
        <w:spacing w:before="320"/>
      </w:pPr>
      <w:r>
        <w:rPr>
          <w:b/>
          <w:color w:val="2C5282"/>
          <w:sz w:val="26"/>
        </w:rPr>
        <w:t>1. OVERVIEW OF ALTERNATIVE DATA INGESTION</w:t>
      </w:r>
    </w:p>
    <w:p w14:paraId="49A29B32" w14:textId="77777777" w:rsidR="00031292" w:rsidRDefault="00000000">
      <w:pPr>
        <w:spacing w:after="80"/>
      </w:pPr>
      <w:r>
        <w:t xml:space="preserve">Quantitative models that rely only on price action and macroeconomic numbers are blind to retail sentiment spikes, options hedging activity, and changing policy expectations. The </w:t>
      </w:r>
      <w:r>
        <w:rPr>
          <w:b/>
        </w:rPr>
        <w:t>Market Intelligence Terminal</w:t>
      </w:r>
      <w:r>
        <w:t xml:space="preserve"> implements four alternative data pipelines that fetch, clean, and normalize non-traditional sentiment and policy indicators. These indicators are ingested daily and stored directly in the </w:t>
      </w:r>
      <w:r>
        <w:rPr>
          <w:rFonts w:ascii="Consolas" w:hAnsi="Consolas"/>
          <w:sz w:val="19"/>
        </w:rPr>
        <w:t>DuckDB</w:t>
      </w:r>
      <w:r>
        <w:t xml:space="preserve"> database to serve as features for the </w:t>
      </w:r>
      <w:r>
        <w:rPr>
          <w:rFonts w:ascii="Consolas" w:hAnsi="Consolas"/>
          <w:sz w:val="19"/>
        </w:rPr>
        <w:t>XGBoost</w:t>
      </w:r>
      <w:r>
        <w:t xml:space="preserve"> and </w:t>
      </w:r>
      <w:r>
        <w:rPr>
          <w:rFonts w:ascii="Consolas" w:hAnsi="Consolas"/>
          <w:sz w:val="19"/>
        </w:rPr>
        <w:t>meta-stacker</w:t>
      </w:r>
      <w:r>
        <w:t xml:space="preserve"> models.</w:t>
      </w:r>
    </w:p>
    <w:p w14:paraId="7E28B862" w14:textId="77777777" w:rsidR="00031292" w:rsidRDefault="00000000">
      <w:pPr>
        <w:spacing w:before="320"/>
      </w:pPr>
      <w:r>
        <w:rPr>
          <w:b/>
          <w:color w:val="2C5282"/>
          <w:sz w:val="26"/>
        </w:rPr>
        <w:t>2. SENTIMENT AND FEAR/GREED INDEX (ALTERNATIVE.ME BINDINGS)</w:t>
      </w:r>
    </w:p>
    <w:p w14:paraId="7B368507" w14:textId="77777777" w:rsidR="00031292" w:rsidRDefault="00000000">
      <w:pPr>
        <w:spacing w:after="80"/>
      </w:pPr>
      <w:r>
        <w:t xml:space="preserve">The system processes market emotion through the </w:t>
      </w:r>
      <w:r>
        <w:rPr>
          <w:b/>
        </w:rPr>
        <w:t>Crypto Fear &amp; Greed Index API</w:t>
      </w:r>
      <w:r>
        <w:t xml:space="preserve"> provided by </w:t>
      </w:r>
      <w:r>
        <w:rPr>
          <w:rFonts w:ascii="Consolas" w:hAnsi="Consolas"/>
          <w:sz w:val="19"/>
        </w:rPr>
        <w:t>Alternative.me</w:t>
      </w:r>
      <w:r>
        <w:t>.</w:t>
      </w:r>
    </w:p>
    <w:p w14:paraId="759A6071" w14:textId="77777777" w:rsidR="00031292" w:rsidRDefault="00000000">
      <w:pPr>
        <w:spacing w:after="60"/>
        <w:ind w:left="432"/>
      </w:pPr>
      <w:r>
        <w:rPr>
          <w:b/>
        </w:rPr>
        <w:t>Data Collection</w:t>
      </w:r>
      <w:r>
        <w:t xml:space="preserve">: The scheduler queries the endpoint daily, retrieving a raw sentiment value scaled from 0 (Extreme Fear) to 100 (Extreme Greed). The index is computed by </w:t>
      </w:r>
      <w:r>
        <w:rPr>
          <w:rFonts w:ascii="Consolas" w:hAnsi="Consolas"/>
          <w:sz w:val="19"/>
        </w:rPr>
        <w:t>Alternative.me</w:t>
      </w:r>
      <w:r>
        <w:t xml:space="preserve"> from five primary sources: volatility (25%), market momentum/volume (25%), social media sentiment (15%), survey data (15%), and dominance (10%).</w:t>
      </w:r>
    </w:p>
    <w:p w14:paraId="3E72B57A" w14:textId="77777777" w:rsidR="00031292" w:rsidRDefault="00000000">
      <w:pPr>
        <w:spacing w:after="60"/>
        <w:ind w:left="432"/>
      </w:pPr>
      <w:r>
        <w:rPr>
          <w:b/>
        </w:rPr>
        <w:t>Contrarian Interpretation</w:t>
      </w:r>
      <w:r>
        <w:t>: In equity markets, extreme greed is bearish, and extreme fear is bullish. The signal generator processes this contrarian stance: values below 20 represent oversold capital capitulation (bullish trigger), while values above 80 indicate retail bubble expansion (bearish trigger).</w:t>
      </w:r>
    </w:p>
    <w:p w14:paraId="51A8EED9" w14:textId="77777777" w:rsidR="00031292" w:rsidRDefault="00000000">
      <w:pPr>
        <w:spacing w:after="60"/>
        <w:ind w:left="432"/>
      </w:pPr>
      <w:r>
        <w:rPr>
          <w:b/>
        </w:rPr>
        <w:t>Storage</w:t>
      </w:r>
      <w:r>
        <w:t xml:space="preserve">: Sourced values are stored in the </w:t>
      </w:r>
      <w:r>
        <w:rPr>
          <w:rFonts w:ascii="Consolas" w:hAnsi="Consolas"/>
          <w:sz w:val="19"/>
        </w:rPr>
        <w:t>Fear_Greed</w:t>
      </w:r>
      <w:r>
        <w:t xml:space="preserve"> column of the asset's global database table.</w:t>
      </w:r>
    </w:p>
    <w:p w14:paraId="58DFD964" w14:textId="77777777" w:rsidR="00031292" w:rsidRDefault="00000000">
      <w:pPr>
        <w:spacing w:before="320"/>
      </w:pPr>
      <w:r>
        <w:rPr>
          <w:b/>
          <w:color w:val="2C5282"/>
          <w:sz w:val="26"/>
        </w:rPr>
        <w:t>3. GOOGLE TRENDS SEARCH INTEREST NORMALIZATION</w:t>
      </w:r>
    </w:p>
    <w:p w14:paraId="1EA3B403" w14:textId="77777777" w:rsidR="00031292" w:rsidRDefault="00000000">
      <w:pPr>
        <w:spacing w:after="80"/>
      </w:pPr>
      <w:r>
        <w:t xml:space="preserve">The </w:t>
      </w:r>
      <w:r>
        <w:rPr>
          <w:rFonts w:ascii="Consolas" w:hAnsi="Consolas"/>
          <w:sz w:val="19"/>
        </w:rPr>
        <w:t>GoogleTrendsFetcher</w:t>
      </w:r>
      <w:r>
        <w:t xml:space="preserve"> class tracks public search momentum, which serves as a proxy for retail volume expansion and trend exhaustion:</w:t>
      </w:r>
    </w:p>
    <w:p w14:paraId="093D9309" w14:textId="77777777" w:rsidR="00031292" w:rsidRDefault="00000000">
      <w:pPr>
        <w:spacing w:after="60"/>
        <w:ind w:left="432"/>
      </w:pPr>
      <w:r>
        <w:rPr>
          <w:b/>
        </w:rPr>
        <w:t>API Scraping</w:t>
      </w:r>
      <w:r>
        <w:t xml:space="preserve">: Sourced via the </w:t>
      </w:r>
      <w:r>
        <w:rPr>
          <w:rFonts w:ascii="Consolas" w:hAnsi="Consolas"/>
          <w:sz w:val="19"/>
        </w:rPr>
        <w:t>pytrends</w:t>
      </w:r>
      <w:r>
        <w:t xml:space="preserve"> library or direct RSS feeds, the fetcher queries search interest index values (0 to 100) for target keywords (e.g., "buy bitcoin", "gold price", "inflation").</w:t>
      </w:r>
    </w:p>
    <w:p w14:paraId="1A3E7FBD" w14:textId="77777777" w:rsidR="00031292" w:rsidRDefault="00000000">
      <w:pPr>
        <w:spacing w:after="60"/>
        <w:ind w:left="432"/>
      </w:pPr>
      <w:r>
        <w:rPr>
          <w:b/>
        </w:rPr>
        <w:t>Normalization</w:t>
      </w:r>
      <w:r>
        <w:t>: Raw search interest is highly seasonal and noisy. The fetcher calculates a rolling Z-score over a 14-day window:</w:t>
      </w:r>
    </w:p>
    <w:p w14:paraId="6AB7235D" w14:textId="77777777" w:rsidR="00031292" w:rsidRDefault="00000000">
      <w:pPr>
        <w:spacing w:before="200" w:after="200"/>
        <w:jc w:val="center"/>
      </w:pPr>
      <m:oMathPara>
        <m:oMath>
          <m:r>
            <m:rPr>
              <m:nor/>
            </m:rPr>
            <w:rPr>
              <w:rFonts w:ascii="Cambria Math" w:eastAsia="Cambria Math" w:hAnsi="Cambria Math" w:cs="Cambria Math"/>
            </w:rPr>
            <m:t>Slope</m:t>
          </m:r>
          <m:r>
            <w:rPr>
              <w:rFonts w:ascii="Cambria Math" w:eastAsia="Cambria Math" w:hAnsi="Cambria Math" w:cs="Cambria Math"/>
            </w:rPr>
            <m:t>=</m:t>
          </m:r>
          <m:f>
            <m:fPr>
              <m:ctrlPr>
                <w:rPr>
                  <w:rFonts w:ascii="Cambria Math" w:hAnsi="Cambria Math"/>
                </w:rPr>
              </m:ctrlPr>
            </m:fPr>
            <m:num>
              <m:r>
                <m:rPr>
                  <m:nor/>
                </m:rPr>
                <w:rPr>
                  <w:rFonts w:ascii="Cambria Math" w:eastAsia="Cambria Math" w:hAnsi="Cambria Math" w:cs="Cambria Math"/>
                </w:rPr>
                <m:t>Current Interest</m:t>
              </m:r>
              <m:r>
                <w:rPr>
                  <w:rFonts w:ascii="Cambria Math" w:eastAsia="Cambria Math" w:hAnsi="Cambria Math" w:cs="Cambria Math"/>
                </w:rPr>
                <m:t>-</m:t>
              </m:r>
              <m:r>
                <m:rPr>
                  <m:nor/>
                </m:rPr>
                <w:rPr>
                  <w:rFonts w:ascii="Cambria Math" w:eastAsia="Cambria Math" w:hAnsi="Cambria Math" w:cs="Cambria Math"/>
                </w:rPr>
                <m:t>Mean</m:t>
              </m:r>
              <m:r>
                <w:rPr>
                  <w:rFonts w:ascii="Cambria Math" w:eastAsia="Cambria Math" w:hAnsi="Cambria Math" w:cs="Cambria Math"/>
                </w:rPr>
                <m:t>(</m:t>
              </m:r>
              <m:sSub>
                <m:sSubPr>
                  <m:ctrlPr>
                    <w:rPr>
                      <w:rFonts w:ascii="Cambria Math" w:hAnsi="Cambria Math"/>
                    </w:rPr>
                  </m:ctrlPr>
                </m:sSubPr>
                <m:e>
                  <m:r>
                    <m:rPr>
                      <m:nor/>
                    </m:rPr>
                    <w:rPr>
                      <w:rFonts w:ascii="Cambria Math" w:eastAsia="Cambria Math" w:hAnsi="Cambria Math" w:cs="Cambria Math"/>
                    </w:rPr>
                    <m:t>Interest</m:t>
                  </m:r>
                </m:e>
                <m:sub>
                  <m:r>
                    <w:rPr>
                      <w:rFonts w:ascii="Cambria Math" w:eastAsia="Cambria Math" w:hAnsi="Cambria Math" w:cs="Cambria Math"/>
                    </w:rPr>
                    <m:t>t-14:t</m:t>
                  </m:r>
                </m:sub>
              </m:sSub>
              <m:r>
                <w:rPr>
                  <w:rFonts w:ascii="Cambria Math" w:eastAsia="Cambria Math" w:hAnsi="Cambria Math" w:cs="Cambria Math"/>
                </w:rPr>
                <m:t>)</m:t>
              </m:r>
            </m:num>
            <m:den>
              <m:r>
                <m:rPr>
                  <m:nor/>
                </m:rPr>
                <w:rPr>
                  <w:rFonts w:ascii="Cambria Math" w:eastAsia="Cambria Math" w:hAnsi="Cambria Math" w:cs="Cambria Math"/>
                </w:rPr>
                <m:t>Std</m:t>
              </m:r>
              <m:r>
                <w:rPr>
                  <w:rFonts w:ascii="Cambria Math" w:eastAsia="Cambria Math" w:hAnsi="Cambria Math" w:cs="Cambria Math"/>
                </w:rPr>
                <m:t>(</m:t>
              </m:r>
              <m:sSub>
                <m:sSubPr>
                  <m:ctrlPr>
                    <w:rPr>
                      <w:rFonts w:ascii="Cambria Math" w:hAnsi="Cambria Math"/>
                    </w:rPr>
                  </m:ctrlPr>
                </m:sSubPr>
                <m:e>
                  <m:r>
                    <m:rPr>
                      <m:nor/>
                    </m:rPr>
                    <w:rPr>
                      <w:rFonts w:ascii="Cambria Math" w:eastAsia="Cambria Math" w:hAnsi="Cambria Math" w:cs="Cambria Math"/>
                    </w:rPr>
                    <m:t>Interest</m:t>
                  </m:r>
                </m:e>
                <m:sub>
                  <m:r>
                    <w:rPr>
                      <w:rFonts w:ascii="Cambria Math" w:eastAsia="Cambria Math" w:hAnsi="Cambria Math" w:cs="Cambria Math"/>
                    </w:rPr>
                    <m:t>t-14:t</m:t>
                  </m:r>
                </m:sub>
              </m:sSub>
              <m:r>
                <w:rPr>
                  <w:rFonts w:ascii="Cambria Math" w:eastAsia="Cambria Math" w:hAnsi="Cambria Math" w:cs="Cambria Math"/>
                </w:rPr>
                <m:t>)</m:t>
              </m:r>
            </m:den>
          </m:f>
        </m:oMath>
      </m:oMathPara>
    </w:p>
    <w:p w14:paraId="0ED49F59" w14:textId="77777777" w:rsidR="00031292" w:rsidRDefault="00000000">
      <w:pPr>
        <w:spacing w:after="60"/>
        <w:ind w:left="432"/>
      </w:pPr>
      <w:r>
        <w:rPr>
          <w:b/>
        </w:rPr>
        <w:lastRenderedPageBreak/>
        <w:t>Sentiment Acceleration</w:t>
      </w:r>
      <w:r>
        <w:t xml:space="preserve">: A positive slope </w:t>
      </w:r>
      <m:oMath>
        <m:r>
          <w:rPr>
            <w:rFonts w:ascii="Cambria Math" w:eastAsia="Cambria Math" w:hAnsi="Cambria Math" w:cs="Cambria Math"/>
          </w:rPr>
          <m:t>&gt;2.0</m:t>
        </m:r>
      </m:oMath>
      <w:r>
        <w:t xml:space="preserve"> indicates retail interest acceleration, signaling that the asset is drawing public attention. In late-stage bull markets, extreme trends spikes correlate with market tops, while in bear markets, interest collapse signals retail capitulation.</w:t>
      </w:r>
    </w:p>
    <w:p w14:paraId="0DF1D6C7" w14:textId="77777777" w:rsidR="00031292" w:rsidRDefault="00000000">
      <w:pPr>
        <w:spacing w:before="320"/>
      </w:pPr>
      <w:r>
        <w:rPr>
          <w:b/>
          <w:color w:val="2C5282"/>
          <w:sz w:val="26"/>
        </w:rPr>
        <w:t>4. CME FEDWATCH RATES PROBABILITY SCRAPER</w:t>
      </w:r>
    </w:p>
    <w:p w14:paraId="11C941AD" w14:textId="77777777" w:rsidR="00031292" w:rsidRDefault="00000000">
      <w:pPr>
        <w:spacing w:after="80"/>
      </w:pPr>
      <w:r>
        <w:t xml:space="preserve">The </w:t>
      </w:r>
      <w:r>
        <w:rPr>
          <w:rFonts w:ascii="Consolas" w:hAnsi="Consolas"/>
          <w:sz w:val="19"/>
        </w:rPr>
        <w:t>FedWatchFetcher</w:t>
      </w:r>
      <w:r>
        <w:t xml:space="preserve"> scrapes pricing data for </w:t>
      </w:r>
      <w:r>
        <w:rPr>
          <w:b/>
        </w:rPr>
        <w:t>30-Day Federal Funds Futures (ZQC)</w:t>
      </w:r>
      <w:r>
        <w:t xml:space="preserve"> traded on the </w:t>
      </w:r>
      <w:r>
        <w:rPr>
          <w:rFonts w:ascii="Consolas" w:hAnsi="Consolas"/>
          <w:sz w:val="19"/>
        </w:rPr>
        <w:t>Chicago Mercantile Exchange (CME)</w:t>
      </w:r>
      <w:r>
        <w:t>.</w:t>
      </w:r>
    </w:p>
    <w:p w14:paraId="70E931DB" w14:textId="77777777" w:rsidR="00031292" w:rsidRDefault="00000000">
      <w:pPr>
        <w:spacing w:after="60"/>
        <w:ind w:left="432"/>
      </w:pPr>
      <w:r>
        <w:rPr>
          <w:b/>
        </w:rPr>
        <w:t>Probability Calculation</w:t>
      </w:r>
      <w:r>
        <w:t>: The implied probability of a target Fed Funds Rate decision at upcoming FOMC meetings is derived using the CME's target rate pricing model. The interest rate probability distribution is parsed:</w:t>
      </w:r>
    </w:p>
    <w:p w14:paraId="3D2A9E9D" w14:textId="77777777" w:rsidR="00031292" w:rsidRDefault="00000000">
      <w:pPr>
        <w:spacing w:before="200" w:after="200"/>
        <w:jc w:val="center"/>
      </w:pPr>
      <m:oMathPara>
        <m:oMath>
          <m:r>
            <m:rPr>
              <m:nor/>
            </m:rPr>
            <w:rPr>
              <w:rFonts w:ascii="Cambria Math" w:eastAsia="Cambria Math" w:hAnsi="Cambria Math" w:cs="Cambria Math"/>
            </w:rPr>
            <m:t>Implied Rate</m:t>
          </m:r>
          <m:r>
            <w:rPr>
              <w:rFonts w:ascii="Cambria Math" w:eastAsia="Cambria Math" w:hAnsi="Cambria Math" w:cs="Cambria Math"/>
            </w:rPr>
            <m:t>=100-</m:t>
          </m:r>
          <m:r>
            <m:rPr>
              <m:nor/>
            </m:rPr>
            <w:rPr>
              <w:rFonts w:ascii="Cambria Math" w:eastAsia="Cambria Math" w:hAnsi="Cambria Math" w:cs="Cambria Math"/>
            </w:rPr>
            <m:t>Futures Price</m:t>
          </m:r>
        </m:oMath>
      </m:oMathPara>
    </w:p>
    <w:p w14:paraId="2713B0D9" w14:textId="77777777" w:rsidR="00031292" w:rsidRDefault="00000000">
      <w:pPr>
        <w:spacing w:after="80"/>
      </w:pPr>
      <w:r>
        <w:t>The fetcher maps these futures prices across upcoming FOMC dates to establish the probability for each potential rate bucket (e.g., cut 25bps, cut 50bps, hold, hike 25bps).</w:t>
      </w:r>
    </w:p>
    <w:p w14:paraId="39743712" w14:textId="77777777" w:rsidR="00031292" w:rsidRDefault="00000000">
      <w:pPr>
        <w:spacing w:after="60"/>
        <w:ind w:left="432"/>
      </w:pPr>
      <w:r>
        <w:rPr>
          <w:b/>
        </w:rPr>
        <w:t>Policy Stance Mapping</w:t>
      </w:r>
      <w:r>
        <w:t xml:space="preserve">: The probabilities are aggregated to calculate a </w:t>
      </w:r>
      <w:r>
        <w:rPr>
          <w:b/>
        </w:rPr>
        <w:t>Dovish Score</w:t>
      </w:r>
      <w:r>
        <w:t xml:space="preserve"> (sum of cut/hold probabilities) and a </w:t>
      </w:r>
      <w:r>
        <w:rPr>
          <w:b/>
        </w:rPr>
        <w:t>Hawkish Score</w:t>
      </w:r>
      <w:r>
        <w:t xml:space="preserve"> (hike probabilities).</w:t>
      </w:r>
    </w:p>
    <w:p w14:paraId="3A7176E5" w14:textId="77777777" w:rsidR="00031292" w:rsidRDefault="00000000">
      <w:pPr>
        <w:spacing w:after="60"/>
        <w:ind w:left="432"/>
      </w:pPr>
      <w:r>
        <w:rPr>
          <w:b/>
        </w:rPr>
        <w:t>Stance Translation</w:t>
      </w:r>
      <w:r>
        <w:t xml:space="preserve">: If the Dovish Score is </w:t>
      </w:r>
      <m:oMath>
        <m:r>
          <w:rPr>
            <w:rFonts w:ascii="Cambria Math" w:eastAsia="Cambria Math" w:hAnsi="Cambria Math" w:cs="Cambria Math"/>
          </w:rPr>
          <m:t>&gt;60%</m:t>
        </m:r>
      </m:oMath>
      <w:r>
        <w:t>, the stance is classified as "Dovish". The stance is then converted to directional signals for Gold (</w:t>
      </w:r>
      <w:r>
        <w:rPr>
          <w:b/>
        </w:rPr>
        <w:t>BULLISH</w:t>
      </w:r>
      <w:r>
        <w:t>), Bitcoin (</w:t>
      </w:r>
      <w:r>
        <w:rPr>
          <w:b/>
        </w:rPr>
        <w:t>BULLISH</w:t>
      </w:r>
      <w:r>
        <w:t>), and Stocks (</w:t>
      </w:r>
      <w:r>
        <w:rPr>
          <w:b/>
        </w:rPr>
        <w:t>BULLISH</w:t>
      </w:r>
      <w:r>
        <w:t>, unless under recessionary regimes where a cut signals economic damage).</w:t>
      </w:r>
    </w:p>
    <w:p w14:paraId="2DEB025D" w14:textId="77777777" w:rsidR="00031292" w:rsidRDefault="00000000">
      <w:pPr>
        <w:spacing w:before="320"/>
      </w:pPr>
      <w:r>
        <w:rPr>
          <w:b/>
          <w:color w:val="2C5282"/>
          <w:sz w:val="26"/>
        </w:rPr>
        <w:t>5. GOOGLE NEWS API AND FINBERT SENTIMENT ANALYSIS</w:t>
      </w:r>
    </w:p>
    <w:p w14:paraId="2BC67517" w14:textId="77777777" w:rsidR="00031292" w:rsidRDefault="00000000">
      <w:pPr>
        <w:spacing w:after="80"/>
      </w:pPr>
      <w:r>
        <w:t>The system runs a daily news collection and sentiment calculation pipeline:</w:t>
      </w:r>
    </w:p>
    <w:p w14:paraId="7786BBE2" w14:textId="77777777" w:rsidR="00031292" w:rsidRDefault="00000000">
      <w:pPr>
        <w:spacing w:after="60"/>
        <w:ind w:left="432"/>
      </w:pPr>
      <w:r>
        <w:rPr>
          <w:b/>
        </w:rPr>
        <w:t>Headline Ingestion</w:t>
      </w:r>
      <w:r>
        <w:t xml:space="preserve">: Sourced from Google News RSS feeds and </w:t>
      </w:r>
      <w:r>
        <w:rPr>
          <w:rFonts w:ascii="Consolas" w:hAnsi="Consolas"/>
          <w:sz w:val="19"/>
        </w:rPr>
        <w:t>NewsAPI</w:t>
      </w:r>
      <w:r>
        <w:t xml:space="preserve"> endpoints, the fetcher extracts financial headlines matching asset keywords from the past 24 hours.</w:t>
      </w:r>
    </w:p>
    <w:p w14:paraId="06E2C6B7" w14:textId="77777777" w:rsidR="00031292" w:rsidRDefault="00000000">
      <w:pPr>
        <w:spacing w:after="60"/>
        <w:ind w:left="432"/>
      </w:pPr>
      <w:r>
        <w:rPr>
          <w:b/>
        </w:rPr>
        <w:t>Deduplication and Staleness</w:t>
      </w:r>
      <w:r>
        <w:t>: Headlines undergo cosine similarity check (threshold 0.85) to remove duplicates, and are sorted chronologically.</w:t>
      </w:r>
    </w:p>
    <w:p w14:paraId="44EE0677" w14:textId="77777777" w:rsidR="00031292" w:rsidRDefault="00000000">
      <w:pPr>
        <w:spacing w:after="60"/>
        <w:ind w:left="432"/>
      </w:pPr>
      <w:r>
        <w:rPr>
          <w:b/>
        </w:rPr>
        <w:t>FinBERT Sentiment Scoring</w:t>
      </w:r>
      <w:r>
        <w:t xml:space="preserve">: Ingested headlines are passed to </w:t>
      </w:r>
      <w:r>
        <w:rPr>
          <w:rFonts w:ascii="Consolas" w:hAnsi="Consolas"/>
          <w:sz w:val="19"/>
        </w:rPr>
        <w:t>FinBERT</w:t>
      </w:r>
      <w:r>
        <w:t xml:space="preserve"> (a specialized </w:t>
      </w:r>
      <w:r>
        <w:rPr>
          <w:rFonts w:ascii="Consolas" w:hAnsi="Consolas"/>
          <w:sz w:val="19"/>
        </w:rPr>
        <w:t>BERT</w:t>
      </w:r>
      <w:r>
        <w:t xml:space="preserve"> language model trained on financial text). </w:t>
      </w:r>
      <w:r>
        <w:rPr>
          <w:rFonts w:ascii="Consolas" w:hAnsi="Consolas"/>
          <w:sz w:val="19"/>
        </w:rPr>
        <w:t>FinBERT</w:t>
      </w:r>
      <w:r>
        <w:t xml:space="preserve"> evaluates each headline, outputting probability scores for three classes: positive, negative, and neutral.</w:t>
      </w:r>
    </w:p>
    <w:p w14:paraId="7A7ACE9B" w14:textId="77777777" w:rsidR="00031292" w:rsidRDefault="00000000">
      <w:pPr>
        <w:spacing w:after="60"/>
        <w:ind w:left="432"/>
      </w:pPr>
      <w:r>
        <w:rPr>
          <w:b/>
        </w:rPr>
        <w:t>Daily Score Aggregation</w:t>
      </w:r>
      <w:r>
        <w:t>: The daily sentiment mean is computed:</w:t>
      </w:r>
    </w:p>
    <w:p w14:paraId="5455062B" w14:textId="77777777" w:rsidR="00031292" w:rsidRDefault="00000000">
      <w:pPr>
        <w:spacing w:before="200" w:after="200"/>
        <w:jc w:val="center"/>
      </w:pPr>
      <m:oMathPara>
        <m:oMath>
          <m:r>
            <m:rPr>
              <m:nor/>
            </m:rPr>
            <w:rPr>
              <w:rFonts w:ascii="Cambria Math" w:eastAsia="Cambria Math" w:hAnsi="Cambria Math" w:cs="Cambria Math"/>
            </w:rPr>
            <m:t>Sentiment Mean</m:t>
          </m:r>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P</m:t>
                  </m:r>
                </m:e>
                <m:sub>
                  <m:r>
                    <m:rPr>
                      <m:nor/>
                    </m:rPr>
                    <w:rPr>
                      <w:rFonts w:ascii="Cambria Math" w:eastAsia="Cambria Math" w:hAnsi="Cambria Math" w:cs="Cambria Math"/>
                    </w:rPr>
                    <m:t>positive</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P</m:t>
                  </m:r>
                </m:e>
                <m:sub>
                  <m:r>
                    <m:rPr>
                      <m:nor/>
                    </m:rPr>
                    <w:rPr>
                      <w:rFonts w:ascii="Cambria Math" w:eastAsia="Cambria Math" w:hAnsi="Cambria Math" w:cs="Cambria Math"/>
                    </w:rPr>
                    <m:t>negative</m:t>
                  </m:r>
                </m:sub>
              </m:sSub>
              <m:r>
                <w:rPr>
                  <w:rFonts w:ascii="Cambria Math" w:eastAsia="Cambria Math" w:hAnsi="Cambria Math" w:cs="Cambria Math"/>
                </w:rPr>
                <m:t>)</m:t>
              </m:r>
            </m:num>
            <m:den>
              <m:r>
                <w:rPr>
                  <w:rFonts w:ascii="Cambria Math" w:eastAsia="Cambria Math" w:hAnsi="Cambria Math" w:cs="Cambria Math"/>
                </w:rPr>
                <m:t>N</m:t>
              </m:r>
            </m:den>
          </m:f>
        </m:oMath>
      </m:oMathPara>
    </w:p>
    <w:p w14:paraId="5CDA952F" w14:textId="77777777" w:rsidR="00031292" w:rsidRDefault="00000000">
      <w:pPr>
        <w:spacing w:after="80"/>
      </w:pPr>
      <w:r>
        <w:t>Additionally, the system computes the standard deviation of sentiment:</w:t>
      </w:r>
    </w:p>
    <w:p w14:paraId="489A05B0" w14:textId="77777777" w:rsidR="00031292" w:rsidRDefault="00000000">
      <w:pPr>
        <w:spacing w:before="200" w:after="200"/>
        <w:jc w:val="center"/>
      </w:pPr>
      <m:oMathPara>
        <m:oMath>
          <m:r>
            <m:rPr>
              <m:nor/>
            </m:rPr>
            <w:rPr>
              <w:rFonts w:ascii="Cambria Math" w:eastAsia="Cambria Math" w:hAnsi="Cambria Math" w:cs="Cambria Math"/>
            </w:rPr>
            <m:t>Sentiment Std</m:t>
          </m:r>
          <m:r>
            <w:rPr>
              <w:rFonts w:ascii="Cambria Math" w:eastAsia="Cambria Math" w:hAnsi="Cambria Math" w:cs="Cambria Math"/>
            </w:rPr>
            <m:t>=</m:t>
          </m:r>
          <m:r>
            <m:rPr>
              <m:nor/>
            </m:rPr>
            <w:rPr>
              <w:rFonts w:ascii="Cambria Math" w:eastAsia="Cambria Math" w:hAnsi="Cambria Math" w:cs="Cambria Math"/>
            </w:rPr>
            <m:t>Std</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P</m:t>
              </m:r>
            </m:e>
            <m:sub>
              <m:r>
                <m:rPr>
                  <m:nor/>
                </m:rPr>
                <w:rPr>
                  <w:rFonts w:ascii="Cambria Math" w:eastAsia="Cambria Math" w:hAnsi="Cambria Math" w:cs="Cambria Math"/>
                </w:rPr>
                <m:t>positive</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P</m:t>
              </m:r>
            </m:e>
            <m:sub>
              <m:r>
                <m:rPr>
                  <m:nor/>
                </m:rPr>
                <w:rPr>
                  <w:rFonts w:ascii="Cambria Math" w:eastAsia="Cambria Math" w:hAnsi="Cambria Math" w:cs="Cambria Math"/>
                </w:rPr>
                <m:t>negative</m:t>
              </m:r>
            </m:sub>
          </m:sSub>
          <m:r>
            <w:rPr>
              <w:rFonts w:ascii="Cambria Math" w:eastAsia="Cambria Math" w:hAnsi="Cambria Math" w:cs="Cambria Math"/>
            </w:rPr>
            <m:t>)</m:t>
          </m:r>
        </m:oMath>
      </m:oMathPara>
    </w:p>
    <w:p w14:paraId="57D91411" w14:textId="77777777" w:rsidR="00031292" w:rsidRDefault="00000000">
      <w:pPr>
        <w:spacing w:after="80"/>
      </w:pPr>
      <w:r>
        <w:t xml:space="preserve">A high </w:t>
      </w:r>
      <w:r>
        <w:rPr>
          <w:rFonts w:ascii="Consolas" w:hAnsi="Consolas"/>
          <w:sz w:val="19"/>
        </w:rPr>
        <w:t>Sentiment_Std</w:t>
      </w:r>
      <w:r>
        <w:t xml:space="preserve"> indicates that the news on that day contained conflicting positive and negative narratives, signaling high narrative uncertainty (</w:t>
      </w:r>
      <w:r>
        <w:rPr>
          <w:rFonts w:ascii="Consolas" w:hAnsi="Consolas"/>
          <w:sz w:val="19"/>
        </w:rPr>
        <w:t>VIX</w:t>
      </w:r>
      <w:r>
        <w:t>-like sentiment signal).</w:t>
      </w:r>
    </w:p>
    <w:p w14:paraId="3DE3B5EE" w14:textId="77777777" w:rsidR="00031292" w:rsidRDefault="00000000">
      <w:pPr>
        <w:spacing w:before="320"/>
      </w:pPr>
      <w:r>
        <w:rPr>
          <w:b/>
          <w:color w:val="2C5282"/>
          <w:sz w:val="26"/>
        </w:rPr>
        <w:lastRenderedPageBreak/>
        <w:t>6. DATA MERGING AND ALIGNMENT</w:t>
      </w:r>
    </w:p>
    <w:p w14:paraId="63C7388F" w14:textId="77777777" w:rsidR="00031292" w:rsidRDefault="00000000">
      <w:pPr>
        <w:spacing w:after="80"/>
      </w:pPr>
      <w:r>
        <w:t>Because alternative data sources update on varying frequencies (daily, weekly, or monthly), they are synchronized before database storage:</w:t>
      </w:r>
    </w:p>
    <w:p w14:paraId="6CD1C2A1" w14:textId="77777777" w:rsidR="00031292" w:rsidRDefault="00000000">
      <w:pPr>
        <w:spacing w:after="60"/>
        <w:ind w:left="432"/>
      </w:pPr>
      <w:r>
        <w:rPr>
          <w:b/>
        </w:rPr>
        <w:t>Daily indicators</w:t>
      </w:r>
      <w:r>
        <w:t xml:space="preserve"> (Fear &amp; Greed, </w:t>
      </w:r>
      <w:r>
        <w:rPr>
          <w:rFonts w:ascii="Consolas" w:hAnsi="Consolas"/>
          <w:sz w:val="19"/>
        </w:rPr>
        <w:t>DXY</w:t>
      </w:r>
      <w:r>
        <w:t xml:space="preserve">, </w:t>
      </w:r>
      <w:r>
        <w:rPr>
          <w:rFonts w:ascii="Consolas" w:hAnsi="Consolas"/>
          <w:sz w:val="19"/>
        </w:rPr>
        <w:t>VIX</w:t>
      </w:r>
      <w:r>
        <w:t>) are aligned directly to the date index.</w:t>
      </w:r>
    </w:p>
    <w:p w14:paraId="46247DEB" w14:textId="77777777" w:rsidR="00031292" w:rsidRDefault="00000000">
      <w:pPr>
        <w:spacing w:after="60"/>
        <w:ind w:left="432"/>
      </w:pPr>
      <w:r>
        <w:rPr>
          <w:b/>
        </w:rPr>
        <w:t>Weekly reports</w:t>
      </w:r>
      <w:r>
        <w:t xml:space="preserve"> (</w:t>
      </w:r>
      <w:r>
        <w:rPr>
          <w:rFonts w:ascii="Consolas" w:hAnsi="Consolas"/>
          <w:sz w:val="19"/>
        </w:rPr>
        <w:t>COT</w:t>
      </w:r>
      <w:r>
        <w:t>) are realigned from their Tuesday As-Of date to their Friday release date, and then forward-filled (</w:t>
      </w:r>
      <w:r>
        <w:rPr>
          <w:rFonts w:ascii="Consolas" w:hAnsi="Consolas"/>
          <w:sz w:val="19"/>
        </w:rPr>
        <w:t>ffill()</w:t>
      </w:r>
      <w:r>
        <w:t>) daily.</w:t>
      </w:r>
    </w:p>
    <w:p w14:paraId="00FF7BB6" w14:textId="77777777" w:rsidR="00031292" w:rsidRDefault="00000000">
      <w:pPr>
        <w:spacing w:after="60"/>
        <w:ind w:left="432"/>
      </w:pPr>
      <w:r>
        <w:t xml:space="preserve">All aligned alternative features are written to the asset's </w:t>
      </w:r>
      <w:r>
        <w:rPr>
          <w:rFonts w:ascii="Consolas" w:hAnsi="Consolas"/>
          <w:sz w:val="19"/>
        </w:rPr>
        <w:t>DuckDB</w:t>
      </w:r>
      <w:r>
        <w:t xml:space="preserve"> table (e.g., </w:t>
      </w:r>
      <w:r>
        <w:rPr>
          <w:rFonts w:ascii="Consolas" w:hAnsi="Consolas"/>
          <w:sz w:val="19"/>
        </w:rPr>
        <w:t>gold_global_insights</w:t>
      </w:r>
      <w:r>
        <w:t xml:space="preserve">, </w:t>
      </w:r>
      <w:r>
        <w:rPr>
          <w:rFonts w:ascii="Consolas" w:hAnsi="Consolas"/>
          <w:sz w:val="19"/>
        </w:rPr>
        <w:t>btc_global_insights</w:t>
      </w:r>
      <w:r>
        <w:t>) and simultaneously backed up to CSV files.</w:t>
      </w:r>
    </w:p>
    <w:p w14:paraId="6439B8B3" w14:textId="77777777" w:rsidR="00031292" w:rsidRDefault="00000000">
      <w:r>
        <w:br w:type="page"/>
      </w:r>
    </w:p>
    <w:p w14:paraId="156FA517" w14:textId="77777777" w:rsidR="00031292" w:rsidRDefault="00000000">
      <w:pPr>
        <w:spacing w:before="400" w:after="240"/>
      </w:pPr>
      <w:r>
        <w:rPr>
          <w:b/>
          <w:color w:val="4A5568"/>
          <w:sz w:val="20"/>
        </w:rPr>
        <w:lastRenderedPageBreak/>
        <w:t>──────  PART 11 – CRITIQUES, ARCHITECTURAL DEFENSES &amp; OOD ANOMALY GATE  ──────</w:t>
      </w:r>
    </w:p>
    <w:p w14:paraId="771D1E2C" w14:textId="77777777" w:rsidR="00031292" w:rsidRDefault="00000000">
      <w:pPr>
        <w:spacing w:before="440"/>
      </w:pPr>
      <w:r>
        <w:rPr>
          <w:b/>
          <w:color w:val="1A365D"/>
          <w:sz w:val="32"/>
        </w:rPr>
        <w:t>MARKET INTELLIGENCE SYSTEM: COMPREHENSIVE ARCHITECTURE &amp; RESEARCH WHITEPAPER</w:t>
      </w:r>
    </w:p>
    <w:p w14:paraId="331B6E61" w14:textId="77777777" w:rsidR="00031292" w:rsidRDefault="00000000">
      <w:pPr>
        <w:spacing w:before="320"/>
      </w:pPr>
      <w:r>
        <w:rPr>
          <w:b/>
          <w:color w:val="2C5282"/>
          <w:sz w:val="26"/>
        </w:rPr>
        <w:t>PART 11: CRITIQUES, ARCHITECTURAL DEFENSES, AND OUT-OF-DISTRIBUTION ANOMALY GATE</w:t>
      </w:r>
    </w:p>
    <w:p w14:paraId="3E664466" w14:textId="77777777" w:rsidR="00031292" w:rsidRDefault="00000000">
      <w:pPr>
        <w:spacing w:before="320"/>
      </w:pPr>
      <w:r>
        <w:rPr>
          <w:b/>
          <w:color w:val="2C5282"/>
          <w:sz w:val="26"/>
        </w:rPr>
        <w:t>ARCHITECTURAL CRITIQUES AND SYSTEM DEFENSES</w:t>
      </w:r>
    </w:p>
    <w:p w14:paraId="745AC9A1" w14:textId="77777777" w:rsidR="00031292" w:rsidRDefault="00000000">
      <w:pPr>
        <w:spacing w:after="80"/>
      </w:pPr>
      <w:r>
        <w:t>In financial machine learning, backtests are easily overfitted and can present an illusion of precision. To ensure the terminal is production-ready for live capital markets, we address five critical system audits:</w:t>
      </w:r>
    </w:p>
    <w:p w14:paraId="59F617C1" w14:textId="77777777" w:rsidR="00031292" w:rsidRDefault="00000000">
      <w:pPr>
        <w:spacing w:before="240"/>
      </w:pPr>
      <w:r>
        <w:rPr>
          <w:b/>
          <w:color w:val="4A5568"/>
          <w:sz w:val="23"/>
        </w:rPr>
        <w:t>Critique 1: The Illusion of "Power-Law Momentum" Curve Fitting</w:t>
      </w:r>
    </w:p>
    <w:p w14:paraId="50FA211A" w14:textId="77777777" w:rsidR="00031292" w:rsidRDefault="00000000">
      <w:pPr>
        <w:spacing w:after="60"/>
        <w:ind w:left="432"/>
      </w:pPr>
      <w:r>
        <w:rPr>
          <w:b/>
        </w:rPr>
        <w:t>Critique:</w:t>
      </w:r>
      <w:r>
        <w:t xml:space="preserve"> Projecting a 7-day Stacker expected return across a 90-day daily path using the power-law equation:</w:t>
      </w:r>
    </w:p>
    <w:p w14:paraId="26D4C20E" w14:textId="77777777" w:rsidR="00031292" w:rsidRDefault="00000000">
      <w:pPr>
        <w:spacing w:before="200" w:after="200"/>
        <w:jc w:val="center"/>
      </w:pPr>
      <m:oMathPara>
        <m:oMath>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anchor</m:t>
              </m:r>
            </m:sub>
          </m:sSub>
          <m:r>
            <w:rPr>
              <w:rFonts w:ascii="Cambria Math" w:eastAsia="Cambria Math" w:hAnsi="Cambria Math" w:cs="Cambria Math"/>
            </w:rPr>
            <m:t>*</m:t>
          </m:r>
          <m:sSup>
            <m:sSupPr>
              <m:ctrlPr>
                <w:rPr>
                  <w:rFonts w:ascii="Cambria Math" w:hAnsi="Cambria Math"/>
                </w:rPr>
              </m:ctrlPr>
            </m:sSupPr>
            <m:e>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i</m:t>
                  </m:r>
                </m:num>
                <m:den>
                  <m:r>
                    <w:rPr>
                      <w:rFonts w:ascii="Cambria Math" w:eastAsia="Cambria Math" w:hAnsi="Cambria Math" w:cs="Cambria Math"/>
                    </w:rPr>
                    <m:t>7.0</m:t>
                  </m:r>
                </m:den>
              </m:f>
              <m:r>
                <w:rPr>
                  <w:rFonts w:ascii="Cambria Math" w:eastAsia="Cambria Math" w:hAnsi="Cambria Math" w:cs="Cambria Math"/>
                </w:rPr>
                <m:t>)</m:t>
              </m:r>
            </m:e>
            <m:sup>
              <m:r>
                <w:rPr>
                  <w:rFonts w:ascii="Cambria Math" w:eastAsia="Cambria Math" w:hAnsi="Cambria Math" w:cs="Cambria Math"/>
                </w:rPr>
                <m:t>0.65</m:t>
              </m:r>
            </m:sup>
          </m:sSup>
        </m:oMath>
      </m:oMathPara>
    </w:p>
    <w:p w14:paraId="4B25643C" w14:textId="77777777" w:rsidR="00031292" w:rsidRDefault="00000000">
      <w:pPr>
        <w:spacing w:after="80"/>
      </w:pPr>
      <w:r>
        <w:t>creates a false sense of smooth precision that ignores sudden regime changes (like flash crashes) and oversimplifies volatility.</w:t>
      </w:r>
    </w:p>
    <w:p w14:paraId="748320C5" w14:textId="77777777" w:rsidR="00031292" w:rsidRDefault="00000000">
      <w:pPr>
        <w:spacing w:after="60"/>
        <w:ind w:left="432"/>
      </w:pPr>
      <w:r>
        <w:rPr>
          <w:b/>
        </w:rPr>
        <w:t>Defense &amp; Resolution:</w:t>
      </w:r>
    </w:p>
    <w:p w14:paraId="658D10A3" w14:textId="77777777" w:rsidR="00031292" w:rsidRDefault="00000000">
      <w:pPr>
        <w:spacing w:after="60"/>
        <w:ind w:left="432"/>
      </w:pPr>
      <w:r>
        <w:t>The system does not rely on power-law scaling as its primary prediction engine. The power-law decay is strictly a fallback mechanism used if the direct horizon models are missing.</w:t>
      </w:r>
    </w:p>
    <w:p w14:paraId="6FC42CC8" w14:textId="77777777" w:rsidR="00031292" w:rsidRDefault="00000000">
      <w:pPr>
        <w:spacing w:after="60"/>
        <w:ind w:left="432"/>
      </w:pPr>
      <w:r>
        <w:t xml:space="preserve">The primary projection is generated by five independent Direct Horizon models (1D, 7D, 14D, 30D, 90D). The daily path is interpolated linearly using </w:t>
      </w:r>
      <w:r>
        <w:rPr>
          <w:rFonts w:ascii="Consolas" w:hAnsi="Consolas"/>
          <w:sz w:val="19"/>
        </w:rPr>
        <w:t>np.interp</w:t>
      </w:r>
      <w:r>
        <w:t xml:space="preserve"> between these direct predictions.</w:t>
      </w:r>
    </w:p>
    <w:p w14:paraId="53F6E041" w14:textId="77777777" w:rsidR="00031292" w:rsidRDefault="00000000">
      <w:pPr>
        <w:spacing w:after="60"/>
        <w:ind w:left="432"/>
      </w:pPr>
      <w:r>
        <w:t>The expected price trajectory is never presented in isolation. The system overlays a 500-path Geometric Brownian Motion (GBM) Monte Carlo simulation (P10-P90 probability cloud) derived from live implied volatility (VIX / DVOL). This cloud represents the growing variance of expected returns, explicitly showing the user that the far-horizon (90-day) uncertainty is extremely wide compared to the short-term (1-day) forecast.</w:t>
      </w:r>
    </w:p>
    <w:p w14:paraId="4105F129" w14:textId="77777777" w:rsidR="00031292" w:rsidRDefault="00000000">
      <w:pPr>
        <w:spacing w:before="240"/>
      </w:pPr>
      <w:r>
        <w:rPr>
          <w:b/>
          <w:color w:val="4A5568"/>
          <w:sz w:val="23"/>
        </w:rPr>
        <w:t>Critique 2: Single Point of Failure via "Anchor 7D"</w:t>
      </w:r>
    </w:p>
    <w:p w14:paraId="1C0179AE" w14:textId="77777777" w:rsidR="00031292" w:rsidRDefault="00000000">
      <w:pPr>
        <w:spacing w:after="60"/>
        <w:ind w:left="432"/>
      </w:pPr>
      <w:r>
        <w:rPr>
          <w:b/>
        </w:rPr>
        <w:t>Critique:</w:t>
      </w:r>
      <w:r>
        <w:t xml:space="preserve"> Relying on the 7-day expected return to scale the 90-day trajectory creates a single point of failure. If the 7-day prediction is wrong, the entire 90-day curve represents a structured hallucination.</w:t>
      </w:r>
    </w:p>
    <w:p w14:paraId="7FA5BC22" w14:textId="77777777" w:rsidR="00031292" w:rsidRDefault="00000000">
      <w:pPr>
        <w:spacing w:after="60"/>
        <w:ind w:left="432"/>
      </w:pPr>
      <w:r>
        <w:rPr>
          <w:b/>
        </w:rPr>
        <w:t>Defense &amp; Resolution:</w:t>
      </w:r>
    </w:p>
    <w:p w14:paraId="142F5FD6" w14:textId="77777777" w:rsidR="00031292" w:rsidRDefault="00000000">
      <w:pPr>
        <w:spacing w:after="80"/>
      </w:pPr>
      <w:r>
        <w:lastRenderedPageBreak/>
        <w:t>To eliminate this dependency, the system implemented Direct Multi-Step forecasting. We train five distinct, independently optimized machine learning models for each asset class, targeting:</w:t>
      </w:r>
    </w:p>
    <w:p w14:paraId="787C5567" w14:textId="77777777" w:rsidR="00031292" w:rsidRDefault="00000000">
      <w:pPr>
        <w:spacing w:after="80"/>
      </w:pPr>
      <m:oMathPara>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t+7</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t+14</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t+30</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t+90</m:t>
              </m:r>
            </m:sub>
          </m:sSub>
        </m:oMath>
      </m:oMathPara>
    </w:p>
    <w:p w14:paraId="54E54741" w14:textId="77777777" w:rsidR="00031292" w:rsidRDefault="00000000">
      <w:pPr>
        <w:spacing w:after="80"/>
      </w:pPr>
      <w:r>
        <w:t>Each model has its own trained weights and features, capturing different macroeconomic transmission lags. The 90-day price forecast is anchored by the 90-day model, not scaled up from the 7-day prediction.</w:t>
      </w:r>
    </w:p>
    <w:p w14:paraId="7AEB65BF" w14:textId="77777777" w:rsidR="00031292" w:rsidRDefault="00000000">
      <w:pPr>
        <w:spacing w:before="240"/>
      </w:pPr>
      <w:r>
        <w:rPr>
          <w:b/>
          <w:color w:val="4A5568"/>
          <w:sz w:val="23"/>
        </w:rPr>
        <w:t>Critique 3: Look-Ahead Bias in COT positioning</w:t>
      </w:r>
    </w:p>
    <w:p w14:paraId="33AB4820" w14:textId="77777777" w:rsidR="00031292" w:rsidRDefault="00000000">
      <w:pPr>
        <w:spacing w:after="60"/>
        <w:ind w:left="432"/>
      </w:pPr>
      <w:r>
        <w:rPr>
          <w:b/>
        </w:rPr>
        <w:t>Critique:</w:t>
      </w:r>
      <w:r>
        <w:t xml:space="preserve"> The CFTC gathers futures positioning data on Tuesday but releases the report on Friday. Merging Tuesday data onto Tuesday daily rows leaks future information (Wednesday through Friday price action) into the model's training and testing sets.</w:t>
      </w:r>
    </w:p>
    <w:p w14:paraId="4CFAB14A" w14:textId="77777777" w:rsidR="00031292" w:rsidRDefault="00000000">
      <w:pPr>
        <w:spacing w:after="60"/>
        <w:ind w:left="432"/>
      </w:pPr>
      <w:r>
        <w:rPr>
          <w:b/>
        </w:rPr>
        <w:t>Defense &amp; Resolution:</w:t>
      </w:r>
    </w:p>
    <w:p w14:paraId="48705087" w14:textId="77777777" w:rsidR="00031292" w:rsidRDefault="00000000">
      <w:pPr>
        <w:spacing w:after="80"/>
      </w:pPr>
      <w:r>
        <w:t xml:space="preserve">The </w:t>
      </w:r>
      <w:r>
        <w:rPr>
          <w:rFonts w:ascii="Consolas" w:hAnsi="Consolas"/>
          <w:sz w:val="19"/>
        </w:rPr>
        <w:t>COTFetcher</w:t>
      </w:r>
      <w:r>
        <w:t xml:space="preserve"> pipeline shifts the raw data date:</w:t>
      </w:r>
    </w:p>
    <w:p w14:paraId="17CE336C" w14:textId="77777777" w:rsidR="00031292" w:rsidRDefault="00000000">
      <w:pPr>
        <w:spacing w:after="80"/>
      </w:pPr>
      <m:oMathPara>
        <m:oMath>
          <m:r>
            <w:rPr>
              <w:rFonts w:ascii="Cambria Math" w:eastAsia="Cambria Math" w:hAnsi="Cambria Math" w:cs="Cambria Math"/>
            </w:rPr>
            <m:t>Dat</m:t>
          </m:r>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aligned</m:t>
              </m:r>
            </m:sub>
          </m:sSub>
          <m:r>
            <w:rPr>
              <w:rFonts w:ascii="Cambria Math" w:eastAsia="Cambria Math" w:hAnsi="Cambria Math" w:cs="Cambria Math"/>
            </w:rPr>
            <m:t>=Dat</m:t>
          </m:r>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Tuesday</m:t>
              </m:r>
            </m:sub>
          </m:sSub>
          <m:r>
            <w:rPr>
              <w:rFonts w:ascii="Cambria Math" w:eastAsia="Cambria Math" w:hAnsi="Cambria Math" w:cs="Cambria Math"/>
            </w:rPr>
            <m:t>+3</m:t>
          </m:r>
          <m:r>
            <m:rPr>
              <m:nor/>
            </m:rPr>
            <w:rPr>
              <w:rFonts w:ascii="Cambria Math" w:eastAsia="Cambria Math" w:hAnsi="Cambria Math" w:cs="Cambria Math"/>
            </w:rPr>
            <m:t> days</m:t>
          </m:r>
        </m:oMath>
      </m:oMathPara>
    </w:p>
    <w:p w14:paraId="5C976AAF" w14:textId="77777777" w:rsidR="00031292" w:rsidRDefault="00000000">
      <w:pPr>
        <w:spacing w:after="80"/>
      </w:pPr>
      <w:r>
        <w:t xml:space="preserve">The COT dataset is merged into the daily database using the Friday date. Data for Saturday through the next Thursday is forward-filled using </w:t>
      </w:r>
      <w:r>
        <w:rPr>
          <w:rFonts w:ascii="Consolas" w:hAnsi="Consolas"/>
          <w:sz w:val="19"/>
        </w:rPr>
        <w:t>ffill()</w:t>
      </w:r>
      <w:r>
        <w:t>. This ensures that the model only trains on, and infers from, the COT data starting on the day it was publicly released (Friday evening), completely eliminating look-ahead data leakage.</w:t>
      </w:r>
    </w:p>
    <w:p w14:paraId="37E49B1C" w14:textId="77777777" w:rsidR="00031292" w:rsidRDefault="00000000">
      <w:pPr>
        <w:spacing w:before="240"/>
      </w:pPr>
      <w:r>
        <w:rPr>
          <w:b/>
          <w:color w:val="4A5568"/>
          <w:sz w:val="23"/>
        </w:rPr>
        <w:t>Critique 4: Auto-Healing Database Vulnerability</w:t>
      </w:r>
    </w:p>
    <w:p w14:paraId="581F4B5A" w14:textId="77777777" w:rsidR="00031292" w:rsidRDefault="00000000">
      <w:pPr>
        <w:spacing w:after="60"/>
        <w:ind w:left="432"/>
      </w:pPr>
      <w:r>
        <w:rPr>
          <w:b/>
        </w:rPr>
        <w:t>Critique:</w:t>
      </w:r>
      <w:r>
        <w:t xml:space="preserve"> Overwriting the DuckDB database automatically with the backup CSV files during an auto-healing process can propagate corrupt data if a fetcher script writes garbage to the CSV.</w:t>
      </w:r>
    </w:p>
    <w:p w14:paraId="439A8ECA" w14:textId="77777777" w:rsidR="00031292" w:rsidRDefault="00000000">
      <w:pPr>
        <w:spacing w:after="60"/>
        <w:ind w:left="432"/>
      </w:pPr>
      <w:r>
        <w:rPr>
          <w:b/>
        </w:rPr>
        <w:t>Defense &amp; Resolution:</w:t>
      </w:r>
    </w:p>
    <w:p w14:paraId="1B64C615" w14:textId="77777777" w:rsidR="00031292" w:rsidRDefault="00000000">
      <w:pPr>
        <w:spacing w:after="80"/>
      </w:pPr>
      <w:r>
        <w:t>The system enforces strict data-integrity checks. In Phase 6, the total replacement pattern:</w:t>
      </w:r>
    </w:p>
    <w:p w14:paraId="040FE049" w14:textId="77777777" w:rsidR="00031292" w:rsidRDefault="00000000">
      <w:pPr>
        <w:spacing w:after="80"/>
      </w:pPr>
      <w:r>
        <w:rPr>
          <w:rFonts w:ascii="Consolas" w:hAnsi="Consolas"/>
          <w:sz w:val="19"/>
        </w:rPr>
        <w:t>CREATE OR REPLACE TABLE</w:t>
      </w:r>
    </w:p>
    <w:p w14:paraId="701BFD06" w14:textId="77777777" w:rsidR="00031292" w:rsidRDefault="00000000">
      <w:pPr>
        <w:spacing w:after="80"/>
      </w:pPr>
      <w:r>
        <w:t>will be updated to an append-only, immutable transaction log. New daily data is appended only if it passes structural validation gates (e.g., checking if features contain NaNs, verifying that prices are positive, and confirming that the daily change is within historical limits). Auto-healing is restricted to syncing missing rows, never overwriting historical entries.</w:t>
      </w:r>
    </w:p>
    <w:p w14:paraId="7CC6CB55" w14:textId="77777777" w:rsidR="00031292" w:rsidRDefault="00000000">
      <w:pPr>
        <w:spacing w:before="240"/>
      </w:pPr>
      <w:r>
        <w:rPr>
          <w:b/>
          <w:color w:val="4A5568"/>
          <w:sz w:val="23"/>
        </w:rPr>
        <w:t>Critique 5: CEO Layer Narrative Confirmation Bias</w:t>
      </w:r>
    </w:p>
    <w:p w14:paraId="71737B54" w14:textId="77777777" w:rsidR="00031292" w:rsidRDefault="00000000">
      <w:pPr>
        <w:spacing w:after="60"/>
        <w:ind w:left="432"/>
      </w:pPr>
      <w:r>
        <w:rPr>
          <w:b/>
        </w:rPr>
        <w:t>Critique:</w:t>
      </w:r>
      <w:r>
        <w:t xml:space="preserve"> Generating news narratives through an LLM can introduce confirmation bias, causing the user to trust a qualitative narrative over quantitative signals.</w:t>
      </w:r>
    </w:p>
    <w:p w14:paraId="764F44AA" w14:textId="77777777" w:rsidR="00031292" w:rsidRDefault="00000000">
      <w:pPr>
        <w:spacing w:after="60"/>
        <w:ind w:left="432"/>
      </w:pPr>
      <w:r>
        <w:rPr>
          <w:b/>
        </w:rPr>
        <w:t>Defense &amp; Resolution:</w:t>
      </w:r>
    </w:p>
    <w:p w14:paraId="5A0A3766" w14:textId="77777777" w:rsidR="00031292" w:rsidRDefault="00000000">
      <w:pPr>
        <w:spacing w:after="60"/>
        <w:ind w:left="432"/>
      </w:pPr>
      <w:r>
        <w:t xml:space="preserve">The CEO Layer cannot override the models. It only modulates the expected returns by a maximum of 10% (drift multiplier </w:t>
      </w:r>
      <m:oMath>
        <m:r>
          <w:rPr>
            <w:rFonts w:ascii="Cambria Math" w:eastAsia="Cambria Math" w:hAnsi="Cambria Math" w:cs="Cambria Math"/>
          </w:rPr>
          <m:t>δ∈[0.90,1.10]</m:t>
        </m:r>
      </m:oMath>
      <w:r>
        <w:t>).</w:t>
      </w:r>
    </w:p>
    <w:p w14:paraId="54FC37D1" w14:textId="77777777" w:rsidR="00031292" w:rsidRDefault="00000000">
      <w:pPr>
        <w:spacing w:after="60"/>
        <w:ind w:left="432"/>
      </w:pPr>
      <w:r>
        <w:t xml:space="preserve">The system implements the </w:t>
      </w:r>
      <w:r>
        <w:rPr>
          <w:rFonts w:ascii="Consolas" w:hAnsi="Consolas"/>
          <w:sz w:val="19"/>
        </w:rPr>
        <w:t>CounterfactualLogger</w:t>
      </w:r>
      <w:r>
        <w:t xml:space="preserve">. By tracking baseline and contextual forecasts in parallel, the dashboard shows the real-time Hit Ratio Delta. If the LLM narrative </w:t>
      </w:r>
      <w:r>
        <w:lastRenderedPageBreak/>
        <w:t>degrades performance, the delta falls below zero, alerting the user with empirical evidence that the CEO Layer is not adding value.</w:t>
      </w:r>
    </w:p>
    <w:p w14:paraId="6AF63F1D" w14:textId="77777777" w:rsidR="00031292" w:rsidRDefault="00000000">
      <w:pPr>
        <w:spacing w:before="320"/>
      </w:pPr>
      <w:r>
        <w:rPr>
          <w:b/>
          <w:color w:val="2C5282"/>
          <w:sz w:val="26"/>
        </w:rPr>
        <w:t>DESIGN FOR AN OUT-OF-DISTRIBUTION (OOD) ANOMALY GATE</w:t>
      </w:r>
    </w:p>
    <w:p w14:paraId="03E034D9" w14:textId="77777777" w:rsidR="00031292" w:rsidRDefault="00000000">
      <w:pPr>
        <w:spacing w:after="80"/>
      </w:pPr>
      <w:r>
        <w:t>When a black swan event occurs (such as sudden exchange closures, extreme liquidity contraction, or geopolitical stress that breaks historical correlations), traditional macroeconomic models will output invalid predictions. To prevent the system from generating signals during market crises, we design an Out-of-Distribution (OOD) Anomaly Gate &amp; Circuit Breaker to run at the front of the daily inference pipeline:</w:t>
      </w:r>
    </w:p>
    <w:p w14:paraId="4B581F4E" w14:textId="77777777" w:rsidR="00031292" w:rsidRDefault="00000000">
      <w:pPr>
        <w:spacing w:before="240"/>
      </w:pPr>
      <w:r>
        <w:rPr>
          <w:b/>
          <w:color w:val="4A5568"/>
          <w:sz w:val="23"/>
        </w:rPr>
        <w:t>Input Anomaly Vector</w:t>
      </w:r>
    </w:p>
    <w:p w14:paraId="0EB5CF34" w14:textId="77777777" w:rsidR="00031292" w:rsidRDefault="00000000">
      <w:pPr>
        <w:spacing w:after="80"/>
      </w:pPr>
      <w:r>
        <w:t xml:space="preserve">Let </w:t>
      </w:r>
      <m:oMath>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t</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k</m:t>
            </m:r>
          </m:sub>
        </m:sSub>
        <m:r>
          <w:rPr>
            <w:rFonts w:ascii="Cambria Math" w:eastAsia="Cambria Math" w:hAnsi="Cambria Math" w:cs="Cambria Math"/>
          </w:rPr>
          <m:t>]</m:t>
        </m:r>
      </m:oMath>
      <w:r>
        <w:t xml:space="preserve"> be the vector of frequency-aware Z-scores for the </w:t>
      </w:r>
      <m:oMath>
        <m:r>
          <w:rPr>
            <w:rFonts w:ascii="Cambria Math" w:eastAsia="Cambria Math" w:hAnsi="Cambria Math" w:cs="Cambria Math"/>
          </w:rPr>
          <m:t>k</m:t>
        </m:r>
      </m:oMath>
      <w:r>
        <w:t xml:space="preserve"> macroeconomic indicators. The system monitors the extreme tail-events:</w:t>
      </w:r>
    </w:p>
    <w:p w14:paraId="6FDAA586" w14:textId="77777777" w:rsidR="00031292" w:rsidRDefault="00000000">
      <w:pPr>
        <w:spacing w:before="200" w:after="200"/>
        <w:jc w:val="center"/>
      </w:pPr>
      <m:oMathPara>
        <m:oMath>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extreme,i</m:t>
              </m:r>
            </m:sub>
          </m:sSub>
          <m:r>
            <w:rPr>
              <w:rFonts w:ascii="Cambria Math" w:eastAsia="Cambria Math" w:hAnsi="Cambria Math" w:cs="Cambria Math"/>
            </w:rPr>
            <m:t>={</m:t>
          </m:r>
          <m:m>
            <m:mPr>
              <m:plcHide m:val="1"/>
              <m:mcs>
                <m:mc>
                  <m:mcPr>
                    <m:count m:val="2"/>
                    <m:mcJc m:val="center"/>
                  </m:mcPr>
                </m:mc>
              </m:mcs>
              <m:ctrlPr>
                <w:rPr>
                  <w:rFonts w:ascii="Cambria Math" w:hAnsi="Cambria Math"/>
                </w:rPr>
              </m:ctrlPr>
            </m:mPr>
            <m:mr>
              <m:e>
                <m:r>
                  <w:rPr>
                    <w:rFonts w:ascii="Cambria Math" w:eastAsia="Cambria Math" w:hAnsi="Cambria Math" w:cs="Cambria Math"/>
                  </w:rPr>
                  <m:t>1</m:t>
                </m:r>
              </m:e>
              <m:e>
                <m:r>
                  <m:rPr>
                    <m:nor/>
                  </m:rPr>
                  <w:rPr>
                    <w:rFonts w:ascii="Cambria Math" w:eastAsia="Cambria Math" w:hAnsi="Cambria Math" w:cs="Cambria Math"/>
                  </w:rPr>
                  <m:t>if </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i</m:t>
                    </m:r>
                  </m:sub>
                </m:sSub>
                <m:r>
                  <w:rPr>
                    <w:rFonts w:ascii="Cambria Math" w:eastAsia="Cambria Math" w:hAnsi="Cambria Math" w:cs="Cambria Math"/>
                  </w:rPr>
                  <m:t>|&gt;3.0</m:t>
                </m:r>
              </m:e>
            </m:mr>
            <m:mr>
              <m:e>
                <m:r>
                  <w:rPr>
                    <w:rFonts w:ascii="Cambria Math" w:eastAsia="Cambria Math" w:hAnsi="Cambria Math" w:cs="Cambria Math"/>
                  </w:rPr>
                  <m:t>0</m:t>
                </m:r>
              </m:e>
              <m:e>
                <m:r>
                  <m:rPr>
                    <m:nor/>
                  </m:rPr>
                  <w:rPr>
                    <w:rFonts w:ascii="Cambria Math" w:eastAsia="Cambria Math" w:hAnsi="Cambria Math" w:cs="Cambria Math"/>
                  </w:rPr>
                  <m:t>else</m:t>
                </m:r>
              </m:e>
            </m:mr>
          </m:m>
        </m:oMath>
      </m:oMathPara>
    </w:p>
    <w:p w14:paraId="320D0941" w14:textId="77777777" w:rsidR="00031292" w:rsidRDefault="00000000">
      <w:pPr>
        <w:spacing w:after="80"/>
      </w:pPr>
      <w:r>
        <w:t>A Z-score absolute value greater than 3.0 represents a statistical anomaly beyond the 99.7th percentile of the historical distribution (a 3-sigma event).</w:t>
      </w:r>
    </w:p>
    <w:p w14:paraId="3928DAF4" w14:textId="77777777" w:rsidR="00031292" w:rsidRDefault="00000000">
      <w:pPr>
        <w:spacing w:before="240"/>
      </w:pPr>
      <w:r>
        <w:rPr>
          <w:b/>
          <w:color w:val="4A5568"/>
          <w:sz w:val="23"/>
        </w:rPr>
        <w:t>Circuit Breaker Metric (CBM)</w:t>
      </w:r>
    </w:p>
    <w:p w14:paraId="6F64A265" w14:textId="77777777" w:rsidR="00031292" w:rsidRDefault="00000000">
      <w:pPr>
        <w:spacing w:after="80"/>
      </w:pPr>
      <w:r>
        <w:t>The engine calculates the joint anomaly score:</w:t>
      </w:r>
    </w:p>
    <w:p w14:paraId="02B70225" w14:textId="77777777" w:rsidR="00031292" w:rsidRDefault="00000000">
      <w:pPr>
        <w:spacing w:before="200" w:after="200"/>
        <w:jc w:val="center"/>
      </w:pPr>
      <m:oMathPara>
        <m:oMath>
          <m:r>
            <w:rPr>
              <w:rFonts w:ascii="Cambria Math" w:eastAsia="Cambria Math" w:hAnsi="Cambria Math" w:cs="Cambria Math"/>
            </w:rPr>
            <m:t>CB</m:t>
          </m:r>
          <m:sSub>
            <m:sSubPr>
              <m:ctrlPr>
                <w:rPr>
                  <w:rFonts w:ascii="Cambria Math" w:hAnsi="Cambria Math"/>
                </w:rPr>
              </m:ctrlPr>
            </m:sSubPr>
            <m:e>
              <m:r>
                <w:rPr>
                  <w:rFonts w:ascii="Cambria Math" w:eastAsia="Cambria Math" w:hAnsi="Cambria Math" w:cs="Cambria Math"/>
                </w:rPr>
                <m:t>M</m:t>
              </m:r>
            </m:e>
            <m:sub>
              <m:r>
                <w:rPr>
                  <w:rFonts w:ascii="Cambria Math" w:eastAsia="Cambria Math" w:hAnsi="Cambria Math" w:cs="Cambria Math"/>
                </w:rPr>
                <m:t>t</m:t>
              </m:r>
            </m:sub>
          </m:sSub>
          <m:r>
            <w:rPr>
              <w:rFonts w:ascii="Cambria Math" w:eastAsia="Cambria Math" w:hAnsi="Cambria Math" w:cs="Cambria Math"/>
            </w:rPr>
            <m:t>=</m:t>
          </m:r>
          <m:nary>
            <m:naryPr>
              <m:chr m:val="∑"/>
              <m:limLoc m:val="subSup"/>
              <m:grow m:val="1"/>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k</m:t>
              </m:r>
            </m:sup>
            <m:e/>
          </m:nary>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extreme,i</m:t>
              </m:r>
            </m:sub>
          </m:sSub>
        </m:oMath>
      </m:oMathPara>
    </w:p>
    <w:p w14:paraId="41D9E5E3" w14:textId="77777777" w:rsidR="00031292" w:rsidRDefault="00000000">
      <w:pPr>
        <w:spacing w:after="80"/>
      </w:pPr>
      <w:r>
        <w:t>Additionally, it monitors systemic volatility spikes:</w:t>
      </w:r>
    </w:p>
    <w:p w14:paraId="5F5501E4" w14:textId="77777777" w:rsidR="00031292" w:rsidRDefault="00000000">
      <w:pPr>
        <w:spacing w:before="200" w:after="200"/>
        <w:jc w:val="center"/>
      </w:pPr>
      <m:oMathPara>
        <m:oMath>
          <m:r>
            <w:rPr>
              <w:rFonts w:ascii="Cambria Math" w:eastAsia="Cambria Math" w:hAnsi="Cambria Math" w:cs="Cambria Math"/>
            </w:rPr>
            <m:t>Volatilit</m:t>
          </m:r>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Flag</m:t>
              </m:r>
            </m:sub>
          </m:sSub>
          <m:r>
            <w:rPr>
              <w:rFonts w:ascii="Cambria Math" w:eastAsia="Cambria Math" w:hAnsi="Cambria Math" w:cs="Cambria Math"/>
            </w:rPr>
            <m:t>=</m:t>
          </m:r>
          <m:r>
            <m:rPr>
              <m:nor/>
            </m:rPr>
            <w:rPr>
              <w:rFonts w:ascii="Cambria Math" w:eastAsia="Cambria Math" w:hAnsi="Cambria Math" w:cs="Cambria Math"/>
            </w:rPr>
            <m:t>True if </m:t>
          </m:r>
          <m:r>
            <w:rPr>
              <w:rFonts w:ascii="Cambria Math" w:eastAsia="Cambria Math" w:hAnsi="Cambria Math" w:cs="Cambria Math"/>
            </w:rPr>
            <m:t>(VI</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t</m:t>
              </m:r>
            </m:sub>
          </m:sSub>
          <m:r>
            <w:rPr>
              <w:rFonts w:ascii="Cambria Math" w:eastAsia="Cambria Math" w:hAnsi="Cambria Math" w:cs="Cambria Math"/>
            </w:rPr>
            <m:t>&gt;VI</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99th_percentile</m:t>
              </m:r>
            </m:sub>
          </m:sSub>
          <m:r>
            <m:rPr>
              <m:nor/>
            </m:rPr>
            <w:rPr>
              <w:rFonts w:ascii="Cambria Math" w:eastAsia="Cambria Math" w:hAnsi="Cambria Math" w:cs="Cambria Math"/>
            </w:rPr>
            <m:t> or </m:t>
          </m:r>
          <m:r>
            <w:rPr>
              <w:rFonts w:ascii="Cambria Math" w:eastAsia="Cambria Math" w:hAnsi="Cambria Math" w:cs="Cambria Math"/>
            </w:rPr>
            <m:t>DVO</m:t>
          </m:r>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t</m:t>
              </m:r>
            </m:sub>
          </m:sSub>
          <m:r>
            <w:rPr>
              <w:rFonts w:ascii="Cambria Math" w:eastAsia="Cambria Math" w:hAnsi="Cambria Math" w:cs="Cambria Math"/>
            </w:rPr>
            <m:t>&gt;DVO</m:t>
          </m:r>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99th_percentile</m:t>
              </m:r>
            </m:sub>
          </m:sSub>
          <m:r>
            <w:rPr>
              <w:rFonts w:ascii="Cambria Math" w:eastAsia="Cambria Math" w:hAnsi="Cambria Math" w:cs="Cambria Math"/>
            </w:rPr>
            <m:t>)</m:t>
          </m:r>
        </m:oMath>
      </m:oMathPara>
    </w:p>
    <w:p w14:paraId="5B368329" w14:textId="77777777" w:rsidR="00031292" w:rsidRDefault="00000000">
      <w:pPr>
        <w:spacing w:before="240"/>
      </w:pPr>
      <w:r>
        <w:rPr>
          <w:b/>
          <w:color w:val="4A5568"/>
          <w:sz w:val="23"/>
        </w:rPr>
        <w:t>Trigger Rules</w:t>
      </w:r>
    </w:p>
    <w:p w14:paraId="555294FC" w14:textId="77777777" w:rsidR="00031292" w:rsidRDefault="00000000">
      <w:pPr>
        <w:spacing w:after="80"/>
      </w:pPr>
      <w:r>
        <w:t xml:space="preserve">If </w:t>
      </w:r>
      <m:oMath>
        <m:r>
          <w:rPr>
            <w:rFonts w:ascii="Cambria Math" w:eastAsia="Cambria Math" w:hAnsi="Cambria Math" w:cs="Cambria Math"/>
          </w:rPr>
          <m:t>CB</m:t>
        </m:r>
        <m:sSub>
          <m:sSubPr>
            <m:ctrlPr>
              <w:rPr>
                <w:rFonts w:ascii="Cambria Math" w:hAnsi="Cambria Math"/>
              </w:rPr>
            </m:ctrlPr>
          </m:sSubPr>
          <m:e>
            <m:r>
              <w:rPr>
                <w:rFonts w:ascii="Cambria Math" w:eastAsia="Cambria Math" w:hAnsi="Cambria Math" w:cs="Cambria Math"/>
              </w:rPr>
              <m:t>M</m:t>
            </m:r>
          </m:e>
          <m:sub>
            <m:r>
              <w:rPr>
                <w:rFonts w:ascii="Cambria Math" w:eastAsia="Cambria Math" w:hAnsi="Cambria Math" w:cs="Cambria Math"/>
              </w:rPr>
              <m:t>t</m:t>
            </m:r>
          </m:sub>
        </m:sSub>
        <m:r>
          <w:rPr>
            <w:rFonts w:ascii="Cambria Math" w:eastAsia="Cambria Math" w:hAnsi="Cambria Math" w:cs="Cambria Math"/>
          </w:rPr>
          <m:t>≥3</m:t>
        </m:r>
      </m:oMath>
      <w:r>
        <w:t xml:space="preserve"> (three or more macro indicators are simultaneously in their extreme tails) OR </w:t>
      </w:r>
      <w:r>
        <w:rPr>
          <w:rFonts w:ascii="Consolas" w:hAnsi="Consolas"/>
          <w:sz w:val="19"/>
        </w:rPr>
        <w:t>Volatility_Flag</w:t>
      </w:r>
      <w:r>
        <w:t xml:space="preserve"> is True, the system triggers the </w:t>
      </w:r>
      <w:r>
        <w:rPr>
          <w:b/>
        </w:rPr>
        <w:t>OOD Circuit Breaker</w:t>
      </w:r>
      <w:r>
        <w:t>:</w:t>
      </w:r>
    </w:p>
    <w:p w14:paraId="5C2A6043" w14:textId="77777777" w:rsidR="00031292" w:rsidRDefault="00000000">
      <w:pPr>
        <w:spacing w:after="60"/>
        <w:ind w:left="432"/>
      </w:pPr>
      <w:r>
        <w:rPr>
          <w:b/>
        </w:rPr>
        <w:t>Signal Override:</w:t>
      </w:r>
      <w:r>
        <w:t xml:space="preserve"> All BUY/SELL signals are forced to </w:t>
      </w:r>
      <w:r>
        <w:rPr>
          <w:b/>
        </w:rPr>
        <w:t>HOLD/NEUTRAL</w:t>
      </w:r>
      <w:r>
        <w:t>.</w:t>
      </w:r>
    </w:p>
    <w:p w14:paraId="60BBC693" w14:textId="77777777" w:rsidR="00031292" w:rsidRDefault="00000000">
      <w:pPr>
        <w:spacing w:after="60"/>
        <w:ind w:left="432"/>
      </w:pPr>
      <w:r>
        <w:rPr>
          <w:b/>
        </w:rPr>
        <w:t>Predictor Suspension:</w:t>
      </w:r>
      <w:r>
        <w:t xml:space="preserve"> The expected return trajectory is flattened to 0.0 (horizontal line at close price), and the Monte Carlo volatility bands are expanded to their maximum theoretical limits.</w:t>
      </w:r>
    </w:p>
    <w:p w14:paraId="1EBDE63F" w14:textId="77777777" w:rsidR="00031292" w:rsidRDefault="00000000">
      <w:pPr>
        <w:spacing w:after="60"/>
        <w:ind w:left="432"/>
      </w:pPr>
      <w:r>
        <w:rPr>
          <w:b/>
        </w:rPr>
        <w:t>System Warning:</w:t>
      </w:r>
      <w:r>
        <w:t xml:space="preserve"> The Streamlit UI displays a warning:</w:t>
      </w:r>
    </w:p>
    <w:p w14:paraId="7636C77D" w14:textId="77777777" w:rsidR="00031292" w:rsidRDefault="00000000">
      <w:pPr>
        <w:spacing w:after="80"/>
      </w:pPr>
      <w:r>
        <w:t>"CRITICAL: Out-of-Distribution (OOD) Market State Detected. Implied volatility or macroeconomic anomalies have exceeded the 99th percentile threshold. Quantitative models are suspended to protect capital."</w:t>
      </w:r>
    </w:p>
    <w:p w14:paraId="6668E60F" w14:textId="1C3A3106" w:rsidR="00031292" w:rsidRDefault="00000000" w:rsidP="0098589A">
      <w:pPr>
        <w:spacing w:after="80"/>
      </w:pPr>
      <w:r>
        <w:t>This ensures that the terminal knows how to "stay silent" during black swan events rather than forcing invalid quantitative predictions on a broken market.</w:t>
      </w:r>
    </w:p>
    <w:sectPr w:rsidR="0003129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6254523">
    <w:abstractNumId w:val="8"/>
  </w:num>
  <w:num w:numId="2" w16cid:durableId="558250845">
    <w:abstractNumId w:val="6"/>
  </w:num>
  <w:num w:numId="3" w16cid:durableId="497618105">
    <w:abstractNumId w:val="5"/>
  </w:num>
  <w:num w:numId="4" w16cid:durableId="1252616069">
    <w:abstractNumId w:val="4"/>
  </w:num>
  <w:num w:numId="5" w16cid:durableId="1630160165">
    <w:abstractNumId w:val="7"/>
  </w:num>
  <w:num w:numId="6" w16cid:durableId="1023289503">
    <w:abstractNumId w:val="3"/>
  </w:num>
  <w:num w:numId="7" w16cid:durableId="844133788">
    <w:abstractNumId w:val="2"/>
  </w:num>
  <w:num w:numId="8" w16cid:durableId="1676375052">
    <w:abstractNumId w:val="1"/>
  </w:num>
  <w:num w:numId="9" w16cid:durableId="462847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292"/>
    <w:rsid w:val="00034616"/>
    <w:rsid w:val="0006063C"/>
    <w:rsid w:val="0015074B"/>
    <w:rsid w:val="0029639D"/>
    <w:rsid w:val="00326F90"/>
    <w:rsid w:val="00393A85"/>
    <w:rsid w:val="007E059A"/>
    <w:rsid w:val="009858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998BE8"/>
  <w14:defaultImageDpi w14:val="300"/>
  <w15:docId w15:val="{6955AB97-C0CE-485E-B352-E8CF0B311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44</Pages>
  <Words>11795</Words>
  <Characters>67236</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PPTI 59 Kenzo Ozora D</cp:lastModifiedBy>
  <cp:revision>3</cp:revision>
  <dcterms:created xsi:type="dcterms:W3CDTF">2013-12-23T23:15:00Z</dcterms:created>
  <dcterms:modified xsi:type="dcterms:W3CDTF">2026-05-25T12:08:00Z</dcterms:modified>
  <cp:category/>
</cp:coreProperties>
</file>