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7CDDD" w14:textId="16C8B4A5" w:rsidR="00BF729B" w:rsidRPr="00A725CE" w:rsidRDefault="00A725CE" w:rsidP="00A725CE">
      <w:r w:rsidRPr="00A725CE">
        <w:t>Methods</w:t>
      </w:r>
    </w:p>
    <w:p w14:paraId="24C9C905" w14:textId="7BB8C2E1" w:rsidR="009536B1" w:rsidRDefault="009536B1" w:rsidP="00A725CE">
      <w:pPr>
        <w:jc w:val="both"/>
        <w:rPr>
          <w:rFonts w:cs="Times New Roman"/>
        </w:rPr>
      </w:pPr>
      <w:r>
        <w:rPr>
          <w:i/>
          <w:iCs/>
        </w:rPr>
        <w:t xml:space="preserve">Power analysis: </w:t>
      </w:r>
      <w:r>
        <w:t xml:space="preserve">We conducted a power analysis to determine the number of subjects required to detect differences between three separate groups in a one-way ANOVA using a power of 0.90 and an </w:t>
      </w:r>
      <w:r>
        <w:rPr>
          <w:rFonts w:ascii="Times New Roman" w:hAnsi="Times New Roman" w:cs="Times New Roman"/>
        </w:rPr>
        <w:t xml:space="preserve">α </w:t>
      </w:r>
      <w:r w:rsidRPr="009536B1">
        <w:rPr>
          <w:rFonts w:cs="Times New Roman"/>
        </w:rPr>
        <w:t>of 0.05.</w:t>
      </w:r>
      <w:r>
        <w:rPr>
          <w:rFonts w:ascii="Times New Roman" w:hAnsi="Times New Roman" w:cs="Times New Roman"/>
        </w:rPr>
        <w:t xml:space="preserve"> </w:t>
      </w:r>
      <w:r w:rsidR="00BC2F22">
        <w:rPr>
          <w:rFonts w:cs="Times New Roman"/>
        </w:rPr>
        <w:t xml:space="preserve">We based our effect size on data for final step length asymmetry </w:t>
      </w:r>
      <w:r w:rsidR="00BC2F22">
        <w:rPr>
          <w:rFonts w:cs="Times New Roman"/>
        </w:rPr>
        <w:fldChar w:fldCharType="begin"/>
      </w:r>
      <w:r w:rsidR="00BC2F22">
        <w:rPr>
          <w:rFonts w:cs="Times New Roman"/>
        </w:rPr>
        <w:instrText xml:space="preserve"> ADDIN ZOTERO_ITEM CSL_CITATION {"citationID":"QwXi8QBX","properties":{"formattedCitation":"(Sombric and Torres-Oviedo 2019)","plainCitation":"(Sombric and Torres-Oviedo 2019)","noteIndex":0},"citationItems":[{"id":1466,"uris":["http://zotero.org/users/5902728/items/EFE786VK"],"itemData":{"id":1466,"type":"article-journal","abstract":"Background Promising studies have shown that the mobility of individuals with hemiparesis due to brain lesions, such as stroke, can improve through motor adaptation protocols forcing patients to use their affected limb more. However, little is known about how to facilitate this process. Here we asked if increasing propulsion demands during split-belt walking (i.e., legs moving at different speeds) leads to more motor adaptation and more symmetric gait in survivors of a stroke, as we previously observed in subjects without neurological disorders. Methods We investigated the effect of propulsion forces on locomotor adaptation during and after split-belt walking in the asymmetric motor system post-stroke. To test this, 12 subjects in the chronic phase post-stroke experienced a split-belt protocol in a flat and incline session so as to contrast the effects of two different propulsion demands. Step length asymmetry and propulsion forces were used to compare the motor behavior between the two sessions because these are clinically relevant measures that are altered by split-belt walking. Results The incline session resulted in more symmetric step lengths during late split-belt walking and larger after-effects following split-belt walking. In both testing sessions, subjects who have had a stroke adapted to regain speed and slope-specific leg orientations similarly to young, intact adults. Importantly, leg orientations during baseline walking were predictive of those achieved during split-belt walking, which in turn predicted each individual’s post-adaptation behavior. Conclusion These results indicated that survivors of a stroke can adapt their movements to meet leg-specific kinetic demands. This promising finding suggests that augmenting propulsion demands during split-belt walking could favor symmetric walking in individuals who had a stroke, possibly making split-belt interventions a more effective gait rehabilitation strategy.","container-title":"bioRxiv","DOI":"10.1101/734749","page":"null","title":"Augmenting propulsion demands during split-belt walking increases locomotor adaptation in the asymmetric motor system","volume":"null","author":[{"family":"Sombric","given":"Carly J."},{"family":"Torres-Oviedo","given":"G."}],"issued":{"date-parts":[["2019"]]}}}],"schema":"https://github.com/citation-style-language/schema/raw/master/csl-citation.json"} </w:instrText>
      </w:r>
      <w:r w:rsidR="00BC2F22">
        <w:rPr>
          <w:rFonts w:cs="Times New Roman"/>
        </w:rPr>
        <w:fldChar w:fldCharType="separate"/>
      </w:r>
      <w:r w:rsidR="00BC2F22" w:rsidRPr="00BC2F22">
        <w:rPr>
          <w:rFonts w:ascii="Aptos" w:hAnsi="Aptos"/>
        </w:rPr>
        <w:t>(Sombric and Torres-Oviedo 2019)</w:t>
      </w:r>
      <w:r w:rsidR="00BC2F22">
        <w:rPr>
          <w:rFonts w:cs="Times New Roman"/>
        </w:rPr>
        <w:fldChar w:fldCharType="end"/>
      </w:r>
      <w:r w:rsidR="00BC2F22">
        <w:rPr>
          <w:rFonts w:cs="Times New Roman"/>
        </w:rPr>
        <w:t xml:space="preserve"> an</w:t>
      </w:r>
      <w:r w:rsidR="00AD5739">
        <w:rPr>
          <w:rFonts w:cs="Times New Roman"/>
        </w:rPr>
        <w:t xml:space="preserve">d strides to plateau </w:t>
      </w:r>
      <w:r w:rsidR="00AD5739">
        <w:rPr>
          <w:rFonts w:cs="Times New Roman"/>
        </w:rPr>
        <w:fldChar w:fldCharType="begin"/>
      </w:r>
      <w:r w:rsidR="00AD5739">
        <w:rPr>
          <w:rFonts w:cs="Times New Roman"/>
        </w:rPr>
        <w:instrText xml:space="preserve"> ADDIN ZOTERO_ITEM CSL_CITATION {"citationID":"QVFXVBke","properties":{"formattedCitation":"(Malone and Bastian 2016)","plainCitation":"(Malone and Bastian 2016)","noteIndex":0},"citationItems":[{"id":1467,"uris":["http://zotero.org/users/5902728/items/9TWXJA26"],"itemData":{"id":1467,"type":"article-journal","abstract":"S2 TL;DR: The results demonstrate that the healthy aging process is one component that weakens motor memories during rest breaks and that this phenomenon cannot be explained solely by reliance on a conscious strategy in older adults.","container-title":"Neurobiology of Learning and Memory","DOI":"10.1016/j.nlm.2015.11.003","note":"PMID: 26589520","page":"1-6","title":"Age-related forgetting in locomotor adaptation","volume":"128","author":[{"family":"Malone","given":"L."},{"family":"Bastian","given":"A."}],"issued":{"date-parts":[["2016"]]}}}],"schema":"https://github.com/citation-style-language/schema/raw/master/csl-citation.json"} </w:instrText>
      </w:r>
      <w:r w:rsidR="00AD5739">
        <w:rPr>
          <w:rFonts w:cs="Times New Roman"/>
        </w:rPr>
        <w:fldChar w:fldCharType="separate"/>
      </w:r>
      <w:r w:rsidR="00AD5739" w:rsidRPr="00AD5739">
        <w:rPr>
          <w:rFonts w:ascii="Aptos" w:hAnsi="Aptos"/>
        </w:rPr>
        <w:t>(Malone and Bastian 2016)</w:t>
      </w:r>
      <w:r w:rsidR="00AD5739">
        <w:rPr>
          <w:rFonts w:cs="Times New Roman"/>
        </w:rPr>
        <w:fldChar w:fldCharType="end"/>
      </w:r>
      <w:r w:rsidR="00AD5739">
        <w:rPr>
          <w:rFonts w:cs="Times New Roman"/>
        </w:rPr>
        <w:t xml:space="preserve">. </w:t>
      </w:r>
    </w:p>
    <w:p w14:paraId="30845FFE" w14:textId="0CC893B5" w:rsidR="00AD5739" w:rsidRPr="00BC2F22" w:rsidRDefault="00AD5739" w:rsidP="00A725CE">
      <w:pPr>
        <w:jc w:val="both"/>
      </w:pPr>
      <w:r>
        <w:rPr>
          <w:rFonts w:cs="Times New Roman"/>
        </w:rPr>
        <w:t>###</w:t>
      </w:r>
    </w:p>
    <w:p w14:paraId="432D0D3E" w14:textId="469C41A3" w:rsidR="00A725CE" w:rsidRPr="00A725CE" w:rsidRDefault="00A725CE" w:rsidP="00A725CE">
      <w:pPr>
        <w:jc w:val="both"/>
      </w:pPr>
      <w:r w:rsidRPr="00A725CE">
        <w:rPr>
          <w:i/>
          <w:iCs/>
        </w:rPr>
        <w:t xml:space="preserve">Subjects: </w:t>
      </w:r>
      <w:r w:rsidRPr="00A725CE">
        <w:t xml:space="preserve">Participants in the split-belt walking study (n = 45; 24W, 21M) with an average age of 24.5 ± 4.79 (mean ± </w:t>
      </w:r>
      <w:commentRangeStart w:id="0"/>
      <w:r w:rsidRPr="00A725CE">
        <w:t xml:space="preserve">standard </w:t>
      </w:r>
      <w:commentRangeEnd w:id="0"/>
      <w:r w:rsidR="00AD5739">
        <w:rPr>
          <w:rStyle w:val="CommentReference"/>
        </w:rPr>
        <w:commentReference w:id="0"/>
      </w:r>
      <w:r w:rsidRPr="00A725CE">
        <w:t>deviation) years all signed a consent form approved by the Institutional Review Board at the University of Colorado Boulder. Participants were healthy and reported no known neurological or balance disorders and had no recent injuries affecting the lower limb. All participants were compensated for their time. Participants were evenly divided into randomly assigned effort conditions—high, low, and control—which were differentiated by the additional weight worn in a vest during the task. Three participants were excluded because they were unable to walk comfortably on the treadmill or unable to let go of the handrails during fast tied or split-belt blocks. Ultimately, the three groups (low, high, and control) consisted of 15 participants each. Of the participants in the low or high effort conditions, 22 returned for a second visit within 14 days to repeat the task in the opposite condition (11 participants high- low and 11 participants low – high, see figure 5c).</w:t>
      </w:r>
    </w:p>
    <w:p w14:paraId="3261E3E2" w14:textId="4E38BF9C" w:rsidR="00A725CE" w:rsidRPr="00A725CE" w:rsidRDefault="00A725CE" w:rsidP="00A725CE">
      <w:pPr>
        <w:jc w:val="both"/>
      </w:pPr>
      <w:r w:rsidRPr="00A725CE">
        <w:rPr>
          <w:rStyle w:val="Heading4Char"/>
        </w:rPr>
        <w:t>Experimental setup:</w:t>
      </w:r>
      <w:r w:rsidRPr="00A725CE">
        <w:rPr>
          <w:i/>
          <w:iCs/>
        </w:rPr>
        <w:t xml:space="preserve"> </w:t>
      </w:r>
      <w:r w:rsidRPr="00A725CE">
        <w:t>All participants walked on a treadmill with a separate belt for each foot (</w:t>
      </w:r>
      <w:proofErr w:type="spellStart"/>
      <w:r w:rsidRPr="00A725CE">
        <w:t>Bertec</w:t>
      </w:r>
      <w:proofErr w:type="spellEnd"/>
      <w:r w:rsidRPr="00A725CE">
        <w:t xml:space="preserve"> Instrumented Treadmill). Participants wore a weighted vest which contained no additional weight (control condition), 5% of bodyweight (low effort condition), or 15 % of bodyweight (high effort condition). Weight was added to the vest weight in 1.13 kg (2.5 lbs.) increments, so percentage body weight was rounded down from 5% bodyweight in the low effort condition and rounded up from 15% bodyweight in the high effort condition. Treadmill speeds were always 0.5 m/s (slow speed) or 1.5 m/s (fast speed) and accelerated from a stop at a rate of 0.5 m/s. During tied blocks, the two belts moved at the same speed. During split blocks, one belt </w:t>
      </w:r>
      <w:r w:rsidR="007F6BEB">
        <w:t xml:space="preserve">moved at </w:t>
      </w:r>
      <w:r w:rsidRPr="00A725CE">
        <w:t xml:space="preserve">the fast speed while the other </w:t>
      </w:r>
      <w:r w:rsidR="007F6BEB">
        <w:t xml:space="preserve">moved at </w:t>
      </w:r>
      <w:r w:rsidRPr="00A725CE">
        <w:t>the slow speed. Participants were randomly assigned a “fast leg,” right or left, and the assignments were kept even within groups. For participants who visited the lab twice and completed the task in high effort and low effort conditions, the order of conditions was counterbalanced</w:t>
      </w:r>
      <w:r w:rsidR="007F6BEB">
        <w:t xml:space="preserve"> </w:t>
      </w:r>
      <w:r w:rsidR="00E77E61">
        <w:t>while</w:t>
      </w:r>
      <w:r w:rsidR="007F6BEB">
        <w:t xml:space="preserve"> participants’ “fast leg” was consistent between visits</w:t>
      </w:r>
      <w:r w:rsidR="00E77E61">
        <w:t xml:space="preserve"> so that any observed changes in learning </w:t>
      </w:r>
      <w:r w:rsidR="008C17FB">
        <w:t>would not be confounded with differences in generalization</w:t>
      </w:r>
      <w:r w:rsidRPr="00A725CE">
        <w:t>.</w:t>
      </w:r>
    </w:p>
    <w:p w14:paraId="70701F34" w14:textId="49E5AEFB" w:rsidR="00A725CE" w:rsidRPr="00A725CE" w:rsidRDefault="007F6BEB" w:rsidP="00A725CE">
      <w:pPr>
        <w:jc w:val="both"/>
      </w:pPr>
      <w:r>
        <w:rPr>
          <w:i/>
          <w:iCs/>
        </w:rPr>
        <w:t>Protocol:</w:t>
      </w:r>
      <w:r w:rsidR="00A725CE" w:rsidRPr="00A725CE">
        <w:rPr>
          <w:i/>
          <w:iCs/>
        </w:rPr>
        <w:t xml:space="preserve"> </w:t>
      </w:r>
      <w:r w:rsidR="00A725CE" w:rsidRPr="00A725CE">
        <w:t>Participants completed seven walking blocks with short (less than 30 second) pauses between blocks. Participants were warned of stops or starts by a series of three beeps and instructed to prepare to grab the handrails if needed</w:t>
      </w:r>
      <w:r w:rsidR="008B1D21">
        <w:t>, but let go</w:t>
      </w:r>
      <w:r w:rsidR="00E532D8">
        <w:t xml:space="preserve"> within 5 seconds of the trial starting to </w:t>
      </w:r>
      <w:r w:rsidR="008F0000">
        <w:t>minimize</w:t>
      </w:r>
      <w:r w:rsidR="00E532D8">
        <w:t xml:space="preserve"> effects of handrail </w:t>
      </w:r>
      <w:r w:rsidR="008F0000">
        <w:t xml:space="preserve">grasping on the adaptation process </w:t>
      </w:r>
      <w:r w:rsidR="00DA13C9">
        <w:fldChar w:fldCharType="begin"/>
      </w:r>
      <w:r w:rsidR="00DA13C9">
        <w:instrText xml:space="preserve"> ADDIN ZOTERO_ITEM CSL_CITATION {"citationID":"v2RKbCSJ","properties":{"formattedCitation":"(Buurke et al. 2019)","plainCitation":"(Buurke et al. 2019)","noteIndex":0},"citationItems":[{"id":1078,"uris":["http://zotero.org/users/5902728/items/ASJD2KGI"],"itemData":{"id":1078,"type":"article-journal","abstract":"Treadmills used for gait training in clinical rehabilitation and experimental settings are commonly fitted with handrails to assist or support persons in locomotor tasks. However, the effects of balance support through handrail holding on locomotor learning are unknown. Locomotor learning can be studied on split-belt treadmills, where participants walk on two parallel belts with asymmetric left and right belt speeds, to which they adapt their stepping pattern within a few minutes. The aim of this study was to determine how handrail holding affects the walking pattern during split-belt adaptation and after-effects in able-bodied persons. Fifty healthy young participants in five experimental groups were instructed to hold handrails, swing arms freely throughout the experiment or hold handrails during adaptation and swing arms freely during after-effects. Step length asymmetry and double support asymmetry were measured to assess the spatiotemporal walking pattern. The results showed that holding handrails during split-belt adaptation reduces magnitude of initial perturbation of step length asymmetry and reduces after-effects in step length asymmetry upon return to symmetric belt speeds. The findings of this study imply that balance support during gait training reduces locomotor learning, which should be considered in daily clinical gait practice and future research on locomotor learning.","container-title":"IEEE Transactions on Neural Systems and Rehabilitation Engineering","DOI":"10.1109/TNSRE.2019.2935242","ISSN":"1558-0210","issue":"9","note":"event-title: IEEE Transactions on Neural Systems and Rehabilitation Engineering","page":"1753-1759","source":"IEEE Xplore","title":"Handrail Holding During Treadmill Walking Reduces Locomotor Learning in Able-Bodied Persons","volume":"27","author":[{"family":"Buurke","given":"Tom J. W."},{"family":"Lamoth","given":"Claudine J. C."},{"family":"Woude","given":"Lucas H. V.","non-dropping-particle":"van der"},{"family":"Otter","given":"Rob","non-dropping-particle":"den"}],"issued":{"date-parts":[["2019",9]]}}}],"schema":"https://github.com/citation-style-language/schema/raw/master/csl-citation.json"} </w:instrText>
      </w:r>
      <w:r w:rsidR="00DA13C9">
        <w:fldChar w:fldCharType="separate"/>
      </w:r>
      <w:r w:rsidR="00DA13C9" w:rsidRPr="00DA13C9">
        <w:rPr>
          <w:rFonts w:ascii="Aptos" w:hAnsi="Aptos"/>
        </w:rPr>
        <w:t>(Buurke et al. 2019)</w:t>
      </w:r>
      <w:r w:rsidR="00DA13C9">
        <w:fldChar w:fldCharType="end"/>
      </w:r>
      <w:r w:rsidR="00A725CE" w:rsidRPr="00A725CE">
        <w:t xml:space="preserve">. The first block consisted of 1 minute walking with both belts at slow speed. This was included to help accustom participants to walking on the two separate belts. The second and third blocks were two minutes each tied at the fast and slow speed respectively to record baseline gait parameters during symmetrical walking. During the learning block, the split-belt perturbation (belt ratio 3:1 with speeds at 1.5 m/s and 0.5 m/s) was introduced and remained constant for 10 minutes while participants walked continuously. Following learning, adaptation was washed out during a 15-minute block of continuous walking at the slow speed. During relearning, the belt speeds split again for 10 minutes, keeping fast leg </w:t>
      </w:r>
      <w:r w:rsidR="00A725CE" w:rsidRPr="00A725CE">
        <w:lastRenderedPageBreak/>
        <w:t xml:space="preserve">consistent with the first learning block. Participants finished the task with 2 minutes walking at the tied slow speed to ensure a safe return to overground walking. </w:t>
      </w:r>
    </w:p>
    <w:p w14:paraId="186A0062" w14:textId="2068D8F9" w:rsidR="00A725CE" w:rsidRPr="00A725CE" w:rsidRDefault="00A725CE" w:rsidP="00A725CE">
      <w:pPr>
        <w:jc w:val="both"/>
      </w:pPr>
      <w:r w:rsidRPr="00A725CE">
        <w:rPr>
          <w:rStyle w:val="Heading4Char"/>
        </w:rPr>
        <w:t>Data Collection:</w:t>
      </w:r>
      <w:r w:rsidRPr="00A725CE">
        <w:rPr>
          <w:i/>
          <w:iCs/>
        </w:rPr>
        <w:t xml:space="preserve"> </w:t>
      </w:r>
      <w:r w:rsidRPr="00A725CE">
        <w:t xml:space="preserve">During </w:t>
      </w:r>
      <w:r w:rsidR="00B67E6B">
        <w:t>each block</w:t>
      </w:r>
      <w:r w:rsidRPr="00A725CE">
        <w:t xml:space="preserve"> of the walking task, ground reaction forces and moments were collected via force plates embedded in the treadmill belts at a sampling rate of 1000Hz. Motion capture data based on a Plug-In Gait model with 16 reflective markers placed on the lower body was collected at 100 Hz (Vicon Vero Cameras; Vicon Nexus software). The Plug-In Gait Model, shown for one side of the body </w:t>
      </w:r>
      <w:r w:rsidR="00B67E6B">
        <w:t>i</w:t>
      </w:r>
      <w:r w:rsidRPr="00A725CE">
        <w:t>ncludes markers on the right and left toe, heel, malleolus (ankle), knee, thigh, and anterior and posterior superior iliac crests (pelvis). Data was</w:t>
      </w:r>
      <w:r w:rsidR="00B67E6B">
        <w:t xml:space="preserve"> processed in Vicon Nexus software and </w:t>
      </w:r>
      <w:r w:rsidRPr="00A725CE">
        <w:t xml:space="preserve"> analyzed using custom MATLAB scripts.</w:t>
      </w:r>
    </w:p>
    <w:p w14:paraId="359D780F" w14:textId="77777777" w:rsidR="00A725CE" w:rsidRPr="00A725CE" w:rsidRDefault="00A725CE" w:rsidP="00A725CE">
      <w:pPr>
        <w:jc w:val="both"/>
      </w:pPr>
      <w:r w:rsidRPr="00A725CE">
        <w:rPr>
          <w:rStyle w:val="Heading4Char"/>
        </w:rPr>
        <w:t>Metrics</w:t>
      </w:r>
      <w:r w:rsidRPr="00A725CE">
        <w:rPr>
          <w:i/>
          <w:iCs/>
        </w:rPr>
        <w:t xml:space="preserve">: </w:t>
      </w:r>
      <w:r w:rsidRPr="00A725CE">
        <w:t xml:space="preserve">We will define a stride as the movement between a heel strike and the subsequent heel strike on the same foot. Stance is the movement while the foot is on the ground, starting with a heel strike and finishing with a toe off. Swing is the movement while the foot is in the air, after toe off and before the next heel strike. A step corresponds to the stance and swing for a single leg. Step length (SL) is calculated as the distance between the feet at the time of forward foot heel strike. Step time is the time between heel strikes on opposite feet. </w:t>
      </w:r>
    </w:p>
    <w:p w14:paraId="7513A3B9" w14:textId="77777777" w:rsidR="00A725CE" w:rsidRPr="00A725CE" w:rsidRDefault="00A725CE" w:rsidP="00A725CE">
      <w:pPr>
        <w:jc w:val="both"/>
      </w:pPr>
      <w:r w:rsidRPr="00A725CE">
        <w:t xml:space="preserve">The primary metric for learning in split-belt adaptation is step length asymmetry (SLA), defined as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A725CE" w:rsidRPr="00A725CE" w14:paraId="2F3273E3" w14:textId="77777777" w:rsidTr="00B67E6B">
        <w:trPr>
          <w:trHeight w:val="152"/>
        </w:trPr>
        <w:tc>
          <w:tcPr>
            <w:tcW w:w="750" w:type="pct"/>
          </w:tcPr>
          <w:p w14:paraId="0D7CECF7" w14:textId="77777777" w:rsidR="00A725CE" w:rsidRPr="00A725CE" w:rsidRDefault="00A725CE" w:rsidP="00A725CE">
            <w:pPr>
              <w:jc w:val="both"/>
            </w:pPr>
          </w:p>
          <w:p w14:paraId="0C9B83D8" w14:textId="77777777" w:rsidR="00A725CE" w:rsidRPr="00A725CE" w:rsidRDefault="00A725CE" w:rsidP="00A725CE">
            <w:pPr>
              <w:jc w:val="both"/>
            </w:pPr>
          </w:p>
        </w:tc>
        <w:tc>
          <w:tcPr>
            <w:tcW w:w="3500" w:type="pct"/>
          </w:tcPr>
          <w:p w14:paraId="451DAD37" w14:textId="77777777" w:rsidR="00A725CE" w:rsidRPr="00A725CE" w:rsidRDefault="00A725CE" w:rsidP="00A725CE">
            <w:pPr>
              <w:jc w:val="both"/>
            </w:pPr>
            <m:oMathPara>
              <m:oMath>
                <m:r>
                  <w:rPr>
                    <w:rFonts w:ascii="Cambria Math" w:hAnsi="Cambria Math"/>
                  </w:rPr>
                  <m:t xml:space="preserve">SLA = </m:t>
                </m:r>
                <m:f>
                  <m:fPr>
                    <m:ctrlPr>
                      <w:rPr>
                        <w:rFonts w:ascii="Cambria Math" w:hAnsi="Cambria Math"/>
                        <w:i/>
                      </w:rPr>
                    </m:ctrlPr>
                  </m:fPr>
                  <m:num>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 </m:t>
                    </m:r>
                    <m:sSub>
                      <m:sSubPr>
                        <m:ctrlPr>
                          <w:rPr>
                            <w:rFonts w:ascii="Cambria Math" w:hAnsi="Cambria Math"/>
                            <w:i/>
                          </w:rPr>
                        </m:ctrlPr>
                      </m:sSubPr>
                      <m:e>
                        <m:r>
                          <w:rPr>
                            <w:rFonts w:ascii="Cambria Math" w:hAnsi="Cambria Math"/>
                          </w:rPr>
                          <m:t>SL</m:t>
                        </m:r>
                      </m:e>
                      <m:sub>
                        <m:r>
                          <w:rPr>
                            <w:rFonts w:ascii="Cambria Math" w:hAnsi="Cambria Math"/>
                          </w:rPr>
                          <m:t>slow</m:t>
                        </m:r>
                      </m:sub>
                    </m:sSub>
                  </m:num>
                  <m:den>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m:t>
                    </m:r>
                    <m:sSub>
                      <m:sSubPr>
                        <m:ctrlPr>
                          <w:rPr>
                            <w:rFonts w:ascii="Cambria Math" w:hAnsi="Cambria Math"/>
                            <w:i/>
                          </w:rPr>
                        </m:ctrlPr>
                      </m:sSubPr>
                      <m:e>
                        <m:r>
                          <w:rPr>
                            <w:rFonts w:ascii="Cambria Math" w:hAnsi="Cambria Math"/>
                          </w:rPr>
                          <m:t>SL</m:t>
                        </m:r>
                      </m:e>
                      <m:sub>
                        <m:r>
                          <w:rPr>
                            <w:rFonts w:ascii="Cambria Math" w:hAnsi="Cambria Math"/>
                          </w:rPr>
                          <m:t>slow</m:t>
                        </m:r>
                      </m:sub>
                    </m:sSub>
                  </m:den>
                </m:f>
                <m:r>
                  <w:rPr>
                    <w:rFonts w:ascii="Cambria Math" w:hAnsi="Cambria Math"/>
                  </w:rPr>
                  <m:t>.</m:t>
                </m:r>
              </m:oMath>
            </m:oMathPara>
          </w:p>
        </w:tc>
        <w:tc>
          <w:tcPr>
            <w:tcW w:w="750" w:type="pct"/>
          </w:tcPr>
          <w:p w14:paraId="1E8AF637" w14:textId="4759FD61" w:rsidR="00A725CE" w:rsidRPr="00A725CE" w:rsidRDefault="00A725CE" w:rsidP="00A725CE">
            <w:pPr>
              <w:pStyle w:val="Caption"/>
              <w:jc w:val="right"/>
              <w:rPr>
                <w:i w:val="0"/>
                <w:iCs w:val="0"/>
                <w:szCs w:val="22"/>
              </w:rPr>
            </w:pPr>
            <w:r w:rsidRPr="00A725CE">
              <w:rPr>
                <w:szCs w:val="22"/>
              </w:rPr>
              <w:t xml:space="preserve">Equation </w:t>
            </w:r>
            <w:r w:rsidR="00B67E6B">
              <w:rPr>
                <w:szCs w:val="22"/>
              </w:rPr>
              <w:t>1</w:t>
            </w:r>
          </w:p>
          <w:p w14:paraId="541470A6" w14:textId="77777777" w:rsidR="00A725CE" w:rsidRPr="00A725CE" w:rsidRDefault="00A725CE" w:rsidP="00A725CE">
            <w:pPr>
              <w:keepNext/>
              <w:jc w:val="both"/>
              <w:rPr>
                <w:rFonts w:ascii="Aptos Display" w:eastAsia="Times New Roman" w:hAnsi="Aptos Display" w:cs="Times New Roman"/>
              </w:rPr>
            </w:pPr>
          </w:p>
        </w:tc>
      </w:tr>
    </w:tbl>
    <w:p w14:paraId="3D948E4D" w14:textId="77777777" w:rsidR="00A725CE" w:rsidRPr="00A725CE" w:rsidRDefault="00A725CE" w:rsidP="00A725CE">
      <w:pPr>
        <w:jc w:val="both"/>
      </w:pPr>
      <w:r w:rsidRPr="00A725CE">
        <w:t>Step length asymmetry describes the ratio of step lengths between the leg on the fast belt and the leg on the slow belt and tends gradually toward symmetry (SLA = 0) over the course of learning.</w:t>
      </w:r>
    </w:p>
    <w:p w14:paraId="0723FAB7" w14:textId="77777777" w:rsidR="00A725CE" w:rsidRPr="00A725CE" w:rsidRDefault="00A725CE" w:rsidP="00A725CE">
      <w:pPr>
        <w:jc w:val="both"/>
      </w:pPr>
      <w:r w:rsidRPr="00A725CE">
        <w:t xml:space="preserve">Step width was calculated as the frontal plane distance between the heel markers at the time of heel strike, so that right side step width was the distance between the heels at the time of right heel strike </w:t>
      </w:r>
      <w:r w:rsidRPr="00A725CE">
        <w:fldChar w:fldCharType="begin"/>
      </w:r>
      <w:r w:rsidRPr="00A725CE">
        <w:instrText xml:space="preserve"> ADDIN ZOTERO_ITEM CSL_CITATION {"citationID":"0ORZ67aA","properties":{"formattedCitation":"(Donelan et al. 2001)","plainCitation":"(Donelan et al. 2001)","noteIndex":0},"citationItems":[{"id":4659,"uris":["http://zotero.org/users/5902728/items/SC8KJDN3"],"itemData":{"id":4659,"type":"article-journal","container-title":"Proceedings of the Royal Society of London. Series B: Biological Sciences","DOI":"10.1098/rspb.2001.1761","ISSN":"0962-8452, 1471-2954","issue":"1480","journalAbbreviation":"Proc. R. Soc. Lond. B","language":"en","page":"1985-1992","source":"DOI.org (Crossref)","title":"Mechanical and metabolic determinants of the preferred step width in human walking","volume":"268","author":[{"family":"Donelan","given":"J. Maxwell"},{"family":"Kram","given":"Rodger"},{"family":"Arthur D.","given":"Kuo"}],"issued":{"date-parts":[["2001",10,7]]}}}],"schema":"https://github.com/citation-style-language/schema/raw/master/csl-citation.json"} </w:instrText>
      </w:r>
      <w:r w:rsidRPr="00A725CE">
        <w:fldChar w:fldCharType="separate"/>
      </w:r>
      <w:r w:rsidRPr="00A725CE">
        <w:rPr>
          <w:rFonts w:ascii="Aptos" w:hAnsi="Aptos"/>
        </w:rPr>
        <w:t>(Donelan et al. 2001)</w:t>
      </w:r>
      <w:r w:rsidRPr="00A725CE">
        <w:fldChar w:fldCharType="end"/>
      </w:r>
      <w:r w:rsidRPr="00A725CE">
        <w:t>.</w:t>
      </w:r>
    </w:p>
    <w:p w14:paraId="0A55F0B0" w14:textId="77777777" w:rsidR="00A725CE" w:rsidRPr="00A725CE" w:rsidRDefault="00A725CE" w:rsidP="00A725CE">
      <w:pPr>
        <w:jc w:val="both"/>
      </w:pPr>
      <w:r w:rsidRPr="00A725CE">
        <w:rPr>
          <w:i/>
          <w:iCs/>
        </w:rPr>
        <w:t xml:space="preserve">Statistics: </w:t>
      </w:r>
      <w:r w:rsidRPr="00A725CE">
        <w:t xml:space="preserve">As is common in split-belt literature, blocks of trials representing initial (strides 1-5), early (strides 6-30), late (strides 31-200), and plateau (final 30 strides) were compared using One-way ANOVA </w:t>
      </w:r>
      <w:r w:rsidRPr="00A725CE">
        <w:fldChar w:fldCharType="begin"/>
      </w:r>
      <w:r w:rsidRPr="00A725CE">
        <w:instrText xml:space="preserve"> ADDIN ZOTERO_ITEM CSL_CITATION {"citationID":"GqvNCAUQ","properties":{"formattedCitation":"(Day et al. 2018; Leech et al. 2018; Sombric and Torres-Oviedo 2020)","plainCitation":"(Day et al. 2018; Leech et al. 2018; Sombric and Torres-Oviedo 2020)","noteIndex":0},"citationItems":[{"id":1016,"uris":["http://zotero.org/users/5902728/items/Q6Q4PKCP"],"itemData":{"id":1016,"type":"article-journal","abstract":"Acquiring new movements requires the capacity of the nervous system to remember previously experienced motor patterns. The phenomenon of faster relearning after initial learning is termed “savings.” Here we studied how savings of a novel walking pattern develops over several days of practice and how this process can be accelerated. We introduced participants to a split-belt treadmill adaptation paradigm for 30 min for 5 consecutive days. By training day 5, participants were able to produce near-perfect performance when switching between split and tied-belt environments. We found that this was due to their ability to shift specific elements of their stepping pattern to account for the split treadmill speeds from day to day. We also applied a state-space model to further characterize multiday locomotor savings. We then explored methods of achieving comparable savings with less total training time. We studied people training only on day 1, with either one extended split-belt exposure or alternating four times between split-belt and tied-belt conditions rapidly in succession. Both of these single-day training groups were tested again on day 5. Experiencing four abbreviated exposures on day 1 improved the performance on day 5 compared with one extended exposure on day 1. Moreover, this abbreviated group performed similarly to the group that trained for 4 consecutive days before testing on day 5, despite only having one-quarter of the total training time. These results demonstrate that we can leverage training structure to achieve a high degree of performance while minimizing training sessions.\n\nNEW &amp; NOTEWORTHY Learning a new movement requires repetition. Here, we demonstrate how to more efficiently train an adapted walking pattern. By compressing split-belt treadmill training delivered over 4 days to four abbreviated bouts of training delivered on the first day of training, we were able to induce equivalent savings over a 5-day span. These results suggest that we can manipulate the delivery of training to most efficiently drive multiday learning of a novel walking pattern.","container-title":"Journal of Neurophysiology","DOI":"10.1152/jn.00903.2017","ISSN":"0022-3077","issue":"6","note":"publisher: American Physiological Society","page":"2100-2113","source":"journals.physiology.org (Atypon)","title":"Accelerating locomotor savings in learning: compressing four training days to one","title-short":"Accelerating locomotor savings in learning","volume":"119","author":[{"family":"Day","given":"Kevin A."},{"family":"Leech","given":"Kristan A."},{"family":"Roemmich","given":"Ryan T."},{"family":"Bastian","given":"Amy J."}],"issued":{"date-parts":[["2018",6]]}}},{"id":918,"uris":["http://zotero.org/users/5902728/items/QZVENWGA"],"itemData":{"id":918,"type":"article-journal","abstract":"Abstract\n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J."}],"issued":{"date-parts":[["2018",1,8]]}}},{"id":925,"uris":["http://zotero.org/users/5902728/items/353MIHDD"],"itemData":{"id":925,"type":"article-journal","abstract":"Promising studies have shown that the gait symmetry of individuals with hemiparesis due to brain lesions, such as stroke, can improve through motor adaptation protocols forcing patients to use their affected limb more. However, little is known about how to facilitate this process. Here we asked if increasing propulsion demands during split-belt walking (i.e., legs moving at different speeds) leads to more motor adaptation and more symmetric gait in survivors of a stroke, as we previously observed in subjects without neurological disorders.","container-title":"Journal of NeuroEngineering and Rehabilitation","DOI":"10.1186/s12984-020-00698-y","ISSN":"1743-0003","issue":"1","journalAbbreviation":"J NeuroEngineering Rehabil","language":"en","page":"69","source":"Springer Link","title":"Augmenting propulsion demands during split-belt walking increases locomotor adaptation of asymmetric step lengths","volume":"17","author":[{"family":"Sombric","given":"Carly J."},{"family":"Torres-Oviedo","given":"Gelsy"}],"issued":{"date-parts":[["2020",6,3]]}}}],"schema":"https://github.com/citation-style-language/schema/raw/master/csl-citation.json"} </w:instrText>
      </w:r>
      <w:r w:rsidRPr="00A725CE">
        <w:fldChar w:fldCharType="separate"/>
      </w:r>
      <w:r w:rsidRPr="00A725CE">
        <w:rPr>
          <w:rFonts w:ascii="Aptos" w:hAnsi="Aptos"/>
        </w:rPr>
        <w:t>(Day et al. 2018; Leech et al. 2018; Sombric and Torres-Oviedo 2020)</w:t>
      </w:r>
      <w:r w:rsidRPr="00A725CE">
        <w:fldChar w:fldCharType="end"/>
      </w:r>
      <w:r w:rsidRPr="00A725CE">
        <w:t>.</w:t>
      </w:r>
    </w:p>
    <w:tbl>
      <w:tblPr>
        <w:tblStyle w:val="TableGrid"/>
        <w:tblpPr w:leftFromText="180" w:rightFromText="180" w:vertAnchor="text" w:horzAnchor="margin" w:tblpY="100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B67E6B" w:rsidRPr="00A725CE" w14:paraId="1EB009C0" w14:textId="77777777" w:rsidTr="00B67E6B">
        <w:trPr>
          <w:trHeight w:val="152"/>
        </w:trPr>
        <w:tc>
          <w:tcPr>
            <w:tcW w:w="750" w:type="pct"/>
          </w:tcPr>
          <w:p w14:paraId="77D195AD" w14:textId="77777777" w:rsidR="00B67E6B" w:rsidRPr="00A725CE" w:rsidRDefault="00B67E6B" w:rsidP="00B67E6B">
            <w:pPr>
              <w:jc w:val="both"/>
            </w:pPr>
          </w:p>
          <w:p w14:paraId="3E6800CA" w14:textId="77777777" w:rsidR="00B67E6B" w:rsidRPr="00A725CE" w:rsidRDefault="00B67E6B" w:rsidP="00B67E6B">
            <w:pPr>
              <w:jc w:val="both"/>
            </w:pPr>
          </w:p>
        </w:tc>
        <w:tc>
          <w:tcPr>
            <w:tcW w:w="3500" w:type="pct"/>
          </w:tcPr>
          <w:p w14:paraId="36F31170" w14:textId="77777777" w:rsidR="00B67E6B" w:rsidRPr="00A725CE" w:rsidRDefault="00000000" w:rsidP="00B67E6B">
            <w:pPr>
              <w:jc w:val="both"/>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n+1</m:t>
                    </m:r>
                  </m:sub>
                </m:sSub>
                <m:r>
                  <w:rPr>
                    <w:rFonts w:ascii="Cambria Math" w:hAnsi="Cambria Math"/>
                  </w:rPr>
                  <m:t xml:space="preserve"> = α</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r>
                  <w:rPr>
                    <w:rFonts w:ascii="Cambria Math" w:hAnsi="Cambria Math"/>
                  </w:rPr>
                  <m:t xml:space="preserve"> + β(y -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r>
                  <w:rPr>
                    <w:rFonts w:ascii="Cambria Math" w:hAnsi="Cambria Math"/>
                  </w:rPr>
                  <m:t>).</m:t>
                </m:r>
              </m:oMath>
            </m:oMathPara>
          </w:p>
        </w:tc>
        <w:tc>
          <w:tcPr>
            <w:tcW w:w="750" w:type="pct"/>
          </w:tcPr>
          <w:p w14:paraId="25F0B72D" w14:textId="77777777" w:rsidR="00B67E6B" w:rsidRPr="00A725CE" w:rsidRDefault="00B67E6B" w:rsidP="00B67E6B">
            <w:pPr>
              <w:pStyle w:val="Caption"/>
              <w:jc w:val="right"/>
              <w:rPr>
                <w:i w:val="0"/>
                <w:iCs w:val="0"/>
                <w:color w:val="auto"/>
                <w:szCs w:val="22"/>
              </w:rPr>
            </w:pPr>
            <w:r w:rsidRPr="00A725CE">
              <w:rPr>
                <w:color w:val="auto"/>
                <w:szCs w:val="22"/>
              </w:rPr>
              <w:t>Equation 6</w:t>
            </w:r>
          </w:p>
        </w:tc>
      </w:tr>
    </w:tbl>
    <w:p w14:paraId="245F3BFD" w14:textId="77777777" w:rsidR="00B67E6B" w:rsidRDefault="00A725CE" w:rsidP="00A725CE">
      <w:pPr>
        <w:jc w:val="both"/>
      </w:pPr>
      <w:r w:rsidRPr="00A725CE">
        <w:rPr>
          <w:rStyle w:val="Heading4Char"/>
        </w:rPr>
        <w:t>State space learning model:</w:t>
      </w:r>
      <w:r w:rsidRPr="00A725CE">
        <w:rPr>
          <w:i/>
          <w:iCs/>
        </w:rPr>
        <w:t xml:space="preserve"> </w:t>
      </w:r>
      <w:r w:rsidRPr="00A725CE">
        <w:t>To examine learning rates, we fit step length asymmetry using the state space learning model.</w:t>
      </w:r>
    </w:p>
    <w:p w14:paraId="1DFF37E0" w14:textId="39A5B00A" w:rsidR="00A725CE" w:rsidRPr="00A725CE" w:rsidRDefault="00A725CE" w:rsidP="00A725CE">
      <w:pPr>
        <w:jc w:val="both"/>
      </w:pPr>
      <w:r w:rsidRPr="00A725CE">
        <w:t xml:space="preserve">The state space model predicted the participant’s estimate of the rotation, </w:t>
      </w:r>
      <m:oMath>
        <m:acc>
          <m:accPr>
            <m:ctrlPr>
              <w:rPr>
                <w:rFonts w:ascii="Cambria Math" w:hAnsi="Cambria Math"/>
                <w:i/>
              </w:rPr>
            </m:ctrlPr>
          </m:accPr>
          <m:e>
            <m:r>
              <w:rPr>
                <w:rFonts w:ascii="Cambria Math" w:hAnsi="Cambria Math"/>
              </w:rPr>
              <m:t>y</m:t>
            </m:r>
          </m:e>
        </m:acc>
      </m:oMath>
      <w:r w:rsidRPr="00A725CE">
        <w:rPr>
          <w:rFonts w:eastAsiaTheme="minorEastAsia"/>
        </w:rPr>
        <w:t xml:space="preserve">, on a given trial </w:t>
      </w:r>
      <m:oMath>
        <m:r>
          <w:rPr>
            <w:rFonts w:ascii="Cambria Math" w:eastAsiaTheme="minorEastAsia" w:hAnsi="Cambria Math"/>
          </w:rPr>
          <m:t>n</m:t>
        </m:r>
      </m:oMath>
      <w:r w:rsidRPr="00A725CE">
        <w:rPr>
          <w:rFonts w:eastAsiaTheme="minorEastAsia"/>
        </w:rPr>
        <w:t xml:space="preserve">, based on recall of the estimate on previous trial and error on the previous trial. The estimate from the previous trial was weighted by a remembering factor, </w:t>
      </w:r>
      <w:r w:rsidRPr="00A725CE">
        <w:rPr>
          <w:rFonts w:ascii="Times New Roman" w:eastAsiaTheme="minorEastAsia" w:hAnsi="Times New Roman" w:cs="Times New Roman"/>
        </w:rPr>
        <w:t>α</w:t>
      </w:r>
      <w:r w:rsidRPr="00A725CE">
        <w:rPr>
          <w:rFonts w:eastAsiaTheme="minorEastAsia"/>
        </w:rPr>
        <w:t xml:space="preserve">, which described how much of the previous estimate is remembered in the new estimate. The error from the previous trial is </w:t>
      </w:r>
      <m:oMath>
        <m:r>
          <w:rPr>
            <w:rFonts w:ascii="Cambria Math" w:eastAsiaTheme="minorEastAsia" w:hAnsi="Cambria Math"/>
          </w:rPr>
          <m:t xml:space="preserve">(y - </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n</m:t>
            </m:r>
          </m:sub>
        </m:sSub>
        <m:r>
          <w:rPr>
            <w:rFonts w:ascii="Cambria Math" w:eastAsiaTheme="minorEastAsia" w:hAnsi="Cambria Math"/>
          </w:rPr>
          <m:t>)</m:t>
        </m:r>
      </m:oMath>
      <w:r w:rsidRPr="00A725CE">
        <w:rPr>
          <w:rFonts w:eastAsiaTheme="minorEastAsia"/>
        </w:rPr>
        <w:t xml:space="preserve">, the difference between the actual rotation and the estimated rotation, was weighted by a learning rate, </w:t>
      </w:r>
      <w:r w:rsidRPr="00A725CE">
        <w:rPr>
          <w:rFonts w:ascii="Times New Roman" w:eastAsiaTheme="minorEastAsia" w:hAnsi="Times New Roman" w:cs="Times New Roman"/>
        </w:rPr>
        <w:t>β</w:t>
      </w:r>
      <w:r w:rsidRPr="00A725CE">
        <w:rPr>
          <w:rFonts w:eastAsiaTheme="minorEastAsia"/>
        </w:rPr>
        <w:t>, which described the participant’s sensitivity to error. Both remembering factor and learning rate are in the interval [0,1].</w:t>
      </w:r>
    </w:p>
    <w:p w14:paraId="741D25CF" w14:textId="77777777" w:rsidR="00A725CE" w:rsidRPr="00A725CE" w:rsidRDefault="00A725CE" w:rsidP="00A725CE">
      <w:pPr>
        <w:jc w:val="both"/>
      </w:pPr>
      <w:r w:rsidRPr="00A725CE">
        <w:lastRenderedPageBreak/>
        <w:t xml:space="preserve">We fitted the model in a custom script using MATLAB’s </w:t>
      </w:r>
      <w:proofErr w:type="spellStart"/>
      <w:r w:rsidRPr="00A725CE">
        <w:rPr>
          <w:i/>
          <w:iCs/>
        </w:rPr>
        <w:t>fmincon</w:t>
      </w:r>
      <w:proofErr w:type="spellEnd"/>
      <w:r w:rsidRPr="00A725CE">
        <w:rPr>
          <w:i/>
          <w:iCs/>
        </w:rPr>
        <w:t xml:space="preserve"> </w:t>
      </w:r>
      <w:r w:rsidRPr="00A725CE">
        <w:t>function to minimize mean squared error. The state space model captures two important characteristics of motor learning: the rate of learning, describing how quickly a participant adjusts their gait to improve symmetry, and the extent of learning, describing the how close the participant’s asymmetry asymptote is to symmetry. The extent of learning is a function of the forgetting factor and the learning rate because, in the model, the asymptote is the error value at which the remembering term and the error term cancel one another out so that the forgotten portion of the previous trial is recovered by the error term. We compared the terms of state space learning fits between groups using one-way ANOVAs. Results were similar when the data was fit across all strides of the learning block to when the data was fit using only the first 200 strides, therefore the state space fits for the asymmetry curves include all strides in the learning block.</w:t>
      </w:r>
    </w:p>
    <w:p w14:paraId="1D4064F2" w14:textId="77777777" w:rsidR="00A725CE" w:rsidRPr="00A725CE" w:rsidRDefault="00A725CE" w:rsidP="00A725CE">
      <w:pPr>
        <w:jc w:val="both"/>
      </w:pPr>
      <w:r w:rsidRPr="00A725CE">
        <w:rPr>
          <w:rStyle w:val="Heading4Char"/>
        </w:rPr>
        <w:t>Exponential fit of learning:</w:t>
      </w:r>
      <w:r w:rsidRPr="00A725CE">
        <w:rPr>
          <w:i/>
          <w:iCs/>
        </w:rPr>
        <w:t xml:space="preserve"> </w:t>
      </w:r>
      <w:r w:rsidRPr="00A725CE">
        <w:t xml:space="preserve">As a secondary check to compare curves, we fit step length asymmetry curves to a single exponential function using MATLAB’s </w:t>
      </w:r>
      <w:proofErr w:type="spellStart"/>
      <w:r w:rsidRPr="00A725CE">
        <w:rPr>
          <w:i/>
          <w:iCs/>
        </w:rPr>
        <w:t>fminsearch</w:t>
      </w:r>
      <w:proofErr w:type="spellEnd"/>
      <w:r w:rsidRPr="00A725CE">
        <w:rPr>
          <w:i/>
          <w:iCs/>
        </w:rPr>
        <w:t xml:space="preserve"> </w:t>
      </w:r>
      <w:r w:rsidRPr="00A725CE">
        <w:t xml:space="preserve">function to minimize mean squared error. We calculated fit parameters according to an exponential function: </w:t>
      </w:r>
      <m:oMath>
        <m:r>
          <w:rPr>
            <w:rFonts w:ascii="Cambria Math" w:hAnsi="Cambria Math"/>
          </w:rPr>
          <m:t>SLA</m:t>
        </m:r>
        <m:d>
          <m:dPr>
            <m:ctrlPr>
              <w:rPr>
                <w:rFonts w:ascii="Cambria Math" w:hAnsi="Cambria Math"/>
                <w:i/>
              </w:rPr>
            </m:ctrlPr>
          </m:dPr>
          <m:e>
            <m:r>
              <w:rPr>
                <w:rFonts w:ascii="Cambria Math" w:hAnsi="Cambria Math"/>
              </w:rPr>
              <m:t>t</m:t>
            </m:r>
          </m:e>
        </m:d>
        <m:r>
          <w:rPr>
            <w:rFonts w:ascii="Cambria Math" w:hAnsi="Cambria Math"/>
          </w:rPr>
          <m:t>=A</m:t>
        </m:r>
        <m:sSup>
          <m:sSupPr>
            <m:ctrlPr>
              <w:rPr>
                <w:rFonts w:ascii="Cambria Math" w:hAnsi="Cambria Math"/>
                <w:i/>
              </w:rPr>
            </m:ctrlPr>
          </m:sSupPr>
          <m:e>
            <m:r>
              <w:rPr>
                <w:rFonts w:ascii="Cambria Math" w:hAnsi="Cambria Math"/>
              </w:rPr>
              <m:t>e</m:t>
            </m:r>
          </m:e>
          <m:sup>
            <m:r>
              <w:rPr>
                <w:rFonts w:ascii="Cambria Math" w:hAnsi="Cambria Math"/>
              </w:rPr>
              <m:t>βt</m:t>
            </m:r>
          </m:sup>
        </m:sSup>
        <m:r>
          <w:rPr>
            <w:rFonts w:ascii="Cambria Math" w:hAnsi="Cambria Math"/>
          </w:rPr>
          <m:t>+ c</m:t>
        </m:r>
      </m:oMath>
      <w:r w:rsidRPr="00A725CE">
        <w:rPr>
          <w:rFonts w:eastAsiaTheme="minorEastAsia"/>
        </w:rPr>
        <w:t>, and interpreted the coefficient as the change in symmetry from the start of learning to the end(</w:t>
      </w:r>
      <w:r w:rsidRPr="00A725CE">
        <w:rPr>
          <w:rFonts w:ascii="Cambria Math" w:eastAsiaTheme="minorEastAsia" w:hAnsi="Cambria Math"/>
          <w:i/>
        </w:rPr>
        <w:t xml:space="preserve"> </w:t>
      </w:r>
      <m:oMath>
        <m:r>
          <w:rPr>
            <w:rFonts w:ascii="Cambria Math" w:eastAsiaTheme="minorEastAsia" w:hAnsi="Cambria Math"/>
          </w:rPr>
          <m:t>A = ∆SLA</m:t>
        </m:r>
      </m:oMath>
      <w:r w:rsidRPr="00A725CE">
        <w:rPr>
          <w:rFonts w:ascii="Cambria Math" w:eastAsiaTheme="minorEastAsia" w:hAnsi="Cambria Math"/>
          <w:iCs/>
        </w:rPr>
        <w:t>)</w:t>
      </w:r>
      <w:r w:rsidRPr="00A725CE">
        <w:rPr>
          <w:rFonts w:eastAsiaTheme="minorEastAsia"/>
        </w:rPr>
        <w:t>, the constant as the final value of asymmetry after adaptation</w:t>
      </w:r>
      <w:r w:rsidRPr="00A725CE">
        <w:rPr>
          <w:rFonts w:ascii="Cambria Math" w:eastAsiaTheme="minorEastAsia" w:hAnsi="Cambria Math"/>
          <w:i/>
        </w:rPr>
        <w:t xml:space="preserve"> </w:t>
      </w:r>
      <m:oMath>
        <m:r>
          <w:rPr>
            <w:rFonts w:ascii="Cambria Math" w:eastAsiaTheme="minorEastAsia" w:hAnsi="Cambria Math"/>
          </w:rPr>
          <m:t xml:space="preserve">c = </m:t>
        </m:r>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Pr="00A725CE">
        <w:rPr>
          <w:rFonts w:eastAsiaTheme="minorEastAsia"/>
        </w:rPr>
        <w:t xml:space="preserve"> , and the rate term </w:t>
      </w:r>
      <m:oMath>
        <m:r>
          <w:rPr>
            <w:rFonts w:ascii="Cambria Math" w:eastAsiaTheme="minorEastAsia" w:hAnsi="Cambria Math"/>
          </w:rPr>
          <m:t>β</m:t>
        </m:r>
      </m:oMath>
      <w:r w:rsidRPr="00A725CE">
        <w:rPr>
          <w:rFonts w:eastAsiaTheme="minorEastAsia"/>
        </w:rPr>
        <w:t xml:space="preserve"> as the learning rate. As with the state space learning rate, relatively higher values indicated more complete learning in fewer strides.</w:t>
      </w:r>
      <w:r w:rsidRPr="00A725CE">
        <w:t xml:space="preserve"> Results for exponential learning rates were compared using one-way ANOVAs. As in the state space fit, results were similar when the data was fit across all strides of the learning block to when the data was fit using only the first 200 strides, therefore the exponential models for the asymmetry curves include all strides in the learning block.</w:t>
      </w:r>
    </w:p>
    <w:p w14:paraId="4A6D5D5F" w14:textId="77777777" w:rsidR="00A725CE" w:rsidRPr="00A725CE" w:rsidRDefault="00A725CE" w:rsidP="00A725CE">
      <w:pPr>
        <w:jc w:val="both"/>
      </w:pPr>
      <w:r w:rsidRPr="00A725CE">
        <w:rPr>
          <w:rStyle w:val="Heading4Char"/>
        </w:rPr>
        <w:t>Bootstrapping</w:t>
      </w:r>
      <w:r w:rsidRPr="00A725CE">
        <w:rPr>
          <w:i/>
          <w:iCs/>
        </w:rPr>
        <w:t xml:space="preserve">: </w:t>
      </w:r>
      <w:r w:rsidRPr="00A725CE">
        <w:t>To estimate the population distribution, we bootstrapped the state space and exponential fit data in two ways and reevaluated the comparisons between groups. In the first bootstrapping protocol, individual’s SLA curves were sampled with replacement, averaged, and fit using the state space and exponential models described above. In the second bootstrapping protocol, individuals’ fit parameters were sampled with replacement. In protocols and for both models, bootstrapping was repeated 10000 times.</w:t>
      </w:r>
    </w:p>
    <w:p w14:paraId="60A3EDF6" w14:textId="77777777" w:rsidR="00A725CE" w:rsidRPr="00A725CE" w:rsidRDefault="00A725CE" w:rsidP="00A725CE">
      <w:pPr>
        <w:jc w:val="both"/>
        <w:rPr>
          <w:color w:val="215E99" w:themeColor="text2" w:themeTint="BF"/>
        </w:rPr>
      </w:pPr>
      <w:r w:rsidRPr="00A725CE">
        <w:rPr>
          <w:rStyle w:val="Heading4Char"/>
        </w:rPr>
        <w:t>Linear mixed effects regression</w:t>
      </w:r>
      <w:r w:rsidRPr="00A725CE">
        <w:rPr>
          <w:i/>
          <w:iCs/>
        </w:rPr>
        <w:t xml:space="preserve">: </w:t>
      </w:r>
      <w:r w:rsidRPr="00A725CE">
        <w:t xml:space="preserve">We used linear mixed effects models (LMER) to examine the predictive power of effort-related variables. These models were run using the </w:t>
      </w:r>
      <w:proofErr w:type="spellStart"/>
      <w:r w:rsidRPr="00A725CE">
        <w:rPr>
          <w:i/>
          <w:iCs/>
        </w:rPr>
        <w:t>lmer</w:t>
      </w:r>
      <w:proofErr w:type="spellEnd"/>
      <w:r w:rsidRPr="00A725CE">
        <w:rPr>
          <w:i/>
          <w:iCs/>
        </w:rPr>
        <w:t xml:space="preserve"> </w:t>
      </w:r>
      <w:r w:rsidRPr="00A725CE">
        <w:t xml:space="preserve">function in custom R Studio scripts. To linearize the data, we applied a log transformation on the trial number. </w:t>
      </w:r>
      <w:r w:rsidRPr="00A725CE">
        <w:rPr>
          <w:color w:val="215E99" w:themeColor="text2" w:themeTint="BF"/>
        </w:rPr>
        <w:t>The limitation of this transformation is that the log transform used to linearize the data linear fit is biased by trials early in the testing session. Since this is where we expect differences in learning rate to appear, it is difficult to parse whether the significant results are representative of the data or a consequence of the LMER bias.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725CE" w:rsidRPr="00A725CE" w14:paraId="182D0538" w14:textId="77777777" w:rsidTr="00B67E6B">
        <w:tc>
          <w:tcPr>
            <w:tcW w:w="9360" w:type="dxa"/>
          </w:tcPr>
          <w:p w14:paraId="0BECD827" w14:textId="77777777" w:rsidR="00A725CE" w:rsidRPr="00A725CE" w:rsidRDefault="00A725CE" w:rsidP="00A725CE">
            <w:pPr>
              <w:pStyle w:val="Caption"/>
            </w:pPr>
            <w:r w:rsidRPr="00A725CE">
              <w:rPr>
                <w:noProof/>
              </w:rPr>
              <w:lastRenderedPageBreak/>
              <w:drawing>
                <wp:anchor distT="0" distB="0" distL="114300" distR="114300" simplePos="0" relativeHeight="251659264" behindDoc="0" locked="0" layoutInCell="1" allowOverlap="1" wp14:anchorId="149B369B" wp14:editId="218A9454">
                  <wp:simplePos x="0" y="0"/>
                  <wp:positionH relativeFrom="column">
                    <wp:posOffset>1264920</wp:posOffset>
                  </wp:positionH>
                  <wp:positionV relativeFrom="paragraph">
                    <wp:posOffset>0</wp:posOffset>
                  </wp:positionV>
                  <wp:extent cx="3276600" cy="3851275"/>
                  <wp:effectExtent l="0" t="0" r="0" b="0"/>
                  <wp:wrapSquare wrapText="bothSides"/>
                  <wp:docPr id="1471521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21750"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76600" cy="3851275"/>
                          </a:xfrm>
                          <a:prstGeom prst="rect">
                            <a:avLst/>
                          </a:prstGeom>
                        </pic:spPr>
                      </pic:pic>
                    </a:graphicData>
                  </a:graphic>
                  <wp14:sizeRelH relativeFrom="margin">
                    <wp14:pctWidth>0</wp14:pctWidth>
                  </wp14:sizeRelH>
                  <wp14:sizeRelV relativeFrom="margin">
                    <wp14:pctHeight>0</wp14:pctHeight>
                  </wp14:sizeRelV>
                </wp:anchor>
              </w:drawing>
            </w:r>
          </w:p>
        </w:tc>
      </w:tr>
      <w:tr w:rsidR="00A725CE" w:rsidRPr="00A725CE" w14:paraId="09BEEA22" w14:textId="77777777" w:rsidTr="00B67E6B">
        <w:tc>
          <w:tcPr>
            <w:tcW w:w="9360" w:type="dxa"/>
          </w:tcPr>
          <w:p w14:paraId="122DFFE7" w14:textId="77777777" w:rsidR="00A725CE" w:rsidRPr="00A725CE" w:rsidRDefault="00A725CE" w:rsidP="00A725CE">
            <w:pPr>
              <w:pStyle w:val="Caption"/>
            </w:pPr>
            <w:bookmarkStart w:id="1" w:name="_Toc159087335"/>
            <w:r w:rsidRPr="00A725CE">
              <w:t xml:space="preserve">Figure </w:t>
            </w:r>
            <w:fldSimple w:instr=" SEQ Figure \* ARABIC ">
              <w:r w:rsidRPr="00A725CE">
                <w:rPr>
                  <w:noProof/>
                </w:rPr>
                <w:t>5</w:t>
              </w:r>
            </w:fldSimple>
            <w:r w:rsidRPr="00A725CE">
              <w:t>: Split-belt methods</w:t>
            </w:r>
            <w:bookmarkEnd w:id="1"/>
          </w:p>
        </w:tc>
      </w:tr>
      <w:tr w:rsidR="00A725CE" w14:paraId="43DD5627" w14:textId="77777777" w:rsidTr="00B67E6B">
        <w:tc>
          <w:tcPr>
            <w:tcW w:w="9360" w:type="dxa"/>
          </w:tcPr>
          <w:p w14:paraId="7C28CA14" w14:textId="77777777" w:rsidR="00A725CE" w:rsidRPr="004B5CFD" w:rsidRDefault="00A725CE" w:rsidP="00A725CE">
            <w:pPr>
              <w:pStyle w:val="Caption"/>
              <w:keepNext/>
              <w:rPr>
                <w:szCs w:val="22"/>
              </w:rPr>
            </w:pPr>
            <w:r w:rsidRPr="00A725CE">
              <w:t>Methods for split belt walking task. A) split-belt walking shown with different belts for each leg. Handrails on either side are not shown. B) Plug-In Gait marker placement for the right side. Marker placement is mirrored on the left. C) Crossover study design. D) Protocol for baseline, learning, washout, and savings blocks.</w:t>
            </w:r>
          </w:p>
        </w:tc>
      </w:tr>
    </w:tbl>
    <w:p w14:paraId="665379E4" w14:textId="1D3EFDCC" w:rsidR="00A725CE" w:rsidRPr="00A725CE" w:rsidRDefault="00A725CE" w:rsidP="00A725CE">
      <w:pPr>
        <w:rPr>
          <w:i/>
          <w:iCs/>
        </w:rPr>
      </w:pPr>
    </w:p>
    <w:sectPr w:rsidR="00A725CE" w:rsidRPr="00A725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achel Marbaker" w:date="2024-07-30T15:58:00Z" w:initials="RM">
    <w:p w14:paraId="05D73284" w14:textId="77777777" w:rsidR="00AD5739" w:rsidRDefault="00AD5739" w:rsidP="00AD5739">
      <w:pPr>
        <w:pStyle w:val="CommentText"/>
      </w:pPr>
      <w:r>
        <w:rPr>
          <w:rStyle w:val="CommentReference"/>
        </w:rPr>
        <w:annotationRef/>
      </w:r>
      <w:r>
        <w:t>Change to standard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5D732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B88F0B4" w16cex:dateUtc="2024-07-30T2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5D73284" w16cid:durableId="2B88F0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chel Marbaker">
    <w15:presenceInfo w15:providerId="Windows Live" w15:userId="33ab2cc4ec646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5CE"/>
    <w:rsid w:val="000900C8"/>
    <w:rsid w:val="00093D4F"/>
    <w:rsid w:val="001E7924"/>
    <w:rsid w:val="002F049B"/>
    <w:rsid w:val="003C4559"/>
    <w:rsid w:val="00527B90"/>
    <w:rsid w:val="00533C3B"/>
    <w:rsid w:val="005C7830"/>
    <w:rsid w:val="005F2663"/>
    <w:rsid w:val="007F6BEB"/>
    <w:rsid w:val="008B1D21"/>
    <w:rsid w:val="008C17FB"/>
    <w:rsid w:val="008F0000"/>
    <w:rsid w:val="00921534"/>
    <w:rsid w:val="009536B1"/>
    <w:rsid w:val="009D6D2E"/>
    <w:rsid w:val="00A42EB0"/>
    <w:rsid w:val="00A5639E"/>
    <w:rsid w:val="00A725CE"/>
    <w:rsid w:val="00AD5739"/>
    <w:rsid w:val="00B26EEB"/>
    <w:rsid w:val="00B67E6B"/>
    <w:rsid w:val="00BC2F22"/>
    <w:rsid w:val="00BF729B"/>
    <w:rsid w:val="00D31BCB"/>
    <w:rsid w:val="00DA13C9"/>
    <w:rsid w:val="00E532D8"/>
    <w:rsid w:val="00E77E61"/>
    <w:rsid w:val="00FD1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CB670"/>
  <w15:chartTrackingRefBased/>
  <w15:docId w15:val="{E9C5E9CE-BD03-448A-B409-300B854E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72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72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5CE"/>
    <w:rPr>
      <w:rFonts w:eastAsiaTheme="majorEastAsia" w:cstheme="majorBidi"/>
      <w:color w:val="272727" w:themeColor="text1" w:themeTint="D8"/>
    </w:rPr>
  </w:style>
  <w:style w:type="paragraph" w:styleId="Title">
    <w:name w:val="Title"/>
    <w:basedOn w:val="Normal"/>
    <w:next w:val="Normal"/>
    <w:link w:val="TitleChar"/>
    <w:uiPriority w:val="10"/>
    <w:qFormat/>
    <w:rsid w:val="00A72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5CE"/>
    <w:pPr>
      <w:spacing w:before="160"/>
      <w:jc w:val="center"/>
    </w:pPr>
    <w:rPr>
      <w:i/>
      <w:iCs/>
      <w:color w:val="404040" w:themeColor="text1" w:themeTint="BF"/>
    </w:rPr>
  </w:style>
  <w:style w:type="character" w:customStyle="1" w:styleId="QuoteChar">
    <w:name w:val="Quote Char"/>
    <w:basedOn w:val="DefaultParagraphFont"/>
    <w:link w:val="Quote"/>
    <w:uiPriority w:val="29"/>
    <w:rsid w:val="00A725CE"/>
    <w:rPr>
      <w:i/>
      <w:iCs/>
      <w:color w:val="404040" w:themeColor="text1" w:themeTint="BF"/>
    </w:rPr>
  </w:style>
  <w:style w:type="paragraph" w:styleId="ListParagraph">
    <w:name w:val="List Paragraph"/>
    <w:basedOn w:val="Normal"/>
    <w:uiPriority w:val="34"/>
    <w:qFormat/>
    <w:rsid w:val="00A725CE"/>
    <w:pPr>
      <w:ind w:left="720"/>
      <w:contextualSpacing/>
    </w:pPr>
  </w:style>
  <w:style w:type="character" w:styleId="IntenseEmphasis">
    <w:name w:val="Intense Emphasis"/>
    <w:basedOn w:val="DefaultParagraphFont"/>
    <w:uiPriority w:val="21"/>
    <w:qFormat/>
    <w:rsid w:val="00A725CE"/>
    <w:rPr>
      <w:i/>
      <w:iCs/>
      <w:color w:val="0F4761" w:themeColor="accent1" w:themeShade="BF"/>
    </w:rPr>
  </w:style>
  <w:style w:type="paragraph" w:styleId="IntenseQuote">
    <w:name w:val="Intense Quote"/>
    <w:basedOn w:val="Normal"/>
    <w:next w:val="Normal"/>
    <w:link w:val="IntenseQuoteChar"/>
    <w:uiPriority w:val="30"/>
    <w:qFormat/>
    <w:rsid w:val="00A72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5CE"/>
    <w:rPr>
      <w:i/>
      <w:iCs/>
      <w:color w:val="0F4761" w:themeColor="accent1" w:themeShade="BF"/>
    </w:rPr>
  </w:style>
  <w:style w:type="character" w:styleId="IntenseReference">
    <w:name w:val="Intense Reference"/>
    <w:basedOn w:val="DefaultParagraphFont"/>
    <w:uiPriority w:val="32"/>
    <w:qFormat/>
    <w:rsid w:val="00A725CE"/>
    <w:rPr>
      <w:b/>
      <w:bCs/>
      <w:smallCaps/>
      <w:color w:val="0F4761" w:themeColor="accent1" w:themeShade="BF"/>
      <w:spacing w:val="5"/>
    </w:rPr>
  </w:style>
  <w:style w:type="table" w:styleId="TableGrid">
    <w:name w:val="Table Grid"/>
    <w:basedOn w:val="TableNormal"/>
    <w:uiPriority w:val="39"/>
    <w:rsid w:val="00A72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725CE"/>
    <w:pPr>
      <w:spacing w:after="200" w:line="240" w:lineRule="auto"/>
    </w:pPr>
    <w:rPr>
      <w:i/>
      <w:iCs/>
      <w:color w:val="0E2841" w:themeColor="text2"/>
      <w:szCs w:val="18"/>
    </w:rPr>
  </w:style>
  <w:style w:type="character" w:styleId="CommentReference">
    <w:name w:val="annotation reference"/>
    <w:basedOn w:val="DefaultParagraphFont"/>
    <w:uiPriority w:val="99"/>
    <w:semiHidden/>
    <w:unhideWhenUsed/>
    <w:rsid w:val="00AD5739"/>
    <w:rPr>
      <w:sz w:val="16"/>
      <w:szCs w:val="16"/>
    </w:rPr>
  </w:style>
  <w:style w:type="paragraph" w:styleId="CommentText">
    <w:name w:val="annotation text"/>
    <w:basedOn w:val="Normal"/>
    <w:link w:val="CommentTextChar"/>
    <w:uiPriority w:val="99"/>
    <w:unhideWhenUsed/>
    <w:rsid w:val="00AD5739"/>
    <w:pPr>
      <w:spacing w:line="240" w:lineRule="auto"/>
    </w:pPr>
    <w:rPr>
      <w:sz w:val="20"/>
      <w:szCs w:val="20"/>
    </w:rPr>
  </w:style>
  <w:style w:type="character" w:customStyle="1" w:styleId="CommentTextChar">
    <w:name w:val="Comment Text Char"/>
    <w:basedOn w:val="DefaultParagraphFont"/>
    <w:link w:val="CommentText"/>
    <w:uiPriority w:val="99"/>
    <w:rsid w:val="00AD5739"/>
    <w:rPr>
      <w:sz w:val="20"/>
      <w:szCs w:val="20"/>
    </w:rPr>
  </w:style>
  <w:style w:type="paragraph" w:styleId="CommentSubject">
    <w:name w:val="annotation subject"/>
    <w:basedOn w:val="CommentText"/>
    <w:next w:val="CommentText"/>
    <w:link w:val="CommentSubjectChar"/>
    <w:uiPriority w:val="99"/>
    <w:semiHidden/>
    <w:unhideWhenUsed/>
    <w:rsid w:val="00AD5739"/>
    <w:rPr>
      <w:b/>
      <w:bCs/>
    </w:rPr>
  </w:style>
  <w:style w:type="character" w:customStyle="1" w:styleId="CommentSubjectChar">
    <w:name w:val="Comment Subject Char"/>
    <w:basedOn w:val="CommentTextChar"/>
    <w:link w:val="CommentSubject"/>
    <w:uiPriority w:val="99"/>
    <w:semiHidden/>
    <w:rsid w:val="00AD57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4</Pages>
  <Words>3554</Words>
  <Characters>20264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Marbaker</dc:creator>
  <cp:keywords/>
  <dc:description/>
  <cp:lastModifiedBy>rachel m</cp:lastModifiedBy>
  <cp:revision>13</cp:revision>
  <dcterms:created xsi:type="dcterms:W3CDTF">2024-07-30T18:09:00Z</dcterms:created>
  <dcterms:modified xsi:type="dcterms:W3CDTF">2024-10-31T12:35:00Z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id="VYDpu2fC"/&gt;&lt;style id="http://www.zotero.org/styles/journal-of-neurophysiology"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