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C8F1"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b/>
          <w:bCs/>
          <w:color w:val="000000"/>
          <w:szCs w:val="24"/>
          <w:lang w:eastAsia="tr-TR"/>
        </w:rPr>
        <w:t>What Is a Gray Zone, and Why Is It Problematic?</w:t>
      </w:r>
      <w:r w:rsidRPr="004D262E">
        <w:rPr>
          <w:rFonts w:eastAsia="Times New Roman"/>
          <w:color w:val="000000"/>
          <w:szCs w:val="24"/>
          <w:lang w:eastAsia="tr-TR"/>
        </w:rPr>
        <w:br/>
        <w:t>Security practices are often defined in black-and-white terms: lawful or unlawful, threat or innocent, intervenable or not. But reality in the field does not unfold with that kind of clarity. The concept of a “gray zone” describes precisely this point of rupture—spaces that are neither fully legitimate nor clearly illegitimate; neither a definite threat nor a situation that can be dismissed.</w:t>
      </w:r>
    </w:p>
    <w:p w14:paraId="41649786"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Gray zones are not exceptional or rare. On the contrary, they are increasingly the dominant norm of the modern security environment. Asymmetric threats, actors with unclear intent, low-intensity yet high-impact risks, and rapidly changing conditions often push public safety professionals into a decision universe where there are no definitive answers. In this universe, the central question stops being “what is right?” and becomes “which decision produces less harm?”</w:t>
      </w:r>
    </w:p>
    <w:p w14:paraId="4B15BE94"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This stems from a structural gap between legal frameworks and operational reality. Law defines incidents, draws boundaries, and often comes into play after events occur. The security professional, however, must decide </w:t>
      </w:r>
      <w:r w:rsidRPr="004D262E">
        <w:rPr>
          <w:rFonts w:eastAsia="Times New Roman"/>
          <w:i/>
          <w:iCs/>
          <w:color w:val="000000"/>
          <w:szCs w:val="24"/>
          <w:lang w:eastAsia="tr-TR"/>
        </w:rPr>
        <w:t>before</w:t>
      </w:r>
      <w:r w:rsidRPr="004D262E">
        <w:rPr>
          <w:rFonts w:eastAsia="Times New Roman"/>
          <w:color w:val="000000"/>
          <w:szCs w:val="24"/>
          <w:lang w:eastAsia="tr-TR"/>
        </w:rPr>
        <w:t> an incident happens—amid uncertainty, under time pressure, and with incomplete information. Gray zones emerge precisely at the intersection of these two timelines.</w:t>
      </w:r>
    </w:p>
    <w:p w14:paraId="1C3D17DF"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The problem is not the existence of uncertainty; uncertainty is inherent to security work. The real problem is that the mental, ethical, and institutional readiness required to manage uncertainty has not been built sufficiently. Unclear rules of engagement, vague authority definitions, and a “we’ll figure it out later” approach turn gray zones into burdens too heavy for individual initiative to carry.</w:t>
      </w:r>
    </w:p>
    <w:p w14:paraId="6EC99343"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For this reason, gray zones test not a professional’s intent, but a system’s maturity. Without solid doctrine, clear legal frameworks, and an ethical compass, the same situation can be a “correct decision” for one professional and a “legal risk” for another.</w:t>
      </w:r>
    </w:p>
    <w:p w14:paraId="46235598"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This text aims to treat gray zones not as anomalies to be avoided, but as critical thresholds where security culture, leadership, and institutional responsibility are tested. Because gray zones cannot be eliminated; but if they are read and managed correctly, they can become an element that matures security practice rather than weakening it.</w:t>
      </w:r>
    </w:p>
    <w:p w14:paraId="54978368" w14:textId="77777777" w:rsidR="004D262E" w:rsidRPr="004D262E" w:rsidRDefault="00A32E1C" w:rsidP="004D262E">
      <w:pPr>
        <w:spacing w:after="0" w:line="240" w:lineRule="auto"/>
        <w:jc w:val="left"/>
        <w:rPr>
          <w:rFonts w:eastAsia="Times New Roman"/>
          <w:szCs w:val="24"/>
          <w:lang w:eastAsia="tr-TR"/>
        </w:rPr>
      </w:pPr>
      <w:r w:rsidRPr="00A32E1C">
        <w:rPr>
          <w:rFonts w:eastAsia="Times New Roman"/>
          <w:noProof/>
          <w:szCs w:val="24"/>
          <w:lang w:eastAsia="tr-TR"/>
          <w14:ligatures w14:val="standardContextual"/>
        </w:rPr>
        <w:pict w14:anchorId="3BEAF99B">
          <v:rect id="_x0000_i1031" alt="" style="width:453.6pt;height:.05pt;mso-width-percent:0;mso-height-percent:0;mso-width-percent:0;mso-height-percent:0" o:hralign="center" o:hrstd="t" o:hr="t" fillcolor="#a0a0a0" stroked="f"/>
        </w:pict>
      </w:r>
    </w:p>
    <w:p w14:paraId="539908CB" w14:textId="77777777" w:rsidR="004D262E" w:rsidRPr="004D262E" w:rsidRDefault="004D262E" w:rsidP="004D262E">
      <w:pPr>
        <w:spacing w:before="100" w:beforeAutospacing="1" w:after="100" w:afterAutospacing="1" w:line="240" w:lineRule="auto"/>
        <w:jc w:val="left"/>
        <w:outlineLvl w:val="1"/>
        <w:rPr>
          <w:rFonts w:eastAsia="Times New Roman"/>
          <w:b/>
          <w:bCs/>
          <w:color w:val="000000"/>
          <w:sz w:val="36"/>
          <w:szCs w:val="36"/>
          <w:lang w:eastAsia="tr-TR"/>
        </w:rPr>
      </w:pPr>
      <w:r w:rsidRPr="004D262E">
        <w:rPr>
          <w:rFonts w:eastAsia="Times New Roman"/>
          <w:b/>
          <w:bCs/>
          <w:color w:val="000000"/>
          <w:sz w:val="36"/>
          <w:szCs w:val="36"/>
          <w:lang w:eastAsia="tr-TR"/>
        </w:rPr>
        <w:t>Why Gray Zones Emerge</w:t>
      </w:r>
    </w:p>
    <w:p w14:paraId="30F32FAF"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Gray zones are not the result of flawed judgments or personal inadequacy. They arise from the structural features of the modern security environment. Their presence is less an exception than a natural consequence of a changing threat landscape.</w:t>
      </w:r>
    </w:p>
    <w:p w14:paraId="7C79218A"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The Rise of Asymmetric Threats</w:t>
      </w:r>
    </w:p>
    <w:p w14:paraId="4E08AA96"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Traditional security thinking is built on defined actors and predictable threats. Today, however, threats are often asymmetric. The opposing actor may be out of uniform, ambiguous in intent, unclear in legal status, and unpredictable in behavior. This blurs the line between “threat” and “suspicion.” Gray zones emerge precisely within this blur.</w:t>
      </w:r>
    </w:p>
    <w:p w14:paraId="3D851548"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lastRenderedPageBreak/>
        <w:t>The Blurring of Intent</w:t>
      </w:r>
    </w:p>
    <w:p w14:paraId="358E4E5D"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Intent is the most critical input in security decisions. Yet intent cannot be directly observed; it is inferred from behavior, context, and timing. In modern security environments, actors deliberately exploit this ambiguity: exerting pressure without posing an overt threat, staying just below legal thresholds, or generating risk while presenting as harmless—these are key strategies that deepen gray zones.</w:t>
      </w:r>
    </w:p>
    <w:p w14:paraId="2F610C25"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Law’s Temporal Disadvantage</w:t>
      </w:r>
    </w:p>
    <w:p w14:paraId="391BB06C"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Legal systems, by nature, operate on defined incidents. Legislation evaluates acts that have already occurred; case law is built on events that have happened. The security professional, however, faces the possibility of an event that has not yet occurred. This time gap is one of the most fundamental reasons for gray zones. The professional must manage not “what happened,” but “what could happen.”</w:t>
      </w:r>
    </w:p>
    <w:p w14:paraId="764BF5EC"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Technology and Speed</w:t>
      </w:r>
    </w:p>
    <w:p w14:paraId="5B266501"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Technological advances increase security capacity—but they also expand gray zones. Sensors, cameras, and data analytics produce more information, yet more information does not always mean more clarity. On the contrary, meaning-making burdens grow amid data abundance. As events accelerate and developments become instantaneous, decision time narrows and error tolerance drops.</w:t>
      </w:r>
    </w:p>
    <w:p w14:paraId="6AFDC462"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Institutional Uncertainty and Lack of Doctrine</w:t>
      </w:r>
    </w:p>
    <w:p w14:paraId="2463C875"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Gray zones do not stem only from external threats. Internal institutional ambiguity also feeds them. Undefined authorities, vague rules of engagement, and contradictions between “take initiative” and “own the consequences” push professionals into the center of the gray zone. In such cases, the risk becomes less about the threat and more about the decision itself.</w:t>
      </w:r>
    </w:p>
    <w:p w14:paraId="230DF6B7"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Social and Political Pressure</w:t>
      </w:r>
    </w:p>
    <w:p w14:paraId="69BE8586"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Public safety professionals face not only operational outcomes, but also the social and political reverberations of their decisions. A legally correct intervention does not always mean it will be perceived as legitimate in the public eye. This adds an invisible but powerful pressure to decision-making and makes gray zones even more complex.</w:t>
      </w:r>
    </w:p>
    <w:p w14:paraId="4D15449D"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In short, gray zones cannot be reduced to a single cause. When asymmetric threats, ambiguous intent, structural limits of law, technological speed, and doctrinal gaps converge, the professional’s operating space inevitably turns gray. These zones cannot be removed; but reading their causes correctly is the first step toward making them manageable.</w:t>
      </w:r>
    </w:p>
    <w:p w14:paraId="43F61A32" w14:textId="77777777" w:rsidR="004D262E" w:rsidRPr="004D262E" w:rsidRDefault="00A32E1C" w:rsidP="004D262E">
      <w:pPr>
        <w:spacing w:after="0" w:line="240" w:lineRule="auto"/>
        <w:jc w:val="left"/>
        <w:rPr>
          <w:rFonts w:eastAsia="Times New Roman"/>
          <w:szCs w:val="24"/>
          <w:lang w:eastAsia="tr-TR"/>
        </w:rPr>
      </w:pPr>
      <w:r w:rsidRPr="00A32E1C">
        <w:rPr>
          <w:rFonts w:eastAsia="Times New Roman"/>
          <w:noProof/>
          <w:szCs w:val="24"/>
          <w:lang w:eastAsia="tr-TR"/>
          <w14:ligatures w14:val="standardContextual"/>
        </w:rPr>
        <w:pict w14:anchorId="40768733">
          <v:rect id="_x0000_i1030" alt="" style="width:453.6pt;height:.05pt;mso-width-percent:0;mso-height-percent:0;mso-width-percent:0;mso-height-percent:0" o:hralign="center" o:hrstd="t" o:hr="t" fillcolor="#a0a0a0" stroked="f"/>
        </w:pict>
      </w:r>
    </w:p>
    <w:p w14:paraId="5357BDDD" w14:textId="77777777" w:rsidR="004D262E" w:rsidRPr="004D262E" w:rsidRDefault="004D262E" w:rsidP="004D262E">
      <w:pPr>
        <w:spacing w:before="100" w:beforeAutospacing="1" w:after="100" w:afterAutospacing="1" w:line="240" w:lineRule="auto"/>
        <w:jc w:val="left"/>
        <w:outlineLvl w:val="1"/>
        <w:rPr>
          <w:rFonts w:eastAsia="Times New Roman"/>
          <w:b/>
          <w:bCs/>
          <w:color w:val="000000"/>
          <w:sz w:val="36"/>
          <w:szCs w:val="36"/>
          <w:lang w:eastAsia="tr-TR"/>
        </w:rPr>
      </w:pPr>
      <w:r w:rsidRPr="004D262E">
        <w:rPr>
          <w:rFonts w:eastAsia="Times New Roman"/>
          <w:b/>
          <w:bCs/>
          <w:color w:val="000000"/>
          <w:sz w:val="36"/>
          <w:szCs w:val="36"/>
          <w:lang w:eastAsia="tr-TR"/>
        </w:rPr>
        <w:t>The Decision Burden on Public Safety Professionals</w:t>
      </w:r>
    </w:p>
    <w:p w14:paraId="681BAEFC"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 xml:space="preserve">Decisions made in gray zones are less a technical execution than a mental process. In these environments, the public safety professional must manage not only the threat, but also </w:t>
      </w:r>
      <w:r w:rsidRPr="004D262E">
        <w:rPr>
          <w:rFonts w:eastAsia="Times New Roman"/>
          <w:color w:val="000000"/>
          <w:szCs w:val="24"/>
          <w:lang w:eastAsia="tr-TR"/>
        </w:rPr>
        <w:lastRenderedPageBreak/>
        <w:t>uncertainty, responsibility, and possible outcomes—simultaneously. This shifts decision-making from reflex to a discipline requiring high cognitive load.</w:t>
      </w:r>
    </w:p>
    <w:p w14:paraId="0914E260"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Time Pressure and Incomplete Information</w:t>
      </w:r>
    </w:p>
    <w:p w14:paraId="013D34C7"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In gray zones, decisions are often made with limited time and incomplete information. Not all variables are visible; intent has not clarified; risk may exist but is not certain. The professional acts knowing that waiting is also a decision—because delay carries the risks of non-intervention.</w:t>
      </w:r>
    </w:p>
    <w:p w14:paraId="241E56BD"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Asymmetric Consequences</w:t>
      </w:r>
    </w:p>
    <w:p w14:paraId="3AF25D17"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The outcomes of decisions in gray zones are not symmetrical. A “wrong” intervention can produce legal and ethical sanctions; “doing nothing” can lead to physical harm, loss of life, or systemic vulnerabilities. This asymmetry turns decision-making into an existential dilemma: Which risk is more acceptable?</w:t>
      </w:r>
    </w:p>
    <w:p w14:paraId="7EEA04D2"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The Personalization of Responsibility</w:t>
      </w:r>
    </w:p>
    <w:p w14:paraId="72C7DD21"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When doctrine and institutional frameworks are weak, responsibility ceases to be institutional and becomes individual. Professionals often learn only afterward whether their decision will be supported. This uncertainty weakens decisiveness and pushes people toward the option that creates “the least trouble”—which is not always the safest.</w:t>
      </w:r>
    </w:p>
    <w:p w14:paraId="787B29F4"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Psychological Load and Cognitive Burnout</w:t>
      </w:r>
    </w:p>
    <w:p w14:paraId="2805764B"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Personnel who operate continuously in gray zones can experience cognitive and emotional burnout over time. Constant vigilance, the obligation to cope with uncertainty, and the pressure of carrying long-term consequences strain mental resilience—raising error risk and weakening situational awareness.</w:t>
      </w:r>
    </w:p>
    <w:p w14:paraId="7497F070"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The Triangle of Law, Ethics, and Conscience</w:t>
      </w:r>
    </w:p>
    <w:p w14:paraId="03EFE6B0"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Decisions in gray zones are not only legal; they also carry ethical and moral dimensions. An intervention that is legally possible may be ethically questionable; an ethically “right” reflex may carry legal risk. Professionals can feel alone inside this triangle, often unable to determine clearly which compass should take priority.</w:t>
      </w:r>
    </w:p>
    <w:p w14:paraId="257193EE"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The Importance of Institutional Support and Leadership</w:t>
      </w:r>
    </w:p>
    <w:p w14:paraId="1144C876"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The most critical factor that lightens this burden is institutional posture. Clear rules of engagement, explicit authority definitions, and leadership’s willingness to stand behind decisions reduce cognitive load. Institutional silence or ambiguity deepens gray zones and makes individual initiative risky.</w:t>
      </w:r>
    </w:p>
    <w:p w14:paraId="16CB16C9"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Training and Mental Preparedness</w:t>
      </w:r>
    </w:p>
    <w:p w14:paraId="0835CE2D"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 xml:space="preserve">Success in gray zones depends less on technical skill and more on mental readiness. Scenario-based thinking, decision models, and ethical reasoning training help professionals carry this </w:t>
      </w:r>
      <w:r w:rsidRPr="004D262E">
        <w:rPr>
          <w:rFonts w:eastAsia="Times New Roman"/>
          <w:color w:val="000000"/>
          <w:szCs w:val="24"/>
          <w:lang w:eastAsia="tr-TR"/>
        </w:rPr>
        <w:lastRenderedPageBreak/>
        <w:t>burden. Training should not merely build reflexes; it should teach living with uncertainty and asking the right questions.</w:t>
      </w:r>
    </w:p>
    <w:p w14:paraId="13334DD2"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Ultimately, the decision burden is an unavoidable consequence of gray zones. It cannot be carried by personal courage alone; it requires mental discipline, institutional support, and clear doctrine. Otherwise, gray zones do not wear down the professional—they wear down the system.</w:t>
      </w:r>
    </w:p>
    <w:p w14:paraId="323D30FB" w14:textId="77777777" w:rsidR="004D262E" w:rsidRPr="004D262E" w:rsidRDefault="00A32E1C" w:rsidP="004D262E">
      <w:pPr>
        <w:spacing w:after="0" w:line="240" w:lineRule="auto"/>
        <w:jc w:val="left"/>
        <w:rPr>
          <w:rFonts w:eastAsia="Times New Roman"/>
          <w:szCs w:val="24"/>
          <w:lang w:eastAsia="tr-TR"/>
        </w:rPr>
      </w:pPr>
      <w:r w:rsidRPr="00A32E1C">
        <w:rPr>
          <w:rFonts w:eastAsia="Times New Roman"/>
          <w:noProof/>
          <w:szCs w:val="24"/>
          <w:lang w:eastAsia="tr-TR"/>
          <w14:ligatures w14:val="standardContextual"/>
        </w:rPr>
        <w:pict w14:anchorId="1E2D8BD7">
          <v:rect id="_x0000_i1029" alt="" style="width:453.6pt;height:.05pt;mso-width-percent:0;mso-height-percent:0;mso-width-percent:0;mso-height-percent:0" o:hralign="center" o:hrstd="t" o:hr="t" fillcolor="#a0a0a0" stroked="f"/>
        </w:pict>
      </w:r>
    </w:p>
    <w:p w14:paraId="708CCFCB" w14:textId="77777777" w:rsidR="004D262E" w:rsidRPr="004D262E" w:rsidRDefault="004D262E" w:rsidP="004D262E">
      <w:pPr>
        <w:spacing w:before="100" w:beforeAutospacing="1" w:after="100" w:afterAutospacing="1" w:line="240" w:lineRule="auto"/>
        <w:jc w:val="left"/>
        <w:outlineLvl w:val="1"/>
        <w:rPr>
          <w:rFonts w:eastAsia="Times New Roman"/>
          <w:b/>
          <w:bCs/>
          <w:color w:val="000000"/>
          <w:sz w:val="36"/>
          <w:szCs w:val="36"/>
          <w:lang w:eastAsia="tr-TR"/>
        </w:rPr>
      </w:pPr>
      <w:r w:rsidRPr="004D262E">
        <w:rPr>
          <w:rFonts w:eastAsia="Times New Roman"/>
          <w:b/>
          <w:bCs/>
          <w:color w:val="000000"/>
          <w:sz w:val="36"/>
          <w:szCs w:val="36"/>
          <w:lang w:eastAsia="tr-TR"/>
        </w:rPr>
        <w:t>Ethical Dilemmas: The Rift Between What Can Be Done and What Should Be Done</w:t>
      </w:r>
    </w:p>
    <w:p w14:paraId="650C8AF1"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The hardest question in gray zones is often not what </w:t>
      </w:r>
      <w:r w:rsidRPr="004D262E">
        <w:rPr>
          <w:rFonts w:eastAsia="Times New Roman"/>
          <w:i/>
          <w:iCs/>
          <w:color w:val="000000"/>
          <w:szCs w:val="24"/>
          <w:lang w:eastAsia="tr-TR"/>
        </w:rPr>
        <w:t>can</w:t>
      </w:r>
      <w:r w:rsidRPr="004D262E">
        <w:rPr>
          <w:rFonts w:eastAsia="Times New Roman"/>
          <w:color w:val="000000"/>
          <w:szCs w:val="24"/>
          <w:lang w:eastAsia="tr-TR"/>
        </w:rPr>
        <w:t> be done, but what </w:t>
      </w:r>
      <w:r w:rsidRPr="004D262E">
        <w:rPr>
          <w:rFonts w:eastAsia="Times New Roman"/>
          <w:i/>
          <w:iCs/>
          <w:color w:val="000000"/>
          <w:szCs w:val="24"/>
          <w:lang w:eastAsia="tr-TR"/>
        </w:rPr>
        <w:t>should</w:t>
      </w:r>
      <w:r w:rsidRPr="004D262E">
        <w:rPr>
          <w:rFonts w:eastAsia="Times New Roman"/>
          <w:color w:val="000000"/>
          <w:szCs w:val="24"/>
          <w:lang w:eastAsia="tr-TR"/>
        </w:rPr>
        <w:t> be done. Legal authority, technical capacity, and operational means may make an intervention possible. But possibility does not guarantee ethical correctness. The central rift of gray zones appears here.</w:t>
      </w:r>
    </w:p>
    <w:p w14:paraId="2D3B247B"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Legal Legitimacy vs. Ethical Legitimacy</w:t>
      </w:r>
    </w:p>
    <w:p w14:paraId="50F34FDC"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Law defines conduct and draws boundaries; ethics interrogates intent, consequences, and social impact. An intervention may be legal but ethically controversial. Conversely, an ethically motivated reflex may carry legal risk. Gray zones are where these two forms of legitimacy most often diverge.</w:t>
      </w:r>
    </w:p>
    <w:p w14:paraId="214B8836"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The Problem of Proportionality</w:t>
      </w:r>
    </w:p>
    <w:p w14:paraId="69B5388F"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Proportionality sits at the center of many ethical dilemmas. When the balance between perceived threat and response breaks, an intervention may lose ethical legitimacy even if it is legal. But in gray zones, the threat has not yet materialized—making that balance extremely difficult to assess in real time.</w:t>
      </w:r>
    </w:p>
    <w:p w14:paraId="6847C7F3"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The Ethical Cost of Preventive Intervention</w:t>
      </w:r>
    </w:p>
    <w:p w14:paraId="24CE94BD"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Preventive intervention is another frequent dilemma: acting before a crime has occurred, based only on potential risk. The trade-off between harm that might occur if one does nothing and rights violations that might occur if one intervenes creates an ethical load too heavy to be borne alone.</w:t>
      </w:r>
    </w:p>
    <w:p w14:paraId="242CD9DF"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Public Conscience and Perception</w:t>
      </w:r>
    </w:p>
    <w:p w14:paraId="67AF173A"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Ethical decisions are not only about being right, but also about being perceived as right. A legally and operationally justified action may still fail in the court of public conscience. Gray-zone decisions are often judged less by the event itself than by the narratives built afterward—further complicating ethical reasoning.</w:t>
      </w:r>
    </w:p>
    <w:p w14:paraId="431AF665"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Intent, Outcome, and Responsibility</w:t>
      </w:r>
    </w:p>
    <w:p w14:paraId="7C6B50DC"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lastRenderedPageBreak/>
        <w:t>Intent and outcome do not always align. A well-intentioned decision may produce negative results; avoiding risk may open the door to greater harm. In gray zones, professionals are accountable not only for what they do, but also for what they choose not to do. Ethical reasoning becomes dynamic rather than a static rule set.</w:t>
      </w:r>
    </w:p>
    <w:p w14:paraId="3C0A15C3"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The Absence of an Institutional Ethical Framework</w:t>
      </w:r>
    </w:p>
    <w:p w14:paraId="69F1ADD5"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Ethical dilemmas cannot be solved individually. Without a clear institutional ethical framework, professionals rely on personal conscience—leading to personalized decisions and eroded standards. Ethical consistency in gray zones depends less on individual virtue than on institutional stance.</w:t>
      </w:r>
    </w:p>
    <w:p w14:paraId="77A6B5F8"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Training Ethical Judgment</w:t>
      </w:r>
    </w:p>
    <w:p w14:paraId="519FD305"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Ethics is not an instinct; it is a developable competence. For gray-zone professionals, ethical judgment cannot be reduced to memorizing principles. Scenario-based debates, case analysis, and a culture of open feedback strengthen ethical decision capacity. Otherwise, ethics becomes the first casualty in crisis moments.</w:t>
      </w:r>
    </w:p>
    <w:p w14:paraId="7B6F3E41"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Ethical dilemmas in gray zones do not have single correct answers. They require asking the correct questions. The rift between what can be done and what should be done never fully closes; but being aware of it forces action to be guided by consciousness rather than reflex. Ethical awareness may not make decisions easier—but it strengthens their legitimacy and coherence.</w:t>
      </w:r>
    </w:p>
    <w:p w14:paraId="75B442D7" w14:textId="77777777" w:rsidR="004D262E" w:rsidRPr="004D262E" w:rsidRDefault="00A32E1C" w:rsidP="004D262E">
      <w:pPr>
        <w:spacing w:after="0" w:line="240" w:lineRule="auto"/>
        <w:jc w:val="left"/>
        <w:rPr>
          <w:rFonts w:eastAsia="Times New Roman"/>
          <w:szCs w:val="24"/>
          <w:lang w:eastAsia="tr-TR"/>
        </w:rPr>
      </w:pPr>
      <w:r w:rsidRPr="00A32E1C">
        <w:rPr>
          <w:rFonts w:eastAsia="Times New Roman"/>
          <w:noProof/>
          <w:szCs w:val="24"/>
          <w:lang w:eastAsia="tr-TR"/>
          <w14:ligatures w14:val="standardContextual"/>
        </w:rPr>
        <w:pict w14:anchorId="545A888D">
          <v:rect id="_x0000_i1028" alt="" style="width:453.6pt;height:.05pt;mso-width-percent:0;mso-height-percent:0;mso-width-percent:0;mso-height-percent:0" o:hralign="center" o:hrstd="t" o:hr="t" fillcolor="#a0a0a0" stroked="f"/>
        </w:pict>
      </w:r>
    </w:p>
    <w:p w14:paraId="1F751C48" w14:textId="77777777" w:rsidR="004D262E" w:rsidRPr="004D262E" w:rsidRDefault="004D262E" w:rsidP="004D262E">
      <w:pPr>
        <w:spacing w:before="100" w:beforeAutospacing="1" w:after="100" w:afterAutospacing="1" w:line="240" w:lineRule="auto"/>
        <w:jc w:val="left"/>
        <w:outlineLvl w:val="1"/>
        <w:rPr>
          <w:rFonts w:eastAsia="Times New Roman"/>
          <w:b/>
          <w:bCs/>
          <w:color w:val="000000"/>
          <w:sz w:val="36"/>
          <w:szCs w:val="36"/>
          <w:lang w:eastAsia="tr-TR"/>
        </w:rPr>
      </w:pPr>
      <w:r w:rsidRPr="004D262E">
        <w:rPr>
          <w:rFonts w:eastAsia="Times New Roman"/>
          <w:b/>
          <w:bCs/>
          <w:color w:val="000000"/>
          <w:sz w:val="36"/>
          <w:szCs w:val="36"/>
          <w:lang w:eastAsia="tr-TR"/>
        </w:rPr>
        <w:t>Legal Boundaries: Where Do They Begin, and Where Do They Become Unclear?</w:t>
      </w:r>
    </w:p>
    <w:p w14:paraId="6ACAB877"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Law is the legitimacy ground of security activity—but that ground is not always clear, smooth, or comprehensive. Especially in gray zones, law often provides a frame rather than a roadmap. The interior of that frame is filled by interpretation, precedent, and context—and the trouble begins in that filling process.</w:t>
      </w:r>
    </w:p>
    <w:p w14:paraId="7E13A3EA"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Law’s Dependence on Defined Acts</w:t>
      </w:r>
    </w:p>
    <w:p w14:paraId="52843D6B"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Legal norms are built around defined acts and realized events. Elements of crimes, limits of authority, and sanctions depend on concreteness and evidence. Yet in gray zones, the situations encountered have not yet become defined acts. The threat is potential, intent is unclear, and harm remains at the level of possibility. Law is therefore often silent.</w:t>
      </w:r>
    </w:p>
    <w:p w14:paraId="363523FD"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Time Gap and the Risk of Retrospective Judgment</w:t>
      </w:r>
    </w:p>
    <w:p w14:paraId="2FB26CE4"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The security professional must decide before events occur, while legal evaluation is typically done after. This time gap is one of the main tensions in gray zones. Decisions are made under uncertainty; judgments are made with an expectation of hindsight clarity. The difference between “conditions at the time” and “outcomes afterward” can be ignored.</w:t>
      </w:r>
    </w:p>
    <w:p w14:paraId="6B082158"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lastRenderedPageBreak/>
        <w:t>Lack of Precedent and Interpretive Openness</w:t>
      </w:r>
    </w:p>
    <w:p w14:paraId="31F427DA"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Gray zones frequently involve limited established precedent. When similar cases are few, legal interpretation widens. While this may look like flexibility in theory, it creates unpredictability in practice. The same kind of decision can produce different legal outcomes across contexts—adding yet another invisible uncertainty to decision-making.</w:t>
      </w:r>
    </w:p>
    <w:p w14:paraId="7EA9ABD6"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Asymmetry Between Authority and Liability</w:t>
      </w:r>
    </w:p>
    <w:p w14:paraId="4E32222F"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Another point where legal boundaries blur is the authority–liability balance. Authority may be broadly defined, while liability is often individualized. Without clear institutional support mechanisms, professionals are trapped between using their authority and assuming legal risk—weakening law’s protective function.</w:t>
      </w:r>
    </w:p>
    <w:p w14:paraId="74563F0F"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Law as Outcome-Oriented Rather Than Deterrence-Oriented</w:t>
      </w:r>
    </w:p>
    <w:p w14:paraId="2BBE286C"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Law is generally not preventive; it is outcome-oriented. It identifies, evaluates, and sanctions violations. But gray zones require guidance </w:t>
      </w:r>
      <w:r w:rsidRPr="004D262E">
        <w:rPr>
          <w:rFonts w:eastAsia="Times New Roman"/>
          <w:i/>
          <w:iCs/>
          <w:color w:val="000000"/>
          <w:szCs w:val="24"/>
          <w:lang w:eastAsia="tr-TR"/>
        </w:rPr>
        <w:t>before</w:t>
      </w:r>
      <w:r w:rsidRPr="004D262E">
        <w:rPr>
          <w:rFonts w:eastAsia="Times New Roman"/>
          <w:color w:val="000000"/>
          <w:szCs w:val="24"/>
          <w:lang w:eastAsia="tr-TR"/>
        </w:rPr>
        <w:t> the event occurs. When that guidance is missing, professionals begin to perceive law not as a guide but as a risk they will face afterward.</w:t>
      </w:r>
    </w:p>
    <w:p w14:paraId="39218862"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How Legal Uncertainty Shapes Behavior</w:t>
      </w:r>
    </w:p>
    <w:p w14:paraId="5679E693"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Unclear legal boundaries directly shape decision behavior. Professionals may become passive to avoid risk or choose options that minimize personal liability. This can weaken security capacity and make “doing nothing” appear to be the safest path—though it may create greater long-term risk.</w:t>
      </w:r>
    </w:p>
    <w:p w14:paraId="1D8F807A"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Building Legal Clarity Institutionally</w:t>
      </w:r>
    </w:p>
    <w:p w14:paraId="25409174"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Legal clarity in gray zones cannot come from individual interpretation alone; it must be built through institutional frameworks. Clear rules of engagement, written decision-support mechanisms, and fair post-incident evaluation processes make legal uncertainty manageable. This is not about making law rigid, but making it predictable.</w:t>
      </w:r>
    </w:p>
    <w:p w14:paraId="3918CD68"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Legal boundaries do not disappear in gray zones; they blur. This blurring is not due to law’s inadequacy, but to the complexity of security practice. The role of law in gray zones is not to answer every question, but to ensure decision-makers know the ground they are standing on. Legal clarity does not remove risk—but it makes it meaningful to understand which risk was taken and why.</w:t>
      </w:r>
    </w:p>
    <w:p w14:paraId="078CE673" w14:textId="77777777" w:rsidR="004D262E" w:rsidRPr="004D262E" w:rsidRDefault="00A32E1C" w:rsidP="004D262E">
      <w:pPr>
        <w:spacing w:after="0" w:line="240" w:lineRule="auto"/>
        <w:jc w:val="left"/>
        <w:rPr>
          <w:rFonts w:eastAsia="Times New Roman"/>
          <w:szCs w:val="24"/>
          <w:lang w:eastAsia="tr-TR"/>
        </w:rPr>
      </w:pPr>
      <w:r w:rsidRPr="00A32E1C">
        <w:rPr>
          <w:rFonts w:eastAsia="Times New Roman"/>
          <w:noProof/>
          <w:szCs w:val="24"/>
          <w:lang w:eastAsia="tr-TR"/>
          <w14:ligatures w14:val="standardContextual"/>
        </w:rPr>
        <w:pict w14:anchorId="30357412">
          <v:rect id="_x0000_i1027" alt="" style="width:453.6pt;height:.05pt;mso-width-percent:0;mso-height-percent:0;mso-width-percent:0;mso-height-percent:0" o:hralign="center" o:hrstd="t" o:hr="t" fillcolor="#a0a0a0" stroked="f"/>
        </w:pict>
      </w:r>
    </w:p>
    <w:p w14:paraId="4371912F" w14:textId="77777777" w:rsidR="004D262E" w:rsidRPr="004D262E" w:rsidRDefault="004D262E" w:rsidP="004D262E">
      <w:pPr>
        <w:spacing w:before="100" w:beforeAutospacing="1" w:after="100" w:afterAutospacing="1" w:line="240" w:lineRule="auto"/>
        <w:jc w:val="left"/>
        <w:outlineLvl w:val="1"/>
        <w:rPr>
          <w:rFonts w:eastAsia="Times New Roman"/>
          <w:b/>
          <w:bCs/>
          <w:color w:val="000000"/>
          <w:sz w:val="36"/>
          <w:szCs w:val="36"/>
          <w:lang w:eastAsia="tr-TR"/>
        </w:rPr>
      </w:pPr>
      <w:r w:rsidRPr="004D262E">
        <w:rPr>
          <w:rFonts w:eastAsia="Times New Roman"/>
          <w:b/>
          <w:bCs/>
          <w:color w:val="000000"/>
          <w:sz w:val="36"/>
          <w:szCs w:val="36"/>
          <w:lang w:eastAsia="tr-TR"/>
        </w:rPr>
        <w:t>The Role of Institutional Doctrine and Leadership</w:t>
      </w:r>
    </w:p>
    <w:p w14:paraId="76DB95E2"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Decisions in gray zones are often explained as a matter of individual courage. This looks for the problem in the wrong place. Success or failure in gray zones depends less on the qualities of a single professional and more on the institutional doctrine and leadership philosophy surrounding them. What the institution permits is important—but so is what it stands behind.</w:t>
      </w:r>
    </w:p>
    <w:p w14:paraId="6111E8D3"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lastRenderedPageBreak/>
        <w:t>Doctrine: The Sum of Unwritten Rules</w:t>
      </w:r>
    </w:p>
    <w:p w14:paraId="071DCBE2"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Doctrine is not only instructions, guidelines, or procedures. Real doctrine is the internal answer personnel give in crisis: </w:t>
      </w:r>
      <w:r w:rsidRPr="004D262E">
        <w:rPr>
          <w:rFonts w:eastAsia="Times New Roman"/>
          <w:i/>
          <w:iCs/>
          <w:color w:val="000000"/>
          <w:szCs w:val="24"/>
          <w:lang w:eastAsia="tr-TR"/>
        </w:rPr>
        <w:t>What does my institution expect from me?</w:t>
      </w:r>
      <w:r w:rsidRPr="004D262E">
        <w:rPr>
          <w:rFonts w:eastAsia="Times New Roman"/>
          <w:color w:val="000000"/>
          <w:szCs w:val="24"/>
          <w:lang w:eastAsia="tr-TR"/>
        </w:rPr>
        <w:t> If that answer is unclear, gray-zone decisions become random. Clear doctrine defines not only how to act, but also the boundaries of how to think.</w:t>
      </w:r>
    </w:p>
    <w:p w14:paraId="1D235FCA"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Clarity of Rules of Engagement</w:t>
      </w:r>
    </w:p>
    <w:p w14:paraId="711E952F"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Rules of engagement are where uncertainty is felt most. Vague phrases like “take initiative if necessary” often mean pushing responsibility downward. Effective rules do not “free” personnel; they reduce cognitive load. Not only when to intervene, but also when to hold back, must be clearly defined.</w:t>
      </w:r>
    </w:p>
    <w:p w14:paraId="3D4E0CE2"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Leadership’s Silent Messages</w:t>
      </w:r>
    </w:p>
    <w:p w14:paraId="765107A6"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Leadership produces doctrine not only through orders, but through post-crisis posture. Silence, distance, or “it depends” attitudes after a decision send strong messages—often stronger than written policies. Decisions not backed by leadership tend to be treated later as if they should never have been made.</w:t>
      </w:r>
    </w:p>
    <w:p w14:paraId="1D9F6B6F"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Sharing Responsibility</w:t>
      </w:r>
    </w:p>
    <w:p w14:paraId="07E94C08"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One of the clearest signs of institutional maturity is how responsibility is shared. Placing the full cost of gray-zone decisions only on field personnel is a systemic vulnerability. If the institution is part of decision-making, it must also be part of the outcomes. Otherwise, professionals focus on self-protection rather than risk management.</w:t>
      </w:r>
    </w:p>
    <w:p w14:paraId="1C16860E"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Post-Incident Review Culture</w:t>
      </w:r>
    </w:p>
    <w:p w14:paraId="272194F0"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One of the strongest mechanisms for building doctrine in gray zones is post-incident review. These reviews should be educational, not punitive. The aim is not to find the guilty party, but to understand the reasoning process. Without questioning the assumptions behind decisions, the same gray zones will reproduce the same problems again and again.</w:t>
      </w:r>
    </w:p>
    <w:p w14:paraId="4E5B8A76"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Training and Doctrinal Continuity</w:t>
      </w:r>
    </w:p>
    <w:p w14:paraId="28DBB174"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Doctrine is not static. As threats change, doctrine must be updated—not only through legal amendments, but through feedback from the field. Training carries this continuity, but it should not be mere technical repetition. It must keep decision-making, ethical reasoning, and risk assessment capacity alive through mental practice.</w:t>
      </w:r>
    </w:p>
    <w:p w14:paraId="0F3367CA"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Leadership and Psychological Safety</w:t>
      </w:r>
    </w:p>
    <w:p w14:paraId="42217026"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The precondition for decision-making in gray zones is psychological safety. Professionals must know that when they make a reasonable, well-justified decision, the institution will not abandon them. Without that environment, even the most capable personnel become passive. Leadership’s most critical role is building this trust—not through words, but through consistent actions.</w:t>
      </w:r>
    </w:p>
    <w:p w14:paraId="17D82B63"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lastRenderedPageBreak/>
        <w:t>In short, there is no such thing as purely individual success in gray zones. These environments expose an institution’s way of thinking, leadership’s responsibility culture, and doctrinal consistency. Strong institutions do not load gray zones onto their personnel’s shoulders; they build the mental and institutional framework to manage them in advance—because decisions made in gray zones represent not only the professional on the ground, but the institution as a whole.</w:t>
      </w:r>
    </w:p>
    <w:p w14:paraId="5B0536AD" w14:textId="77777777" w:rsidR="004D262E" w:rsidRPr="004D262E" w:rsidRDefault="00A32E1C" w:rsidP="004D262E">
      <w:pPr>
        <w:spacing w:after="0" w:line="240" w:lineRule="auto"/>
        <w:jc w:val="left"/>
        <w:rPr>
          <w:rFonts w:eastAsia="Times New Roman"/>
          <w:szCs w:val="24"/>
          <w:lang w:eastAsia="tr-TR"/>
        </w:rPr>
      </w:pPr>
      <w:r w:rsidRPr="00A32E1C">
        <w:rPr>
          <w:rFonts w:eastAsia="Times New Roman"/>
          <w:noProof/>
          <w:szCs w:val="24"/>
          <w:lang w:eastAsia="tr-TR"/>
          <w14:ligatures w14:val="standardContextual"/>
        </w:rPr>
        <w:pict w14:anchorId="0DB2B121">
          <v:rect id="_x0000_i1026" alt="" style="width:453.6pt;height:.05pt;mso-width-percent:0;mso-height-percent:0;mso-width-percent:0;mso-height-percent:0" o:hralign="center" o:hrstd="t" o:hr="t" fillcolor="#a0a0a0" stroked="f"/>
        </w:pict>
      </w:r>
    </w:p>
    <w:p w14:paraId="720F7026" w14:textId="77777777" w:rsidR="004D262E" w:rsidRPr="004D262E" w:rsidRDefault="004D262E" w:rsidP="004D262E">
      <w:pPr>
        <w:spacing w:before="100" w:beforeAutospacing="1" w:after="100" w:afterAutospacing="1" w:line="240" w:lineRule="auto"/>
        <w:jc w:val="left"/>
        <w:outlineLvl w:val="1"/>
        <w:rPr>
          <w:rFonts w:eastAsia="Times New Roman"/>
          <w:b/>
          <w:bCs/>
          <w:color w:val="000000"/>
          <w:sz w:val="36"/>
          <w:szCs w:val="36"/>
          <w:lang w:eastAsia="tr-TR"/>
        </w:rPr>
      </w:pPr>
      <w:r w:rsidRPr="004D262E">
        <w:rPr>
          <w:rFonts w:eastAsia="Times New Roman"/>
          <w:b/>
          <w:bCs/>
          <w:color w:val="000000"/>
          <w:sz w:val="36"/>
          <w:szCs w:val="36"/>
          <w:lang w:eastAsia="tr-TR"/>
        </w:rPr>
        <w:t>Case Reading: The Anatomy of Decision in Gray Zones</w:t>
      </w:r>
    </w:p>
    <w:p w14:paraId="554E51D2"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i/>
          <w:iCs/>
          <w:color w:val="000000"/>
          <w:szCs w:val="24"/>
          <w:lang w:eastAsia="tr-TR"/>
        </w:rPr>
        <w:t>(A General Framework Without a Specific Event)</w:t>
      </w:r>
    </w:p>
    <w:p w14:paraId="38A5D469"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Case readings are indispensable for understanding gray zones. But the purpose here is not to retell a real event or deliver a right–wrong verdict. The purpose is to reveal which assumptions, constraints, and pressures shape decision-making—because in gray zones, the process is often more instructive than the outcome.</w:t>
      </w:r>
    </w:p>
    <w:p w14:paraId="4CD281EE"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Defining the Situation: The Moment That Begins with Uncertainty</w:t>
      </w:r>
    </w:p>
    <w:p w14:paraId="42CF73BC"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A typical gray-zone case does not begin with an overt threat. There is no defined crime; instead, there may be an unusual behavior, a movement inconsistent with context, or a meaningful deviation in time and place. The professional is caught between the feeling that “something is happening” and the fact that “there is nothing yet.” The gray nature of the case appears exactly here.</w:t>
      </w:r>
    </w:p>
    <w:p w14:paraId="2B97B8D5"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Information Constraints and Assumptions</w:t>
      </w:r>
    </w:p>
    <w:p w14:paraId="769A8C6E"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As the case progresses, information is limited. Observations are fragmented, intent is unclear, and time is rapidly narrowing. The professional inevitably produces assumptions based on experience, training, and institutional doctrine. But every assumption is also a risk. The problem is not making a wrong assumption—it is failing to recognize that one is assuming.</w:t>
      </w:r>
    </w:p>
    <w:p w14:paraId="220A5BFD"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When Does the Threshold for Intervention Begin?</w:t>
      </w:r>
    </w:p>
    <w:p w14:paraId="0277AE57"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The most critical point is the intervention threshold. When is “monitoring” enough, and when must one act? This threshold is often a mental line rather than a written rule. If institutional doctrine is unclear, the line is shaped by personal tolerance—so the same situation yields different thresholds for different professionals.</w:t>
      </w:r>
    </w:p>
    <w:p w14:paraId="4467E046"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The Moment the Decision Is Made</w:t>
      </w:r>
    </w:p>
    <w:p w14:paraId="6013BEC3"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The decision moment is usually not dramatic. There are no loud noises or explicit threats. It is made within ordinariness—and that ordinariness is one of the most dangerous aspects of gray zones. The professional often cannot foresee how intensely the decision will be debated later. It is made with incomplete information, under time pressure, with limited reversible options.</w:t>
      </w:r>
    </w:p>
    <w:p w14:paraId="708A2DCE"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Outcomes and Retrospective Reading</w:t>
      </w:r>
    </w:p>
    <w:p w14:paraId="000C386B"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lastRenderedPageBreak/>
        <w:t>Once the case ends, the picture changes. Information clarifies, outcomes become visible, and retrospective judgments begin. The most common mistake is ignoring uncertainty at the decision moment and centering the outcome instead. A fair reading asks not “what happened?” but “what was known at the time?”</w:t>
      </w:r>
    </w:p>
    <w:p w14:paraId="6FDD08A8"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The Limits of Alternative Scenarios</w:t>
      </w:r>
    </w:p>
    <w:p w14:paraId="0DA2002F"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Analyses often ask, “what if it had been done differently?” The question is valuable but limited because alternative scenarios are built with post-event knowledge. Correct gray-zone analysis focuses less on imagined alternatives and more on understanding the actual option set available at the moment of decision.</w:t>
      </w:r>
    </w:p>
    <w:p w14:paraId="1AEDC273" w14:textId="77777777" w:rsidR="004D262E" w:rsidRPr="004D262E" w:rsidRDefault="004D262E" w:rsidP="004D262E">
      <w:pPr>
        <w:spacing w:before="100" w:beforeAutospacing="1" w:after="100" w:afterAutospacing="1" w:line="240" w:lineRule="auto"/>
        <w:jc w:val="left"/>
        <w:outlineLvl w:val="2"/>
        <w:rPr>
          <w:rFonts w:eastAsia="Times New Roman"/>
          <w:b/>
          <w:bCs/>
          <w:color w:val="000000"/>
          <w:sz w:val="27"/>
          <w:szCs w:val="27"/>
          <w:lang w:eastAsia="tr-TR"/>
        </w:rPr>
      </w:pPr>
      <w:r w:rsidRPr="004D262E">
        <w:rPr>
          <w:rFonts w:eastAsia="Times New Roman"/>
          <w:b/>
          <w:bCs/>
          <w:color w:val="000000"/>
          <w:sz w:val="27"/>
          <w:szCs w:val="27"/>
          <w:lang w:eastAsia="tr-TR"/>
        </w:rPr>
        <w:t>What the Case Really Teaches</w:t>
      </w:r>
    </w:p>
    <w:p w14:paraId="2E49722C"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Such cases reveal systemic gaps more than individual failures. Unclear doctrine, ambiguous rules of engagement, and weak institutional support personalize the decision burden. A case becomes instructive when it shifts from “who made a mistake?” to “why was this decision made this way?”</w:t>
      </w:r>
    </w:p>
    <w:p w14:paraId="52ADC4E5"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Gray-zone cases are not catalogs of correct and incorrect decisions. They are mirrors that test the maturity of security culture. Read correctly, they develop thinking processes rather than reflexes. Their value is not in judging the past, but in making future decisions more conscious.</w:t>
      </w:r>
    </w:p>
    <w:p w14:paraId="6F6766E5" w14:textId="77777777" w:rsidR="004D262E" w:rsidRPr="004D262E" w:rsidRDefault="00A32E1C" w:rsidP="004D262E">
      <w:pPr>
        <w:spacing w:after="0" w:line="240" w:lineRule="auto"/>
        <w:jc w:val="left"/>
        <w:rPr>
          <w:rFonts w:eastAsia="Times New Roman"/>
          <w:szCs w:val="24"/>
          <w:lang w:eastAsia="tr-TR"/>
        </w:rPr>
      </w:pPr>
      <w:r w:rsidRPr="00A32E1C">
        <w:rPr>
          <w:rFonts w:eastAsia="Times New Roman"/>
          <w:noProof/>
          <w:szCs w:val="24"/>
          <w:lang w:eastAsia="tr-TR"/>
          <w14:ligatures w14:val="standardContextual"/>
        </w:rPr>
        <w:pict w14:anchorId="1B42099F">
          <v:rect id="_x0000_i1025" alt="" style="width:453.6pt;height:.05pt;mso-width-percent:0;mso-height-percent:0;mso-width-percent:0;mso-height-percent:0" o:hralign="center" o:hrstd="t" o:hr="t" fillcolor="#a0a0a0" stroked="f"/>
        </w:pict>
      </w:r>
    </w:p>
    <w:p w14:paraId="6CE359FF" w14:textId="77777777" w:rsidR="004D262E" w:rsidRPr="004D262E" w:rsidRDefault="004D262E" w:rsidP="004D262E">
      <w:pPr>
        <w:spacing w:before="100" w:beforeAutospacing="1" w:after="100" w:afterAutospacing="1" w:line="240" w:lineRule="auto"/>
        <w:jc w:val="left"/>
        <w:outlineLvl w:val="1"/>
        <w:rPr>
          <w:rFonts w:eastAsia="Times New Roman"/>
          <w:b/>
          <w:bCs/>
          <w:color w:val="000000"/>
          <w:sz w:val="36"/>
          <w:szCs w:val="36"/>
          <w:lang w:eastAsia="tr-TR"/>
        </w:rPr>
      </w:pPr>
      <w:r w:rsidRPr="004D262E">
        <w:rPr>
          <w:rFonts w:eastAsia="Times New Roman"/>
          <w:b/>
          <w:bCs/>
          <w:color w:val="000000"/>
          <w:sz w:val="36"/>
          <w:szCs w:val="36"/>
          <w:lang w:eastAsia="tr-TR"/>
        </w:rPr>
        <w:t>Closing: What Should We Learn?</w:t>
      </w:r>
    </w:p>
    <w:p w14:paraId="690080BF"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Gray zones are not anomalies to be eliminated; they are an unavoidable reality of modern security practice. When asymmetric threats, ambiguous intent, the temporal limits of law, and the human factor converge, the operational ground naturally turns gray. Denying this does not simplify security—it only makes it fragile.</w:t>
      </w:r>
    </w:p>
    <w:p w14:paraId="53581BFE"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The core truth that emerges is this:</w:t>
      </w:r>
      <w:r w:rsidRPr="004D262E">
        <w:rPr>
          <w:rFonts w:eastAsia="Times New Roman"/>
          <w:color w:val="000000"/>
          <w:szCs w:val="24"/>
          <w:lang w:eastAsia="tr-TR"/>
        </w:rPr>
        <w:br/>
        <w:t>Gray zones are not tests of individual courage; they are tests of institutional maturity and mental preparedness. The problem is not encountering uncertainty. The problem is responding to uncertainty with reflex, fear, or isolated individual initiative.</w:t>
      </w:r>
    </w:p>
    <w:p w14:paraId="7636BBBB"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In gray zones, there is often no “correct decision.” Instead, there are </w:t>
      </w:r>
      <w:r w:rsidRPr="004D262E">
        <w:rPr>
          <w:rFonts w:eastAsia="Times New Roman"/>
          <w:i/>
          <w:iCs/>
          <w:color w:val="000000"/>
          <w:szCs w:val="24"/>
          <w:lang w:eastAsia="tr-TR"/>
        </w:rPr>
        <w:t>justified</w:t>
      </w:r>
      <w:r w:rsidRPr="004D262E">
        <w:rPr>
          <w:rFonts w:eastAsia="Times New Roman"/>
          <w:color w:val="000000"/>
          <w:szCs w:val="24"/>
          <w:lang w:eastAsia="tr-TR"/>
        </w:rPr>
        <w:t> decisions—ones that gain meaning insofar as they align with the information available at the time, existing doctrine, and ethical–legal frameworks. Even if outcomes are negative, if the assumptions behind a decision are clear, an institution can learn. If that clarity is absent, the same mistakes return under different names.</w:t>
      </w:r>
    </w:p>
    <w:p w14:paraId="2CCCFAAF"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Another key lesson is that security is not only something executed in the field. Security begins at the table—in training, doctrine, and leadership. The decisions professionals make are reflections of the mental infrastructure institutions build over years. When that infrastructure is weak, even the best intentions become a burden in gray zones.</w:t>
      </w:r>
    </w:p>
    <w:p w14:paraId="4EB9C7E4"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lastRenderedPageBreak/>
        <w:t>Gray zones also test ethical maturity. The reality that not everything legally possible should be done—and not every ethically “right” reflex is legally protected—is felt most sharply here. Ethics cannot be an abstract principle recalled during crises; it must be a compass that has been previously thought through, debated, and internalized.</w:t>
      </w:r>
    </w:p>
    <w:p w14:paraId="48365822"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At the institutional level, how gray zones are managed reveals leadership quality. Where there are no clear doctrines, transparent rules of engagement, and fair post-incident review cultures, gray zones exhaust individuals. Strong institutions do not place gray zones on their personnel’s shoulders; they build the framework to manage them in advance. This is not about controlling people—it is about sharing responsibility.</w:t>
      </w:r>
    </w:p>
    <w:p w14:paraId="67DFF62D"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Finally, gray zones remind professionals of an uncomfortable truth:</w:t>
      </w:r>
      <w:r w:rsidRPr="004D262E">
        <w:rPr>
          <w:rFonts w:eastAsia="Times New Roman"/>
          <w:color w:val="000000"/>
          <w:szCs w:val="24"/>
          <w:lang w:eastAsia="tr-TR"/>
        </w:rPr>
        <w:br/>
        <w:t>Security does not produce certainty. Security produces the capacity to live with uncertainty and remain consistent within it. That capacity cannot be gained through technology alone, procedures alone, or experience alone. It becomes meaningful only when mental discipline, analytical thinking, and institutional culture come together.</w:t>
      </w:r>
    </w:p>
    <w:p w14:paraId="15F416C9"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Gray zones cannot be eliminated.</w:t>
      </w:r>
      <w:r w:rsidRPr="004D262E">
        <w:rPr>
          <w:rFonts w:eastAsia="Times New Roman"/>
          <w:color w:val="000000"/>
          <w:szCs w:val="24"/>
          <w:lang w:eastAsia="tr-TR"/>
        </w:rPr>
        <w:br/>
        <w:t>But they can be read correctly.</w:t>
      </w:r>
      <w:r w:rsidRPr="004D262E">
        <w:rPr>
          <w:rFonts w:eastAsia="Times New Roman"/>
          <w:color w:val="000000"/>
          <w:szCs w:val="24"/>
          <w:lang w:eastAsia="tr-TR"/>
        </w:rPr>
        <w:br/>
        <w:t>And when they are read correctly, they become not a factor that weakens security, but a test that matures it.</w:t>
      </w:r>
    </w:p>
    <w:p w14:paraId="501AC8DA" w14:textId="77777777" w:rsidR="004D262E" w:rsidRPr="004D262E" w:rsidRDefault="004D262E" w:rsidP="004D262E">
      <w:pPr>
        <w:spacing w:before="100" w:beforeAutospacing="1" w:after="100" w:afterAutospacing="1" w:line="240" w:lineRule="auto"/>
        <w:jc w:val="left"/>
        <w:rPr>
          <w:rFonts w:eastAsia="Times New Roman"/>
          <w:color w:val="000000"/>
          <w:szCs w:val="24"/>
          <w:lang w:eastAsia="tr-TR"/>
        </w:rPr>
      </w:pPr>
      <w:r w:rsidRPr="004D262E">
        <w:rPr>
          <w:rFonts w:eastAsia="Times New Roman"/>
          <w:color w:val="000000"/>
          <w:szCs w:val="24"/>
          <w:lang w:eastAsia="tr-TR"/>
        </w:rPr>
        <w:t>That is the purpose of this text:</w:t>
      </w:r>
      <w:r w:rsidRPr="004D262E">
        <w:rPr>
          <w:rFonts w:eastAsia="Times New Roman"/>
          <w:color w:val="000000"/>
          <w:szCs w:val="24"/>
          <w:lang w:eastAsia="tr-TR"/>
        </w:rPr>
        <w:br/>
        <w:t>Before asking “what should we have done?” in gray zones,</w:t>
      </w:r>
      <w:r w:rsidRPr="004D262E">
        <w:rPr>
          <w:rFonts w:eastAsia="Times New Roman"/>
          <w:color w:val="000000"/>
          <w:szCs w:val="24"/>
          <w:lang w:eastAsia="tr-TR"/>
        </w:rPr>
        <w:br/>
        <w:t>to first ask, “what were we prepared for?”</w:t>
      </w:r>
    </w:p>
    <w:p w14:paraId="7FE17305" w14:textId="77777777" w:rsidR="00E71033" w:rsidRDefault="00E71033"/>
    <w:sectPr w:rsidR="00E710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62E"/>
    <w:rsid w:val="004D262E"/>
    <w:rsid w:val="00A32E1C"/>
    <w:rsid w:val="00AF212D"/>
    <w:rsid w:val="00E710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EA2FC"/>
  <w15:chartTrackingRefBased/>
  <w15:docId w15:val="{0562043F-8760-8A4B-B4F8-C0E4F20A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033"/>
    <w:pPr>
      <w:spacing w:line="360" w:lineRule="auto"/>
      <w:jc w:val="both"/>
    </w:pPr>
    <w:rPr>
      <w:rFonts w:ascii="Times New Roman" w:hAnsi="Times New Roman" w:cs="Times New Roman"/>
      <w:kern w:val="0"/>
      <w:szCs w:val="22"/>
      <w14:ligatures w14:val="none"/>
    </w:rPr>
  </w:style>
  <w:style w:type="paragraph" w:styleId="Balk1">
    <w:name w:val="heading 1"/>
    <w:basedOn w:val="Normal"/>
    <w:next w:val="Normal"/>
    <w:link w:val="Balk1Char"/>
    <w:uiPriority w:val="9"/>
    <w:qFormat/>
    <w:rsid w:val="004D2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D2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D262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D26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4D262E"/>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4D26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4D262E"/>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4D262E"/>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4D262E"/>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D262E"/>
    <w:rPr>
      <w:rFonts w:asciiTheme="majorHAnsi" w:eastAsiaTheme="majorEastAsia" w:hAnsiTheme="majorHAnsi" w:cstheme="majorBidi"/>
      <w:color w:val="0F4761" w:themeColor="accent1" w:themeShade="BF"/>
      <w:kern w:val="0"/>
      <w:sz w:val="40"/>
      <w:szCs w:val="40"/>
      <w14:ligatures w14:val="none"/>
    </w:rPr>
  </w:style>
  <w:style w:type="character" w:customStyle="1" w:styleId="Balk2Char">
    <w:name w:val="Başlık 2 Char"/>
    <w:basedOn w:val="VarsaylanParagrafYazTipi"/>
    <w:link w:val="Balk2"/>
    <w:uiPriority w:val="9"/>
    <w:rsid w:val="004D262E"/>
    <w:rPr>
      <w:rFonts w:asciiTheme="majorHAnsi" w:eastAsiaTheme="majorEastAsia" w:hAnsiTheme="majorHAnsi" w:cstheme="majorBidi"/>
      <w:color w:val="0F4761" w:themeColor="accent1" w:themeShade="BF"/>
      <w:kern w:val="0"/>
      <w:sz w:val="32"/>
      <w:szCs w:val="32"/>
      <w14:ligatures w14:val="none"/>
    </w:rPr>
  </w:style>
  <w:style w:type="character" w:customStyle="1" w:styleId="Balk3Char">
    <w:name w:val="Başlık 3 Char"/>
    <w:basedOn w:val="VarsaylanParagrafYazTipi"/>
    <w:link w:val="Balk3"/>
    <w:uiPriority w:val="9"/>
    <w:rsid w:val="004D262E"/>
    <w:rPr>
      <w:rFonts w:eastAsiaTheme="majorEastAsia" w:cstheme="majorBidi"/>
      <w:color w:val="0F4761" w:themeColor="accent1" w:themeShade="BF"/>
      <w:kern w:val="0"/>
      <w:sz w:val="28"/>
      <w:szCs w:val="28"/>
      <w14:ligatures w14:val="none"/>
    </w:rPr>
  </w:style>
  <w:style w:type="character" w:customStyle="1" w:styleId="Balk4Char">
    <w:name w:val="Başlık 4 Char"/>
    <w:basedOn w:val="VarsaylanParagrafYazTipi"/>
    <w:link w:val="Balk4"/>
    <w:uiPriority w:val="9"/>
    <w:semiHidden/>
    <w:rsid w:val="004D262E"/>
    <w:rPr>
      <w:rFonts w:eastAsiaTheme="majorEastAsia" w:cstheme="majorBidi"/>
      <w:i/>
      <w:iCs/>
      <w:color w:val="0F4761" w:themeColor="accent1" w:themeShade="BF"/>
      <w:kern w:val="0"/>
      <w:szCs w:val="22"/>
      <w14:ligatures w14:val="none"/>
    </w:rPr>
  </w:style>
  <w:style w:type="character" w:customStyle="1" w:styleId="Balk5Char">
    <w:name w:val="Başlık 5 Char"/>
    <w:basedOn w:val="VarsaylanParagrafYazTipi"/>
    <w:link w:val="Balk5"/>
    <w:uiPriority w:val="9"/>
    <w:semiHidden/>
    <w:rsid w:val="004D262E"/>
    <w:rPr>
      <w:rFonts w:eastAsiaTheme="majorEastAsia" w:cstheme="majorBidi"/>
      <w:color w:val="0F4761" w:themeColor="accent1" w:themeShade="BF"/>
      <w:kern w:val="0"/>
      <w:szCs w:val="22"/>
      <w14:ligatures w14:val="none"/>
    </w:rPr>
  </w:style>
  <w:style w:type="character" w:customStyle="1" w:styleId="Balk6Char">
    <w:name w:val="Başlık 6 Char"/>
    <w:basedOn w:val="VarsaylanParagrafYazTipi"/>
    <w:link w:val="Balk6"/>
    <w:uiPriority w:val="9"/>
    <w:semiHidden/>
    <w:rsid w:val="004D262E"/>
    <w:rPr>
      <w:rFonts w:eastAsiaTheme="majorEastAsia" w:cstheme="majorBidi"/>
      <w:i/>
      <w:iCs/>
      <w:color w:val="595959" w:themeColor="text1" w:themeTint="A6"/>
      <w:kern w:val="0"/>
      <w:szCs w:val="22"/>
      <w14:ligatures w14:val="none"/>
    </w:rPr>
  </w:style>
  <w:style w:type="character" w:customStyle="1" w:styleId="Balk7Char">
    <w:name w:val="Başlık 7 Char"/>
    <w:basedOn w:val="VarsaylanParagrafYazTipi"/>
    <w:link w:val="Balk7"/>
    <w:uiPriority w:val="9"/>
    <w:semiHidden/>
    <w:rsid w:val="004D262E"/>
    <w:rPr>
      <w:rFonts w:eastAsiaTheme="majorEastAsia" w:cstheme="majorBidi"/>
      <w:color w:val="595959" w:themeColor="text1" w:themeTint="A6"/>
      <w:kern w:val="0"/>
      <w:szCs w:val="22"/>
      <w14:ligatures w14:val="none"/>
    </w:rPr>
  </w:style>
  <w:style w:type="character" w:customStyle="1" w:styleId="Balk8Char">
    <w:name w:val="Başlık 8 Char"/>
    <w:basedOn w:val="VarsaylanParagrafYazTipi"/>
    <w:link w:val="Balk8"/>
    <w:uiPriority w:val="9"/>
    <w:semiHidden/>
    <w:rsid w:val="004D262E"/>
    <w:rPr>
      <w:rFonts w:eastAsiaTheme="majorEastAsia" w:cstheme="majorBidi"/>
      <w:i/>
      <w:iCs/>
      <w:color w:val="272727" w:themeColor="text1" w:themeTint="D8"/>
      <w:kern w:val="0"/>
      <w:szCs w:val="22"/>
      <w14:ligatures w14:val="none"/>
    </w:rPr>
  </w:style>
  <w:style w:type="character" w:customStyle="1" w:styleId="Balk9Char">
    <w:name w:val="Başlık 9 Char"/>
    <w:basedOn w:val="VarsaylanParagrafYazTipi"/>
    <w:link w:val="Balk9"/>
    <w:uiPriority w:val="9"/>
    <w:semiHidden/>
    <w:rsid w:val="004D262E"/>
    <w:rPr>
      <w:rFonts w:eastAsiaTheme="majorEastAsia" w:cstheme="majorBidi"/>
      <w:color w:val="272727" w:themeColor="text1" w:themeTint="D8"/>
      <w:kern w:val="0"/>
      <w:szCs w:val="22"/>
      <w14:ligatures w14:val="none"/>
    </w:rPr>
  </w:style>
  <w:style w:type="paragraph" w:styleId="KonuBal">
    <w:name w:val="Title"/>
    <w:basedOn w:val="Normal"/>
    <w:next w:val="Normal"/>
    <w:link w:val="KonuBalChar"/>
    <w:uiPriority w:val="10"/>
    <w:qFormat/>
    <w:rsid w:val="004D2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D262E"/>
    <w:rPr>
      <w:rFonts w:asciiTheme="majorHAnsi" w:eastAsiaTheme="majorEastAsia" w:hAnsiTheme="majorHAnsi" w:cstheme="majorBidi"/>
      <w:spacing w:val="-10"/>
      <w:kern w:val="28"/>
      <w:sz w:val="56"/>
      <w:szCs w:val="56"/>
      <w14:ligatures w14:val="none"/>
    </w:rPr>
  </w:style>
  <w:style w:type="paragraph" w:styleId="Altyaz">
    <w:name w:val="Subtitle"/>
    <w:basedOn w:val="Normal"/>
    <w:next w:val="Normal"/>
    <w:link w:val="AltyazChar"/>
    <w:uiPriority w:val="11"/>
    <w:qFormat/>
    <w:rsid w:val="004D26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D262E"/>
    <w:rPr>
      <w:rFonts w:eastAsiaTheme="majorEastAsia" w:cstheme="majorBidi"/>
      <w:color w:val="595959" w:themeColor="text1" w:themeTint="A6"/>
      <w:spacing w:val="15"/>
      <w:kern w:val="0"/>
      <w:sz w:val="28"/>
      <w:szCs w:val="28"/>
      <w14:ligatures w14:val="none"/>
    </w:rPr>
  </w:style>
  <w:style w:type="paragraph" w:styleId="Alnt">
    <w:name w:val="Quote"/>
    <w:basedOn w:val="Normal"/>
    <w:next w:val="Normal"/>
    <w:link w:val="AlntChar"/>
    <w:uiPriority w:val="29"/>
    <w:qFormat/>
    <w:rsid w:val="004D262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D262E"/>
    <w:rPr>
      <w:rFonts w:ascii="Times New Roman" w:hAnsi="Times New Roman" w:cs="Times New Roman"/>
      <w:i/>
      <w:iCs/>
      <w:color w:val="404040" w:themeColor="text1" w:themeTint="BF"/>
      <w:kern w:val="0"/>
      <w:szCs w:val="22"/>
      <w14:ligatures w14:val="none"/>
    </w:rPr>
  </w:style>
  <w:style w:type="paragraph" w:styleId="ListeParagraf">
    <w:name w:val="List Paragraph"/>
    <w:basedOn w:val="Normal"/>
    <w:uiPriority w:val="34"/>
    <w:qFormat/>
    <w:rsid w:val="004D262E"/>
    <w:pPr>
      <w:ind w:left="720"/>
      <w:contextualSpacing/>
    </w:pPr>
  </w:style>
  <w:style w:type="character" w:styleId="GlVurgulama">
    <w:name w:val="Intense Emphasis"/>
    <w:basedOn w:val="VarsaylanParagrafYazTipi"/>
    <w:uiPriority w:val="21"/>
    <w:qFormat/>
    <w:rsid w:val="004D262E"/>
    <w:rPr>
      <w:i/>
      <w:iCs/>
      <w:color w:val="0F4761" w:themeColor="accent1" w:themeShade="BF"/>
    </w:rPr>
  </w:style>
  <w:style w:type="paragraph" w:styleId="GlAlnt">
    <w:name w:val="Intense Quote"/>
    <w:basedOn w:val="Normal"/>
    <w:next w:val="Normal"/>
    <w:link w:val="GlAlntChar"/>
    <w:uiPriority w:val="30"/>
    <w:qFormat/>
    <w:rsid w:val="004D2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D262E"/>
    <w:rPr>
      <w:rFonts w:ascii="Times New Roman" w:hAnsi="Times New Roman" w:cs="Times New Roman"/>
      <w:i/>
      <w:iCs/>
      <w:color w:val="0F4761" w:themeColor="accent1" w:themeShade="BF"/>
      <w:kern w:val="0"/>
      <w:szCs w:val="22"/>
      <w14:ligatures w14:val="none"/>
    </w:rPr>
  </w:style>
  <w:style w:type="character" w:styleId="GlBavuru">
    <w:name w:val="Intense Reference"/>
    <w:basedOn w:val="VarsaylanParagrafYazTipi"/>
    <w:uiPriority w:val="32"/>
    <w:qFormat/>
    <w:rsid w:val="004D262E"/>
    <w:rPr>
      <w:b/>
      <w:bCs/>
      <w:smallCaps/>
      <w:color w:val="0F4761" w:themeColor="accent1" w:themeShade="BF"/>
      <w:spacing w:val="5"/>
    </w:rPr>
  </w:style>
  <w:style w:type="paragraph" w:styleId="NormalWeb">
    <w:name w:val="Normal (Web)"/>
    <w:basedOn w:val="Normal"/>
    <w:uiPriority w:val="99"/>
    <w:semiHidden/>
    <w:unhideWhenUsed/>
    <w:rsid w:val="004D262E"/>
    <w:pPr>
      <w:spacing w:before="100" w:beforeAutospacing="1" w:after="100" w:afterAutospacing="1" w:line="240" w:lineRule="auto"/>
      <w:jc w:val="left"/>
    </w:pPr>
    <w:rPr>
      <w:rFonts w:eastAsia="Times New Roman"/>
      <w:szCs w:val="24"/>
      <w:lang w:eastAsia="tr-TR"/>
    </w:rPr>
  </w:style>
  <w:style w:type="character" w:styleId="Gl">
    <w:name w:val="Strong"/>
    <w:basedOn w:val="VarsaylanParagrafYazTipi"/>
    <w:uiPriority w:val="22"/>
    <w:qFormat/>
    <w:rsid w:val="004D262E"/>
    <w:rPr>
      <w:b/>
      <w:bCs/>
    </w:rPr>
  </w:style>
  <w:style w:type="character" w:customStyle="1" w:styleId="apple-converted-space">
    <w:name w:val="apple-converted-space"/>
    <w:basedOn w:val="VarsaylanParagrafYazTipi"/>
    <w:rsid w:val="004D262E"/>
  </w:style>
  <w:style w:type="character" w:styleId="Vurgu">
    <w:name w:val="Emphasis"/>
    <w:basedOn w:val="VarsaylanParagrafYazTipi"/>
    <w:uiPriority w:val="20"/>
    <w:qFormat/>
    <w:rsid w:val="004D26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8174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3686</Words>
  <Characters>21011</Characters>
  <Application>Microsoft Office Word</Application>
  <DocSecurity>0</DocSecurity>
  <Lines>175</Lines>
  <Paragraphs>49</Paragraphs>
  <ScaleCrop>false</ScaleCrop>
  <Company/>
  <LinksUpToDate>false</LinksUpToDate>
  <CharactersWithSpaces>24648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Turan</dc:creator>
  <cp:keywords/>
  <dc:description/>
  <cp:lastModifiedBy>Kenan Turan</cp:lastModifiedBy>
  <cp:revision>1</cp:revision>
  <dcterms:created xsi:type="dcterms:W3CDTF">2026-01-01T14:10:00Z</dcterms:created>
  <dcterms:modified xsi:type="dcterms:W3CDTF">2026-01-01T14:11:00Z</dcterms:modified>
</cp:coreProperties>
</file>