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2263 Derby St.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Berkeley, CA 94705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August 22, 2016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Bloomberg LP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731 Lexington Ave.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New York, NY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To Whom It May Concern,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Please accept the attached information in confidence as my application for employment with Bloomberg LP.  I am looking for an opportunity with a great company to build or manage a software development team within a regulated environment.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At Grand Rounds, I've built a team from scratch, hiring all of the Engineering team members, 39 at present, from Architect on down. From the beginning, I've also acted as an individual contributor.  I believe that, even at the VP level, a software contribution of zero is not an option.  I strive to remain hands-on and use my contributions as a platform to evangelize Agile methods and best practices within Engineering and Product. As a licensed California attorney, I led our HIPAA compliance and security-related sales efforts as well.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I would relish an opportunity to talk about the right positon.  I'm using requistion #50267 as a starting point.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Sincerely,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  <w:t>Kenneth Berland</w:t>
      </w:r>
    </w:p>
    <w:p>
      <w:pPr>
        <w:pStyle w:val="PreformattedTex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