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D706" w14:textId="77777777" w:rsidR="00AC2A05" w:rsidRPr="00AC2A05" w:rsidRDefault="00AC2A05" w:rsidP="00AC2A05">
      <w:pPr>
        <w:rPr>
          <w:b/>
          <w:bCs/>
          <w:lang w:val="en-KE"/>
        </w:rPr>
      </w:pPr>
      <w:r w:rsidRPr="00AC2A05">
        <w:rPr>
          <w:b/>
          <w:bCs/>
          <w:lang w:val="en-KE"/>
        </w:rPr>
        <w:t>Frequently Asked Questions (FAQs)</w:t>
      </w:r>
    </w:p>
    <w:p w14:paraId="04BAF2DA" w14:textId="0435C00C" w:rsidR="00AC2A05" w:rsidRPr="00AC2A05" w:rsidRDefault="00AC2A05" w:rsidP="00AC2A05">
      <w:pPr>
        <w:numPr>
          <w:ilvl w:val="0"/>
          <w:numId w:val="1"/>
        </w:numPr>
        <w:rPr>
          <w:lang w:val="en-KE"/>
        </w:rPr>
      </w:pPr>
      <w:r w:rsidRPr="00AC2A05">
        <w:rPr>
          <w:b/>
          <w:bCs/>
          <w:lang w:val="en-KE"/>
        </w:rPr>
        <w:t xml:space="preserve">Is </w:t>
      </w:r>
      <w:r>
        <w:rPr>
          <w:b/>
          <w:bCs/>
          <w:lang w:val="en-KE"/>
        </w:rPr>
        <w:t>COMEMR</w:t>
      </w:r>
      <w:r w:rsidRPr="00AC2A05">
        <w:rPr>
          <w:b/>
          <w:bCs/>
          <w:lang w:val="en-KE"/>
        </w:rPr>
        <w:t xml:space="preserve"> compatible with other healthcare systems and platforms?</w:t>
      </w:r>
    </w:p>
    <w:p w14:paraId="1303375E" w14:textId="0EF708CB" w:rsidR="00AC2A05" w:rsidRPr="00AC2A05" w:rsidRDefault="00AC2A05" w:rsidP="00AC2A05">
      <w:pPr>
        <w:rPr>
          <w:lang w:val="en-KE"/>
        </w:rPr>
      </w:pPr>
      <w:r w:rsidRPr="00AC2A05">
        <w:rPr>
          <w:lang w:val="en-KE"/>
        </w:rPr>
        <w:t xml:space="preserve">Yes, </w:t>
      </w:r>
      <w:r>
        <w:rPr>
          <w:lang w:val="en-KE"/>
        </w:rPr>
        <w:t>COMEMR</w:t>
      </w:r>
      <w:r w:rsidRPr="00AC2A05">
        <w:rPr>
          <w:lang w:val="en-KE"/>
        </w:rPr>
        <w:t xml:space="preserve"> is designed to be interoperable with existing healthcare systems and platforms, including electronic medical record (EMR) systems, health information exchanges (</w:t>
      </w:r>
      <w:proofErr w:type="spellStart"/>
      <w:r w:rsidRPr="00AC2A05">
        <w:rPr>
          <w:lang w:val="en-KE"/>
        </w:rPr>
        <w:t>HIEs</w:t>
      </w:r>
      <w:proofErr w:type="spellEnd"/>
      <w:r w:rsidRPr="00AC2A05">
        <w:rPr>
          <w:lang w:val="en-KE"/>
        </w:rPr>
        <w:t xml:space="preserve">), and national health databases. It supports integration through standard protocols such as HL7 and FHIR. The latest release introduces the FHIR Adapter, which simplifies data exchange by translating </w:t>
      </w:r>
      <w:r>
        <w:rPr>
          <w:lang w:val="en-KE"/>
        </w:rPr>
        <w:t>COMEMR</w:t>
      </w:r>
      <w:r w:rsidRPr="00AC2A05">
        <w:rPr>
          <w:lang w:val="en-KE"/>
        </w:rPr>
        <w:t xml:space="preserve"> data into the widely used FHIR format. This adapter enables seamless integration with FHIR-compatible systems and facilitates centralized data storage and exchange, including interoperability with DHIS2 systems used in Africa and Bangladesh.</w:t>
      </w:r>
    </w:p>
    <w:p w14:paraId="7D6FBE07" w14:textId="1E2BAECE" w:rsidR="00AC2A05" w:rsidRPr="00AC2A05" w:rsidRDefault="00AC2A05" w:rsidP="00AC2A05">
      <w:pPr>
        <w:numPr>
          <w:ilvl w:val="0"/>
          <w:numId w:val="2"/>
        </w:numPr>
        <w:rPr>
          <w:lang w:val="en-KE"/>
        </w:rPr>
      </w:pPr>
      <w:r w:rsidRPr="00AC2A05">
        <w:rPr>
          <w:b/>
          <w:bCs/>
          <w:lang w:val="en-KE"/>
        </w:rPr>
        <w:t xml:space="preserve">Can I customize workflows in </w:t>
      </w:r>
      <w:r>
        <w:rPr>
          <w:b/>
          <w:bCs/>
          <w:lang w:val="en-KE"/>
        </w:rPr>
        <w:t>COMEMR</w:t>
      </w:r>
      <w:r w:rsidRPr="00AC2A05">
        <w:rPr>
          <w:b/>
          <w:bCs/>
          <w:lang w:val="en-KE"/>
        </w:rPr>
        <w:t xml:space="preserve"> to suit my organization's needs?</w:t>
      </w:r>
    </w:p>
    <w:p w14:paraId="42DA0B2D" w14:textId="77777777" w:rsidR="00AC2A05" w:rsidRPr="00AC2A05" w:rsidRDefault="00AC2A05" w:rsidP="00AC2A05">
      <w:pPr>
        <w:rPr>
          <w:lang w:val="en-KE"/>
        </w:rPr>
      </w:pPr>
      <w:r w:rsidRPr="00AC2A05">
        <w:rPr>
          <w:lang w:val="en-KE"/>
        </w:rPr>
        <w:t xml:space="preserve">While non-clinical workflows are customizable to suit organizational needs, clinical decision support features are not customizable. However, users have the flexibility to </w:t>
      </w:r>
      <w:hyperlink r:id="rId5" w:history="1">
        <w:r w:rsidRPr="00AC2A05">
          <w:rPr>
            <w:rStyle w:val="Hyperlink"/>
            <w:lang w:val="en-KE"/>
          </w:rPr>
          <w:t xml:space="preserve">customize parameters </w:t>
        </w:r>
      </w:hyperlink>
      <w:r w:rsidRPr="00AC2A05">
        <w:rPr>
          <w:lang w:val="en-KE"/>
        </w:rPr>
        <w:t>and create custom workflows for non-clinical tasks.</w:t>
      </w:r>
    </w:p>
    <w:p w14:paraId="41EBA845" w14:textId="34268D8E" w:rsidR="00AC2A05" w:rsidRPr="00AC2A05" w:rsidRDefault="00AC2A05" w:rsidP="00AC2A05">
      <w:pPr>
        <w:numPr>
          <w:ilvl w:val="0"/>
          <w:numId w:val="3"/>
        </w:numPr>
        <w:rPr>
          <w:lang w:val="en-KE"/>
        </w:rPr>
      </w:pPr>
      <w:r w:rsidRPr="00AC2A05">
        <w:rPr>
          <w:b/>
          <w:bCs/>
          <w:lang w:val="en-KE"/>
        </w:rPr>
        <w:t xml:space="preserve">How secure is the data stored in </w:t>
      </w:r>
      <w:r>
        <w:rPr>
          <w:b/>
          <w:bCs/>
          <w:lang w:val="en-KE"/>
        </w:rPr>
        <w:t>COMEMR</w:t>
      </w:r>
      <w:r w:rsidRPr="00AC2A05">
        <w:rPr>
          <w:b/>
          <w:bCs/>
          <w:lang w:val="en-KE"/>
        </w:rPr>
        <w:t>?</w:t>
      </w:r>
    </w:p>
    <w:p w14:paraId="08A340A0" w14:textId="1F1AE390" w:rsidR="00AC2A05" w:rsidRPr="00AC2A05" w:rsidRDefault="00AC2A05" w:rsidP="00AC2A05">
      <w:pPr>
        <w:rPr>
          <w:lang w:val="en-KE"/>
        </w:rPr>
      </w:pPr>
      <w:r w:rsidRPr="00AC2A05">
        <w:rPr>
          <w:lang w:val="en-KE"/>
        </w:rPr>
        <w:t xml:space="preserve">Security is a top priority for </w:t>
      </w:r>
      <w:r>
        <w:rPr>
          <w:lang w:val="en-KE"/>
        </w:rPr>
        <w:t>COMEMR</w:t>
      </w:r>
      <w:r w:rsidRPr="00AC2A05">
        <w:rPr>
          <w:lang w:val="en-KE"/>
        </w:rPr>
        <w:t xml:space="preserve">. The platform employs robust encryption protocols and access controls to safeguard sensitive patient information. All data is encrypted at rest and in transit. We perform regular security audits and vulnerability testing on the platform and ensure compliance with standards and regulations to ensure data integrity and confidentiality. See </w:t>
      </w:r>
      <w:hyperlink r:id="rId6" w:history="1">
        <w:r w:rsidRPr="00AC2A05">
          <w:rPr>
            <w:rStyle w:val="Hyperlink"/>
            <w:lang w:val="en-KE"/>
          </w:rPr>
          <w:t>Data Privacy &amp; Security</w:t>
        </w:r>
      </w:hyperlink>
      <w:r w:rsidRPr="00AC2A05">
        <w:rPr>
          <w:lang w:val="en-KE"/>
        </w:rPr>
        <w:t xml:space="preserve"> for more information.</w:t>
      </w:r>
    </w:p>
    <w:p w14:paraId="79F300A1" w14:textId="3085B56D" w:rsidR="00AC2A05" w:rsidRPr="00AC2A05" w:rsidRDefault="00AC2A05" w:rsidP="00AC2A05">
      <w:pPr>
        <w:numPr>
          <w:ilvl w:val="0"/>
          <w:numId w:val="4"/>
        </w:numPr>
        <w:rPr>
          <w:lang w:val="en-KE"/>
        </w:rPr>
      </w:pPr>
      <w:r w:rsidRPr="00AC2A05">
        <w:rPr>
          <w:b/>
          <w:bCs/>
          <w:lang w:val="en-KE"/>
        </w:rPr>
        <w:t xml:space="preserve">What kind of support is available for </w:t>
      </w:r>
      <w:r>
        <w:rPr>
          <w:b/>
          <w:bCs/>
          <w:lang w:val="en-KE"/>
        </w:rPr>
        <w:t>COMEMR</w:t>
      </w:r>
      <w:r w:rsidRPr="00AC2A05">
        <w:rPr>
          <w:b/>
          <w:bCs/>
          <w:lang w:val="en-KE"/>
        </w:rPr>
        <w:t xml:space="preserve"> users?</w:t>
      </w:r>
    </w:p>
    <w:p w14:paraId="7A6C1DC4" w14:textId="77777777" w:rsidR="00AC2A05" w:rsidRPr="00AC2A05" w:rsidRDefault="00AC2A05" w:rsidP="00AC2A05">
      <w:pPr>
        <w:rPr>
          <w:lang w:val="en-KE"/>
        </w:rPr>
      </w:pPr>
      <w:r w:rsidRPr="00AC2A05">
        <w:rPr>
          <w:lang w:val="en-KE"/>
        </w:rPr>
        <w:t xml:space="preserve">For any support or additional questions, please reach out to </w:t>
      </w:r>
      <w:hyperlink r:id="rId7" w:history="1">
        <w:r w:rsidRPr="00AC2A05">
          <w:rPr>
            <w:rStyle w:val="Hyperlink"/>
            <w:lang w:val="en-KE"/>
          </w:rPr>
          <w:t>community@medtroniclabs.org</w:t>
        </w:r>
      </w:hyperlink>
      <w:r w:rsidRPr="00AC2A05">
        <w:rPr>
          <w:lang w:val="en-KE"/>
        </w:rPr>
        <w:t xml:space="preserve">. Medtronic LABS provides comprehensive support to users through various channels, including online documentation, GitHub discussions, and 1:1 support. Users can access role-specific guides to better understand workflows and get answers to functionality questions. See </w:t>
      </w:r>
      <w:hyperlink r:id="rId8" w:history="1">
        <w:r w:rsidRPr="00AC2A05">
          <w:rPr>
            <w:rStyle w:val="Hyperlink"/>
            <w:lang w:val="en-KE"/>
          </w:rPr>
          <w:t>Support</w:t>
        </w:r>
      </w:hyperlink>
      <w:r w:rsidRPr="00AC2A05">
        <w:rPr>
          <w:lang w:val="en-KE"/>
        </w:rPr>
        <w:t xml:space="preserve"> for more information.</w:t>
      </w:r>
    </w:p>
    <w:p w14:paraId="20BEDD05" w14:textId="224B4183" w:rsidR="00AC2A05" w:rsidRPr="00AC2A05" w:rsidRDefault="00AC2A05" w:rsidP="00AC2A05">
      <w:pPr>
        <w:numPr>
          <w:ilvl w:val="0"/>
          <w:numId w:val="5"/>
        </w:numPr>
        <w:rPr>
          <w:lang w:val="en-KE"/>
        </w:rPr>
      </w:pPr>
      <w:r w:rsidRPr="00AC2A05">
        <w:rPr>
          <w:b/>
          <w:bCs/>
          <w:lang w:val="en-KE"/>
        </w:rPr>
        <w:t xml:space="preserve">How often is </w:t>
      </w:r>
      <w:r>
        <w:rPr>
          <w:b/>
          <w:bCs/>
          <w:lang w:val="en-KE"/>
        </w:rPr>
        <w:t>COMEMR</w:t>
      </w:r>
      <w:r w:rsidRPr="00AC2A05">
        <w:rPr>
          <w:b/>
          <w:bCs/>
          <w:lang w:val="en-KE"/>
        </w:rPr>
        <w:t xml:space="preserve"> updated, and are there any additional costs for updates?</w:t>
      </w:r>
    </w:p>
    <w:p w14:paraId="5531C32F" w14:textId="3EBE597E" w:rsidR="00AC2A05" w:rsidRPr="00AC2A05" w:rsidRDefault="00AC2A05" w:rsidP="00AC2A05">
      <w:pPr>
        <w:rPr>
          <w:lang w:val="en-KE"/>
        </w:rPr>
      </w:pPr>
      <w:r>
        <w:rPr>
          <w:lang w:val="en-KE"/>
        </w:rPr>
        <w:t>COMEMR</w:t>
      </w:r>
      <w:r w:rsidRPr="00AC2A05">
        <w:rPr>
          <w:lang w:val="en-KE"/>
        </w:rPr>
        <w:t xml:space="preserve"> undergoes regular updates and enhancements to introduce new features, improve performance, and address user feedback. For implementations leveraging the hosted model, updates are typically rolled out periodically, and there are no additional costs for receiving updates. For implementations leveraging the open-source packages, we send release notification emails to the newsletter subscribers. See </w:t>
      </w:r>
      <w:hyperlink r:id="rId9" w:history="1">
        <w:r w:rsidRPr="00AC2A05">
          <w:rPr>
            <w:rStyle w:val="Hyperlink"/>
            <w:lang w:val="en-KE"/>
          </w:rPr>
          <w:t>Support</w:t>
        </w:r>
      </w:hyperlink>
      <w:r w:rsidRPr="00AC2A05">
        <w:rPr>
          <w:lang w:val="en-KE"/>
        </w:rPr>
        <w:t xml:space="preserve"> and </w:t>
      </w:r>
      <w:hyperlink r:id="rId10" w:history="1">
        <w:r w:rsidRPr="00AC2A05">
          <w:rPr>
            <w:rStyle w:val="Hyperlink"/>
            <w:lang w:val="en-KE"/>
          </w:rPr>
          <w:t>Releases</w:t>
        </w:r>
      </w:hyperlink>
      <w:r w:rsidRPr="00AC2A05">
        <w:rPr>
          <w:lang w:val="en-KE"/>
        </w:rPr>
        <w:t xml:space="preserve"> for more information.</w:t>
      </w:r>
    </w:p>
    <w:p w14:paraId="7119CF04" w14:textId="5DF50470" w:rsidR="00AC2A05" w:rsidRPr="00AC2A05" w:rsidRDefault="00AC2A05" w:rsidP="00AC2A05">
      <w:pPr>
        <w:numPr>
          <w:ilvl w:val="0"/>
          <w:numId w:val="6"/>
        </w:numPr>
        <w:rPr>
          <w:lang w:val="en-KE"/>
        </w:rPr>
      </w:pPr>
      <w:r w:rsidRPr="00AC2A05">
        <w:rPr>
          <w:b/>
          <w:bCs/>
          <w:lang w:val="en-KE"/>
        </w:rPr>
        <w:lastRenderedPageBreak/>
        <w:t xml:space="preserve">Can </w:t>
      </w:r>
      <w:r>
        <w:rPr>
          <w:b/>
          <w:bCs/>
          <w:lang w:val="en-KE"/>
        </w:rPr>
        <w:t>COMEMR</w:t>
      </w:r>
      <w:r w:rsidRPr="00AC2A05">
        <w:rPr>
          <w:b/>
          <w:bCs/>
          <w:lang w:val="en-KE"/>
        </w:rPr>
        <w:t xml:space="preserve"> be used in offline environments or areas with limited internet connectivity?</w:t>
      </w:r>
    </w:p>
    <w:p w14:paraId="0627D0B5" w14:textId="02D18D5D" w:rsidR="00AC2A05" w:rsidRPr="00AC2A05" w:rsidRDefault="00AC2A05" w:rsidP="00AC2A05">
      <w:pPr>
        <w:rPr>
          <w:lang w:val="en-KE"/>
        </w:rPr>
      </w:pPr>
      <w:r w:rsidRPr="00AC2A05">
        <w:rPr>
          <w:lang w:val="en-KE"/>
        </w:rPr>
        <w:t xml:space="preserve">Yes, </w:t>
      </w:r>
      <w:r>
        <w:rPr>
          <w:lang w:val="en-KE"/>
        </w:rPr>
        <w:t>COMEMR</w:t>
      </w:r>
      <w:r w:rsidRPr="00AC2A05">
        <w:rPr>
          <w:lang w:val="en-KE"/>
        </w:rPr>
        <w:t xml:space="preserve"> offers offline functionality, allowing users to perform essential tasks even in environments with limited or no internet connectivity. Data captured offline is synced with the central server once an internet connection is restored, ensuring continuity of care and data integrity.</w:t>
      </w:r>
    </w:p>
    <w:p w14:paraId="407E53CB" w14:textId="044F4245" w:rsidR="00AC2A05" w:rsidRPr="00AC2A05" w:rsidRDefault="00AC2A05" w:rsidP="00AC2A05">
      <w:pPr>
        <w:numPr>
          <w:ilvl w:val="0"/>
          <w:numId w:val="7"/>
        </w:numPr>
        <w:rPr>
          <w:lang w:val="en-KE"/>
        </w:rPr>
      </w:pPr>
      <w:r w:rsidRPr="00AC2A05">
        <w:rPr>
          <w:b/>
          <w:bCs/>
          <w:lang w:val="en-KE"/>
        </w:rPr>
        <w:t xml:space="preserve">What are the processes for logging into the </w:t>
      </w:r>
      <w:r>
        <w:rPr>
          <w:b/>
          <w:bCs/>
          <w:lang w:val="en-KE"/>
        </w:rPr>
        <w:t>COMEMR</w:t>
      </w:r>
      <w:r w:rsidRPr="00AC2A05">
        <w:rPr>
          <w:b/>
          <w:bCs/>
          <w:lang w:val="en-KE"/>
        </w:rPr>
        <w:t xml:space="preserve"> portal?</w:t>
      </w:r>
    </w:p>
    <w:p w14:paraId="49617ABF" w14:textId="4C302836" w:rsidR="00AC2A05" w:rsidRPr="00AC2A05" w:rsidRDefault="00AC2A05" w:rsidP="00AC2A05">
      <w:pPr>
        <w:rPr>
          <w:lang w:val="en-KE"/>
        </w:rPr>
      </w:pPr>
      <w:r w:rsidRPr="00AC2A05">
        <w:rPr>
          <w:lang w:val="en-KE"/>
        </w:rPr>
        <w:drawing>
          <wp:inline distT="0" distB="0" distL="0" distR="0" wp14:anchorId="3DA3BF97" wp14:editId="179F0FDC">
            <wp:extent cx="5608320" cy="5532120"/>
            <wp:effectExtent l="0" t="0" r="0" b="0"/>
            <wp:docPr id="47596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5532120"/>
                    </a:xfrm>
                    <a:prstGeom prst="rect">
                      <a:avLst/>
                    </a:prstGeom>
                    <a:noFill/>
                    <a:ln>
                      <a:noFill/>
                    </a:ln>
                  </pic:spPr>
                </pic:pic>
              </a:graphicData>
            </a:graphic>
          </wp:inline>
        </w:drawing>
      </w:r>
    </w:p>
    <w:p w14:paraId="3BAECFB9" w14:textId="77777777" w:rsidR="00AC2A05" w:rsidRPr="00AC2A05" w:rsidRDefault="00AC2A05" w:rsidP="00AC2A05">
      <w:pPr>
        <w:rPr>
          <w:lang w:val="en-KE"/>
        </w:rPr>
      </w:pPr>
      <w:r w:rsidRPr="00AC2A05">
        <w:rPr>
          <w:lang w:val="en-KE"/>
        </w:rPr>
        <w:t>Portal Login</w:t>
      </w:r>
    </w:p>
    <w:p w14:paraId="3C63B9FC" w14:textId="77777777" w:rsidR="00AC2A05" w:rsidRPr="00AC2A05" w:rsidRDefault="00AC2A05" w:rsidP="00AC2A05">
      <w:pPr>
        <w:rPr>
          <w:lang w:val="en-KE"/>
        </w:rPr>
      </w:pPr>
      <w:r w:rsidRPr="00AC2A05">
        <w:rPr>
          <w:b/>
          <w:bCs/>
          <w:lang w:val="en-KE"/>
        </w:rPr>
        <w:t xml:space="preserve">Steps to Log In </w:t>
      </w:r>
    </w:p>
    <w:p w14:paraId="58E2C0DA" w14:textId="77777777" w:rsidR="00AC2A05" w:rsidRPr="00AC2A05" w:rsidRDefault="00AC2A05" w:rsidP="00AC2A05">
      <w:pPr>
        <w:numPr>
          <w:ilvl w:val="0"/>
          <w:numId w:val="8"/>
        </w:numPr>
        <w:rPr>
          <w:lang w:val="en-KE"/>
        </w:rPr>
      </w:pPr>
      <w:r w:rsidRPr="00AC2A05">
        <w:rPr>
          <w:b/>
          <w:bCs/>
          <w:lang w:val="en-KE"/>
        </w:rPr>
        <w:t xml:space="preserve">Enter Your Username or Email </w:t>
      </w:r>
    </w:p>
    <w:p w14:paraId="0E0D4FE7" w14:textId="77777777" w:rsidR="00AC2A05" w:rsidRPr="00AC2A05" w:rsidRDefault="00AC2A05" w:rsidP="00AC2A05">
      <w:pPr>
        <w:rPr>
          <w:lang w:val="en-KE"/>
        </w:rPr>
      </w:pPr>
      <w:r w:rsidRPr="00AC2A05">
        <w:rPr>
          <w:b/>
          <w:bCs/>
          <w:lang w:val="en-KE"/>
        </w:rPr>
        <w:t>a</w:t>
      </w:r>
      <w:r w:rsidRPr="00AC2A05">
        <w:rPr>
          <w:lang w:val="en-KE"/>
        </w:rPr>
        <w:t xml:space="preserve">. This is usually the first input field. </w:t>
      </w:r>
    </w:p>
    <w:p w14:paraId="2FBF0931" w14:textId="77777777" w:rsidR="00AC2A05" w:rsidRPr="00AC2A05" w:rsidRDefault="00AC2A05" w:rsidP="00AC2A05">
      <w:pPr>
        <w:rPr>
          <w:lang w:val="en-KE"/>
        </w:rPr>
      </w:pPr>
      <w:r w:rsidRPr="00AC2A05">
        <w:rPr>
          <w:b/>
          <w:bCs/>
          <w:lang w:val="en-KE"/>
        </w:rPr>
        <w:lastRenderedPageBreak/>
        <w:t>b.</w:t>
      </w:r>
      <w:r w:rsidRPr="00AC2A05">
        <w:rPr>
          <w:lang w:val="en-KE"/>
        </w:rPr>
        <w:t xml:space="preserve"> Enter your registered email address or username. </w:t>
      </w:r>
    </w:p>
    <w:p w14:paraId="4ED06016" w14:textId="77777777" w:rsidR="00AC2A05" w:rsidRPr="00AC2A05" w:rsidRDefault="00AC2A05" w:rsidP="00AC2A05">
      <w:pPr>
        <w:numPr>
          <w:ilvl w:val="0"/>
          <w:numId w:val="9"/>
        </w:numPr>
        <w:rPr>
          <w:lang w:val="en-KE"/>
        </w:rPr>
      </w:pPr>
      <w:r w:rsidRPr="00AC2A05">
        <w:rPr>
          <w:b/>
          <w:bCs/>
          <w:lang w:val="en-KE"/>
        </w:rPr>
        <w:t>Enter Your Password</w:t>
      </w:r>
      <w:r w:rsidRPr="00AC2A05">
        <w:rPr>
          <w:lang w:val="en-KE"/>
        </w:rPr>
        <w:t xml:space="preserve"> </w:t>
      </w:r>
    </w:p>
    <w:p w14:paraId="2B030A2E" w14:textId="77777777" w:rsidR="00AC2A05" w:rsidRPr="00AC2A05" w:rsidRDefault="00AC2A05" w:rsidP="00AC2A05">
      <w:pPr>
        <w:rPr>
          <w:lang w:val="en-KE"/>
        </w:rPr>
      </w:pPr>
      <w:r w:rsidRPr="00AC2A05">
        <w:rPr>
          <w:b/>
          <w:bCs/>
          <w:lang w:val="en-KE"/>
        </w:rPr>
        <w:t>a.</w:t>
      </w:r>
      <w:r w:rsidRPr="00AC2A05">
        <w:rPr>
          <w:lang w:val="en-KE"/>
        </w:rPr>
        <w:t xml:space="preserve"> Use the second input field to enter your password. </w:t>
      </w:r>
    </w:p>
    <w:p w14:paraId="2EAA468D" w14:textId="77777777" w:rsidR="00AC2A05" w:rsidRPr="00AC2A05" w:rsidRDefault="00AC2A05" w:rsidP="00AC2A05">
      <w:pPr>
        <w:rPr>
          <w:lang w:val="en-KE"/>
        </w:rPr>
      </w:pPr>
      <w:r w:rsidRPr="00AC2A05">
        <w:rPr>
          <w:b/>
          <w:bCs/>
          <w:lang w:val="en-KE"/>
        </w:rPr>
        <w:t>b</w:t>
      </w:r>
      <w:r w:rsidRPr="00AC2A05">
        <w:rPr>
          <w:lang w:val="en-KE"/>
        </w:rPr>
        <w:t xml:space="preserve">. If you're unsure, click the </w:t>
      </w:r>
      <w:r w:rsidRPr="00AC2A05">
        <w:rPr>
          <w:b/>
          <w:bCs/>
          <w:i/>
          <w:iCs/>
          <w:lang w:val="en-KE"/>
        </w:rPr>
        <w:t>eye icon</w:t>
      </w:r>
      <w:r w:rsidRPr="00AC2A05">
        <w:rPr>
          <w:lang w:val="en-KE"/>
        </w:rPr>
        <w:t xml:space="preserve"> to see what you're typing. </w:t>
      </w:r>
    </w:p>
    <w:p w14:paraId="55615FC5" w14:textId="77777777" w:rsidR="00AC2A05" w:rsidRPr="00AC2A05" w:rsidRDefault="00AC2A05" w:rsidP="00AC2A05">
      <w:pPr>
        <w:numPr>
          <w:ilvl w:val="0"/>
          <w:numId w:val="10"/>
        </w:numPr>
        <w:rPr>
          <w:lang w:val="en-KE"/>
        </w:rPr>
      </w:pPr>
      <w:r w:rsidRPr="00AC2A05">
        <w:rPr>
          <w:b/>
          <w:bCs/>
          <w:lang w:val="en-KE"/>
        </w:rPr>
        <w:t xml:space="preserve">Click the Login Button </w:t>
      </w:r>
    </w:p>
    <w:p w14:paraId="13A3EC86" w14:textId="77777777" w:rsidR="00AC2A05" w:rsidRPr="00AC2A05" w:rsidRDefault="00AC2A05" w:rsidP="00AC2A05">
      <w:pPr>
        <w:rPr>
          <w:lang w:val="en-KE"/>
        </w:rPr>
      </w:pPr>
      <w:r w:rsidRPr="00AC2A05">
        <w:rPr>
          <w:b/>
          <w:bCs/>
          <w:lang w:val="en-KE"/>
        </w:rPr>
        <w:t>a.</w:t>
      </w:r>
      <w:r w:rsidRPr="00AC2A05">
        <w:rPr>
          <w:lang w:val="en-KE"/>
        </w:rPr>
        <w:t xml:space="preserve"> After entering your credentials, click the Login button. </w:t>
      </w:r>
    </w:p>
    <w:p w14:paraId="12B58FFF" w14:textId="77777777" w:rsidR="00AC2A05" w:rsidRPr="00AC2A05" w:rsidRDefault="00AC2A05" w:rsidP="00AC2A05">
      <w:pPr>
        <w:numPr>
          <w:ilvl w:val="0"/>
          <w:numId w:val="11"/>
        </w:numPr>
        <w:rPr>
          <w:lang w:val="en-KE"/>
        </w:rPr>
      </w:pPr>
      <w:r w:rsidRPr="00AC2A05">
        <w:rPr>
          <w:b/>
          <w:bCs/>
          <w:lang w:val="en-KE"/>
        </w:rPr>
        <w:t xml:space="preserve">Trouble Logging In? </w:t>
      </w:r>
    </w:p>
    <w:p w14:paraId="5A61EFC5" w14:textId="77777777" w:rsidR="00AC2A05" w:rsidRPr="00AC2A05" w:rsidRDefault="00AC2A05" w:rsidP="00AC2A05">
      <w:pPr>
        <w:rPr>
          <w:lang w:val="en-KE"/>
        </w:rPr>
      </w:pPr>
      <w:r w:rsidRPr="00AC2A05">
        <w:rPr>
          <w:b/>
          <w:bCs/>
          <w:lang w:val="en-KE"/>
        </w:rPr>
        <w:t xml:space="preserve">a. </w:t>
      </w:r>
      <w:r w:rsidRPr="00AC2A05">
        <w:rPr>
          <w:lang w:val="en-KE"/>
        </w:rPr>
        <w:t xml:space="preserve">Click </w:t>
      </w:r>
      <w:r w:rsidRPr="00AC2A05">
        <w:rPr>
          <w:b/>
          <w:bCs/>
          <w:i/>
          <w:iCs/>
          <w:lang w:val="en-KE"/>
        </w:rPr>
        <w:t>"Forgot Password"</w:t>
      </w:r>
      <w:r w:rsidRPr="00AC2A05">
        <w:rPr>
          <w:lang w:val="en-KE"/>
        </w:rPr>
        <w:t xml:space="preserve"> if you don’t remember your password. </w:t>
      </w:r>
    </w:p>
    <w:p w14:paraId="7A383300" w14:textId="77777777" w:rsidR="00AC2A05" w:rsidRPr="00AC2A05" w:rsidRDefault="00AC2A05" w:rsidP="00AC2A05">
      <w:pPr>
        <w:rPr>
          <w:lang w:val="en-KE"/>
        </w:rPr>
      </w:pPr>
      <w:r w:rsidRPr="00AC2A05">
        <w:rPr>
          <w:b/>
          <w:bCs/>
          <w:lang w:val="en-KE"/>
        </w:rPr>
        <w:t xml:space="preserve">b. </w:t>
      </w:r>
      <w:r w:rsidRPr="00AC2A05">
        <w:rPr>
          <w:lang w:val="en-KE"/>
        </w:rPr>
        <w:t xml:space="preserve">Follow the instructions to reset it. </w:t>
      </w:r>
    </w:p>
    <w:p w14:paraId="5909906B" w14:textId="77777777" w:rsidR="00AC2A05" w:rsidRPr="00AC2A05" w:rsidRDefault="00AC2A05" w:rsidP="00AC2A05">
      <w:pPr>
        <w:numPr>
          <w:ilvl w:val="0"/>
          <w:numId w:val="12"/>
        </w:numPr>
        <w:rPr>
          <w:lang w:val="en-KE"/>
        </w:rPr>
      </w:pPr>
      <w:r w:rsidRPr="00AC2A05">
        <w:rPr>
          <w:lang w:val="en-KE"/>
        </w:rPr>
        <w:t xml:space="preserve">Checking the </w:t>
      </w:r>
      <w:r w:rsidRPr="00AC2A05">
        <w:rPr>
          <w:b/>
          <w:bCs/>
          <w:i/>
          <w:iCs/>
          <w:lang w:val="en-KE"/>
        </w:rPr>
        <w:t xml:space="preserve">“Remember me” </w:t>
      </w:r>
      <w:r w:rsidRPr="00AC2A05">
        <w:rPr>
          <w:lang w:val="en-KE"/>
        </w:rPr>
        <w:t xml:space="preserve">box will store your user details. </w:t>
      </w:r>
    </w:p>
    <w:p w14:paraId="04235AE3" w14:textId="77777777" w:rsidR="005426CB" w:rsidRPr="00AC2A05" w:rsidRDefault="005426CB">
      <w:pPr>
        <w:rPr>
          <w:lang w:val="en-KE"/>
        </w:rPr>
      </w:pPr>
    </w:p>
    <w:sectPr w:rsidR="005426CB" w:rsidRPr="00AC2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F10"/>
    <w:multiLevelType w:val="multilevel"/>
    <w:tmpl w:val="3A1A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C7243"/>
    <w:multiLevelType w:val="multilevel"/>
    <w:tmpl w:val="AAA6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A1E5C"/>
    <w:multiLevelType w:val="multilevel"/>
    <w:tmpl w:val="DB62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72ECC"/>
    <w:multiLevelType w:val="multilevel"/>
    <w:tmpl w:val="FD0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D5340"/>
    <w:multiLevelType w:val="multilevel"/>
    <w:tmpl w:val="1544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47750"/>
    <w:multiLevelType w:val="multilevel"/>
    <w:tmpl w:val="27BA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104BB"/>
    <w:multiLevelType w:val="multilevel"/>
    <w:tmpl w:val="2DF8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5405C"/>
    <w:multiLevelType w:val="multilevel"/>
    <w:tmpl w:val="B004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82F95"/>
    <w:multiLevelType w:val="multilevel"/>
    <w:tmpl w:val="59A6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395A71"/>
    <w:multiLevelType w:val="multilevel"/>
    <w:tmpl w:val="C480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A0B50"/>
    <w:multiLevelType w:val="multilevel"/>
    <w:tmpl w:val="4F08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655B4"/>
    <w:multiLevelType w:val="multilevel"/>
    <w:tmpl w:val="3048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104671">
    <w:abstractNumId w:val="9"/>
  </w:num>
  <w:num w:numId="2" w16cid:durableId="1689137551">
    <w:abstractNumId w:val="1"/>
  </w:num>
  <w:num w:numId="3" w16cid:durableId="532428855">
    <w:abstractNumId w:val="10"/>
  </w:num>
  <w:num w:numId="4" w16cid:durableId="777027059">
    <w:abstractNumId w:val="7"/>
  </w:num>
  <w:num w:numId="5" w16cid:durableId="705833809">
    <w:abstractNumId w:val="3"/>
  </w:num>
  <w:num w:numId="6" w16cid:durableId="1379696612">
    <w:abstractNumId w:val="11"/>
  </w:num>
  <w:num w:numId="7" w16cid:durableId="111748064">
    <w:abstractNumId w:val="4"/>
  </w:num>
  <w:num w:numId="8" w16cid:durableId="961959306">
    <w:abstractNumId w:val="0"/>
  </w:num>
  <w:num w:numId="9" w16cid:durableId="1927377304">
    <w:abstractNumId w:val="8"/>
  </w:num>
  <w:num w:numId="10" w16cid:durableId="1957759998">
    <w:abstractNumId w:val="6"/>
  </w:num>
  <w:num w:numId="11" w16cid:durableId="1060322121">
    <w:abstractNumId w:val="5"/>
  </w:num>
  <w:num w:numId="12" w16cid:durableId="1370378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FE"/>
    <w:rsid w:val="005426CB"/>
    <w:rsid w:val="00572616"/>
    <w:rsid w:val="006169FE"/>
    <w:rsid w:val="009973EB"/>
    <w:rsid w:val="00AC2A05"/>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124B4-DB6F-4DFF-A4BA-06A3530D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FE"/>
    <w:rPr>
      <w:rFonts w:eastAsiaTheme="majorEastAsia" w:cstheme="majorBidi"/>
      <w:color w:val="272727" w:themeColor="text1" w:themeTint="D8"/>
    </w:rPr>
  </w:style>
  <w:style w:type="paragraph" w:styleId="Title">
    <w:name w:val="Title"/>
    <w:basedOn w:val="Normal"/>
    <w:next w:val="Normal"/>
    <w:link w:val="TitleChar"/>
    <w:uiPriority w:val="10"/>
    <w:qFormat/>
    <w:rsid w:val="0061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F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FE"/>
    <w:rPr>
      <w:i/>
      <w:iCs/>
      <w:color w:val="404040" w:themeColor="text1" w:themeTint="BF"/>
    </w:rPr>
  </w:style>
  <w:style w:type="paragraph" w:styleId="ListParagraph">
    <w:name w:val="List Paragraph"/>
    <w:basedOn w:val="Normal"/>
    <w:uiPriority w:val="34"/>
    <w:qFormat/>
    <w:rsid w:val="006169FE"/>
    <w:pPr>
      <w:ind w:left="720"/>
      <w:contextualSpacing/>
    </w:pPr>
  </w:style>
  <w:style w:type="character" w:styleId="IntenseEmphasis">
    <w:name w:val="Intense Emphasis"/>
    <w:basedOn w:val="DefaultParagraphFont"/>
    <w:uiPriority w:val="21"/>
    <w:qFormat/>
    <w:rsid w:val="006169FE"/>
    <w:rPr>
      <w:i/>
      <w:iCs/>
      <w:color w:val="0F4761" w:themeColor="accent1" w:themeShade="BF"/>
    </w:rPr>
  </w:style>
  <w:style w:type="paragraph" w:styleId="IntenseQuote">
    <w:name w:val="Intense Quote"/>
    <w:basedOn w:val="Normal"/>
    <w:next w:val="Normal"/>
    <w:link w:val="IntenseQuoteChar"/>
    <w:uiPriority w:val="30"/>
    <w:qFormat/>
    <w:rsid w:val="00616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FE"/>
    <w:rPr>
      <w:i/>
      <w:iCs/>
      <w:color w:val="0F4761" w:themeColor="accent1" w:themeShade="BF"/>
    </w:rPr>
  </w:style>
  <w:style w:type="character" w:styleId="IntenseReference">
    <w:name w:val="Intense Reference"/>
    <w:basedOn w:val="DefaultParagraphFont"/>
    <w:uiPriority w:val="32"/>
    <w:qFormat/>
    <w:rsid w:val="006169FE"/>
    <w:rPr>
      <w:b/>
      <w:bCs/>
      <w:smallCaps/>
      <w:color w:val="0F4761" w:themeColor="accent1" w:themeShade="BF"/>
      <w:spacing w:val="5"/>
    </w:rPr>
  </w:style>
  <w:style w:type="character" w:styleId="Hyperlink">
    <w:name w:val="Hyperlink"/>
    <w:basedOn w:val="DefaultParagraphFont"/>
    <w:uiPriority w:val="99"/>
    <w:unhideWhenUsed/>
    <w:rsid w:val="00AC2A05"/>
    <w:rPr>
      <w:color w:val="467886" w:themeColor="hyperlink"/>
      <w:u w:val="single"/>
    </w:rPr>
  </w:style>
  <w:style w:type="character" w:styleId="UnresolvedMention">
    <w:name w:val="Unresolved Mention"/>
    <w:basedOn w:val="DefaultParagraphFont"/>
    <w:uiPriority w:val="99"/>
    <w:semiHidden/>
    <w:unhideWhenUsed/>
    <w:rsid w:val="00AC2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ce.docs.medtroniclabs.org/community/supp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mmunity@medtroniclabs.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ice.docs.medtroniclabs.org/overview/data-privacy-and-security" TargetMode="External"/><Relationship Id="rId11" Type="http://schemas.openxmlformats.org/officeDocument/2006/relationships/image" Target="media/image1.jpeg"/><Relationship Id="rId5" Type="http://schemas.openxmlformats.org/officeDocument/2006/relationships/hyperlink" Target="https://spice.docs.medtroniclabs.org/deploy/customization-guide/clinical-workflow-customization" TargetMode="External"/><Relationship Id="rId10" Type="http://schemas.openxmlformats.org/officeDocument/2006/relationships/hyperlink" Target="https://spice.docs.medtroniclabs.org/product/releases" TargetMode="External"/><Relationship Id="rId4" Type="http://schemas.openxmlformats.org/officeDocument/2006/relationships/webSettings" Target="webSettings.xml"/><Relationship Id="rId9" Type="http://schemas.openxmlformats.org/officeDocument/2006/relationships/hyperlink" Target="https://spice.docs.medtroniclabs.org/community/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2025-12-11T07:04:00Z</dcterms:created>
  <dcterms:modified xsi:type="dcterms:W3CDTF">2025-12-11T07:04:00Z</dcterms:modified>
</cp:coreProperties>
</file>