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line="360" w:lineRule="auto"/>
        <w:jc w:val="left"/>
      </w:pPr>
      <w:r>
        <w:rPr>
          <w:rFonts w:ascii="Arial" w:hAnsi="Arial"/>
          <w:b/>
          <w:color w:val="000000"/>
          <w:sz w:val="26"/>
        </w:rPr>
        <w:t>4.3.8 Database Design</w:t>
      </w:r>
    </w:p>
    <w:p>
      <w:pPr>
        <w:spacing w:before="0" w:after="120" w:line="360" w:lineRule="auto"/>
        <w:jc w:val="left"/>
      </w:pPr>
      <w:r>
        <w:rPr>
          <w:rFonts w:ascii="Arial" w:hAnsi="Arial"/>
          <w:color w:val="000000"/>
          <w:sz w:val="24"/>
        </w:rPr>
        <w:t>Database Design defines the physical relational tables, column structures, data types, integrity constraints, and referential mappings that persist institutional records for the Web-Based Student Clearance System with Role-Based Approval for Talibon Polytechnic College. Derived directly from the production MariaDB database schema (student_clearance_system_backup_final.sql) and implemented via Laravel 12 migrations and Eloquent ORM, the database schema strictly satisfies Third Normal Form (3NF). This architecture eliminates redundant data storage, ensures referential integrity through foreign key constraints, and facilitates rapid query processing across concurrent approval workflows. The complete database structure comprises nine domain entity tables detailed in the following tables.</w:t>
      </w:r>
    </w:p>
    <w:p>
      <w:pPr>
        <w:spacing w:before="240" w:after="120" w:line="360" w:lineRule="auto"/>
        <w:jc w:val="center"/>
      </w:pPr>
      <w:r>
        <w:rPr>
          <w:rFonts w:ascii="Arial" w:hAnsi="Arial"/>
          <w:b/>
          <w:color w:val="000000"/>
          <w:sz w:val="22"/>
        </w:rPr>
        <w:t>Table 4.3.8.1. Users Table Data Dictionary (users)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single" w:sz="6" w:space="0" w:color="000000"/>
          <w:right w:val="single" w:sz="6" w:space="0" w:color="000000"/>
        </w:tblBorders>
      </w:tblPr>
      <w:tblGrid>
        <w:gridCol w:w="1872"/>
        <w:gridCol w:w="1872"/>
        <w:gridCol w:w="1872"/>
        <w:gridCol w:w="1872"/>
        <w:gridCol w:w="1872"/>
      </w:tblGrid>
      <w:tr>
        <w:tc>
          <w:tcPr>
            <w:tcW w:type="dxa" w:w="2016"/>
            <w:tcMar>
              <w:top w:w="100" w:type="dxa"/>
              <w:bottom w:w="100" w:type="dxa"/>
              <w:left w:w="100" w:type="dxa"/>
              <w:right w:w="100" w:type="dxa"/>
            </w:tcMar>
          </w:tcPr>
          <w:p>
            <w:pPr>
              <w:spacing w:before="40" w:after="40" w:line="240" w:lineRule="auto"/>
              <w:jc w:val="center"/>
            </w:pPr>
            <w:r>
              <w:rPr>
                <w:rFonts w:ascii="Arial" w:hAnsi="Arial"/>
                <w:b/>
                <w:color w:val="000000"/>
                <w:sz w:val="22"/>
              </w:rPr>
              <w:t>Field Name</w:t>
            </w:r>
          </w:p>
        </w:tc>
        <w:tc>
          <w:tcPr>
            <w:tcW w:type="dxa" w:w="1872"/>
            <w:tcMar>
              <w:top w:w="100" w:type="dxa"/>
              <w:bottom w:w="100" w:type="dxa"/>
              <w:left w:w="100" w:type="dxa"/>
              <w:right w:w="100" w:type="dxa"/>
            </w:tcMar>
          </w:tcPr>
          <w:p>
            <w:pPr>
              <w:spacing w:before="40" w:after="40" w:line="240" w:lineRule="auto"/>
              <w:jc w:val="center"/>
            </w:pPr>
            <w:r>
              <w:rPr>
                <w:rFonts w:ascii="Arial" w:hAnsi="Arial"/>
                <w:b/>
                <w:color w:val="000000"/>
                <w:sz w:val="22"/>
              </w:rPr>
              <w:t>Data Type</w:t>
            </w:r>
          </w:p>
        </w:tc>
        <w:tc>
          <w:tcPr>
            <w:tcW w:type="dxa" w:w="792"/>
            <w:tcMar>
              <w:top w:w="100" w:type="dxa"/>
              <w:bottom w:w="100" w:type="dxa"/>
              <w:left w:w="100" w:type="dxa"/>
              <w:right w:w="100" w:type="dxa"/>
            </w:tcMar>
          </w:tcPr>
          <w:p>
            <w:pPr>
              <w:spacing w:before="40" w:after="40" w:line="240" w:lineRule="auto"/>
              <w:jc w:val="center"/>
            </w:pPr>
            <w:r>
              <w:rPr>
                <w:rFonts w:ascii="Arial" w:hAnsi="Arial"/>
                <w:b/>
                <w:color w:val="000000"/>
                <w:sz w:val="22"/>
              </w:rPr>
              <w:t>Null</w:t>
            </w:r>
          </w:p>
        </w:tc>
        <w:tc>
          <w:tcPr>
            <w:tcW w:type="dxa" w:w="1800"/>
            <w:tcMar>
              <w:top w:w="100" w:type="dxa"/>
              <w:bottom w:w="100" w:type="dxa"/>
              <w:left w:w="100" w:type="dxa"/>
              <w:right w:w="100" w:type="dxa"/>
            </w:tcMar>
          </w:tcPr>
          <w:p>
            <w:pPr>
              <w:spacing w:before="40" w:after="40" w:line="240" w:lineRule="auto"/>
              <w:jc w:val="center"/>
            </w:pPr>
            <w:r>
              <w:rPr>
                <w:rFonts w:ascii="Arial" w:hAnsi="Arial"/>
                <w:b/>
                <w:color w:val="000000"/>
                <w:sz w:val="22"/>
              </w:rPr>
              <w:t>Key / Constraint</w:t>
            </w:r>
          </w:p>
        </w:tc>
        <w:tc>
          <w:tcPr>
            <w:tcW w:type="dxa" w:w="2880"/>
            <w:tcMar>
              <w:top w:w="100" w:type="dxa"/>
              <w:bottom w:w="100" w:type="dxa"/>
              <w:left w:w="100" w:type="dxa"/>
              <w:right w:w="100" w:type="dxa"/>
            </w:tcMar>
          </w:tcPr>
          <w:p>
            <w:pPr>
              <w:spacing w:before="40" w:after="40" w:line="240" w:lineRule="auto"/>
              <w:jc w:val="center"/>
            </w:pPr>
            <w:r>
              <w:rPr>
                <w:rFonts w:ascii="Arial" w:hAnsi="Arial"/>
                <w:b/>
                <w:color w:val="000000"/>
                <w:sz w:val="22"/>
              </w:rPr>
              <w:t>Description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PRIMARY KEY, AUTO_INC</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Unique surrogate identifier for each institutional user account.</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student_id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VARCHAR(255)</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UNIQUE KEY</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Official institutional student ID number (e.g., TPC-2024-0012). Null for non-student roles.</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name</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VARCHAR(255)</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Full legal name of the user or account display name.</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email</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VARCHAR(255)</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UNIQUE KEY</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Official institutional or personal email address used for system login and alerts.</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course_id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FOREIGN KEY -&gt; courses(id)</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Foreign key referencing the student's enrolled academic program. Null for administrative staff.</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office_id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FOREIGN KEY -&gt; offices(id)</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Foreign key referencing the staff member's assigned clearance office. Null for students.</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role</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ENUM('student', 'staff', 'admin', 'president')</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DEFAULT 'student'</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Role-Based Access Control (RBAC) role defining system privileges and navigation.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is_active</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TINYINT(1)</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DEFAULT 1</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Boolean status flag indicating account activation (1 = Active, 0 = Deactivated).</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deactivated_at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Timestamp recording when the user account was deactivated by the system administrator.</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email_verified_at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Timestamp indicating when the user verified their email address.</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password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VARCHAR(255)</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Bcrypt-hashed password string for secure authentication.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remember_token</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VARCHAR(100)</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Cryptographic token for persistent browser session authentication.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created_at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creation audit timestamp managed by Eloquent ORM.</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updated_at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modification audit timestamp managed by Eloquent ORM.</w:t>
            </w:r>
          </w:p>
        </w:tc>
      </w:tr>
      <w:tr>
        <w:tc>
          <w:tcPr>
            <w:tcW w:type="dxa" w:w="2016"/>
            <w:tcMar>
              <w:top w:w="80" w:type="dxa"/>
              <w:bottom w:w="80" w:type="dxa"/>
              <w:left w:w="100" w:type="dxa"/>
              <w:right w:w="100" w:type="dxa"/>
            </w:tcMar>
          </w:tcPr>
          <w:p>
            <w:pPr>
              <w:jc w:val="left"/>
            </w:pPr>
            <w:r>
              <w:rPr>
                <w:rFonts w:ascii="Arial" w:hAnsi="Arial"/>
                <w:b/>
                <w:sz w:val="20"/>
              </w:rPr>
              <w:t>first_name</w:t>
            </w:r>
          </w:p>
        </w:tc>
        <w:tc>
          <w:tcPr>
            <w:tcW w:type="dxa" w:w="1872"/>
            <w:tcMar>
              <w:top w:w="80" w:type="dxa"/>
              <w:bottom w:w="80" w:type="dxa"/>
              <w:left w:w="100" w:type="dxa"/>
              <w:right w:w="100" w:type="dxa"/>
            </w:tcMar>
          </w:tcPr>
          <w:p>
            <w:pPr>
              <w:jc w:val="left"/>
            </w:pPr>
            <w:r>
              <w:rPr>
                <w:rFonts w:ascii="Arial" w:hAnsi="Arial"/>
                <w:b w:val="0"/>
                <w:sz w:val="20"/>
              </w:rPr>
              <w:t>VARCHAR(255)</w:t>
            </w:r>
          </w:p>
        </w:tc>
        <w:tc>
          <w:tcPr>
            <w:tcW w:type="dxa" w:w="792"/>
            <w:tcMar>
              <w:top w:w="80" w:type="dxa"/>
              <w:bottom w:w="80" w:type="dxa"/>
              <w:left w:w="100" w:type="dxa"/>
              <w:right w:w="100" w:type="dxa"/>
            </w:tcMar>
          </w:tcPr>
          <w:p>
            <w:pPr>
              <w:jc w:val="center"/>
            </w:pPr>
            <w:r>
              <w:rPr>
                <w:rFonts w:ascii="Arial" w:hAnsi="Arial"/>
                <w:b w:val="0"/>
                <w:sz w:val="20"/>
              </w:rPr>
              <w:t>YES</w:t>
            </w:r>
          </w:p>
        </w:tc>
        <w:tc>
          <w:tcPr>
            <w:tcW w:type="dxa" w:w="1800"/>
            <w:tcMar>
              <w:top w:w="80" w:type="dxa"/>
              <w:bottom w:w="80" w:type="dxa"/>
              <w:left w:w="100" w:type="dxa"/>
              <w:right w:w="100" w:type="dxa"/>
            </w:tcMar>
          </w:tcPr>
          <w:p>
            <w:pPr>
              <w:jc w:val="left"/>
            </w:pPr>
            <w:r>
              <w:rPr>
                <w:rFonts w:ascii="Arial" w:hAnsi="Arial"/>
                <w:b w:val="0"/>
                <w:sz w:val="20"/>
              </w:rPr>
              <w:t>None</w:t>
            </w:r>
          </w:p>
        </w:tc>
        <w:tc>
          <w:tcPr>
            <w:tcW w:type="dxa" w:w="2880"/>
            <w:tcMar>
              <w:top w:w="80" w:type="dxa"/>
              <w:bottom w:w="80" w:type="dxa"/>
              <w:left w:w="100" w:type="dxa"/>
              <w:right w:w="100" w:type="dxa"/>
            </w:tcMar>
          </w:tcPr>
          <w:p>
            <w:pPr>
              <w:jc w:val="left"/>
            </w:pPr>
            <w:r>
              <w:rPr>
                <w:rFonts w:ascii="Arial" w:hAnsi="Arial"/>
                <w:b w:val="0"/>
                <w:sz w:val="20"/>
              </w:rPr>
              <w:t>Legal first name of the user account holder.</w:t>
            </w:r>
          </w:p>
        </w:tc>
      </w:tr>
      <w:tr>
        <w:tc>
          <w:tcPr>
            <w:tcW w:type="dxa" w:w="2016"/>
            <w:tcMar>
              <w:top w:w="80" w:type="dxa"/>
              <w:bottom w:w="80" w:type="dxa"/>
              <w:left w:w="100" w:type="dxa"/>
              <w:right w:w="100" w:type="dxa"/>
            </w:tcMar>
          </w:tcPr>
          <w:p>
            <w:pPr>
              <w:jc w:val="left"/>
            </w:pPr>
            <w:r>
              <w:rPr>
                <w:rFonts w:ascii="Arial" w:hAnsi="Arial"/>
                <w:b/>
                <w:sz w:val="20"/>
              </w:rPr>
              <w:t>last_name</w:t>
            </w:r>
          </w:p>
        </w:tc>
        <w:tc>
          <w:tcPr>
            <w:tcW w:type="dxa" w:w="1872"/>
            <w:tcMar>
              <w:top w:w="80" w:type="dxa"/>
              <w:bottom w:w="80" w:type="dxa"/>
              <w:left w:w="100" w:type="dxa"/>
              <w:right w:w="100" w:type="dxa"/>
            </w:tcMar>
          </w:tcPr>
          <w:p>
            <w:pPr>
              <w:jc w:val="left"/>
            </w:pPr>
            <w:r>
              <w:rPr>
                <w:rFonts w:ascii="Arial" w:hAnsi="Arial"/>
                <w:b w:val="0"/>
                <w:sz w:val="20"/>
              </w:rPr>
              <w:t>VARCHAR(255)</w:t>
            </w:r>
          </w:p>
        </w:tc>
        <w:tc>
          <w:tcPr>
            <w:tcW w:type="dxa" w:w="792"/>
            <w:tcMar>
              <w:top w:w="80" w:type="dxa"/>
              <w:bottom w:w="80" w:type="dxa"/>
              <w:left w:w="100" w:type="dxa"/>
              <w:right w:w="100" w:type="dxa"/>
            </w:tcMar>
          </w:tcPr>
          <w:p>
            <w:pPr>
              <w:jc w:val="center"/>
            </w:pPr>
            <w:r>
              <w:rPr>
                <w:rFonts w:ascii="Arial" w:hAnsi="Arial"/>
                <w:b w:val="0"/>
                <w:sz w:val="20"/>
              </w:rPr>
              <w:t>YES</w:t>
            </w:r>
          </w:p>
        </w:tc>
        <w:tc>
          <w:tcPr>
            <w:tcW w:type="dxa" w:w="1800"/>
            <w:tcMar>
              <w:top w:w="80" w:type="dxa"/>
              <w:bottom w:w="80" w:type="dxa"/>
              <w:left w:w="100" w:type="dxa"/>
              <w:right w:w="100" w:type="dxa"/>
            </w:tcMar>
          </w:tcPr>
          <w:p>
            <w:pPr>
              <w:jc w:val="left"/>
            </w:pPr>
            <w:r>
              <w:rPr>
                <w:rFonts w:ascii="Arial" w:hAnsi="Arial"/>
                <w:b w:val="0"/>
                <w:sz w:val="20"/>
              </w:rPr>
              <w:t>None</w:t>
            </w:r>
          </w:p>
        </w:tc>
        <w:tc>
          <w:tcPr>
            <w:tcW w:type="dxa" w:w="2880"/>
            <w:tcMar>
              <w:top w:w="80" w:type="dxa"/>
              <w:bottom w:w="80" w:type="dxa"/>
              <w:left w:w="100" w:type="dxa"/>
              <w:right w:w="100" w:type="dxa"/>
            </w:tcMar>
          </w:tcPr>
          <w:p>
            <w:pPr>
              <w:jc w:val="left"/>
            </w:pPr>
            <w:r>
              <w:rPr>
                <w:rFonts w:ascii="Arial" w:hAnsi="Arial"/>
                <w:b w:val="0"/>
                <w:sz w:val="20"/>
              </w:rPr>
              <w:t>Legal family name or surname of the user account holder.</w:t>
            </w:r>
          </w:p>
        </w:tc>
      </w:tr>
      <w:tr>
        <w:tc>
          <w:tcPr>
            <w:tcW w:type="dxa" w:w="2016"/>
            <w:tcMar>
              <w:top w:w="80" w:type="dxa"/>
              <w:bottom w:w="80" w:type="dxa"/>
              <w:left w:w="100" w:type="dxa"/>
              <w:right w:w="100" w:type="dxa"/>
            </w:tcMar>
          </w:tcPr>
          <w:p>
            <w:pPr>
              <w:jc w:val="left"/>
            </w:pPr>
            <w:r>
              <w:rPr>
                <w:rFonts w:ascii="Arial" w:hAnsi="Arial"/>
                <w:b/>
                <w:sz w:val="20"/>
              </w:rPr>
              <w:t>year_level</w:t>
            </w:r>
          </w:p>
        </w:tc>
        <w:tc>
          <w:tcPr>
            <w:tcW w:type="dxa" w:w="1872"/>
            <w:tcMar>
              <w:top w:w="80" w:type="dxa"/>
              <w:bottom w:w="80" w:type="dxa"/>
              <w:left w:w="100" w:type="dxa"/>
              <w:right w:w="100" w:type="dxa"/>
            </w:tcMar>
          </w:tcPr>
          <w:p>
            <w:pPr>
              <w:jc w:val="left"/>
            </w:pPr>
            <w:r>
              <w:rPr>
                <w:rFonts w:ascii="Arial" w:hAnsi="Arial"/>
                <w:b w:val="0"/>
                <w:sz w:val="20"/>
              </w:rPr>
              <w:t>VARCHAR(255)</w:t>
            </w:r>
          </w:p>
        </w:tc>
        <w:tc>
          <w:tcPr>
            <w:tcW w:type="dxa" w:w="792"/>
            <w:tcMar>
              <w:top w:w="80" w:type="dxa"/>
              <w:bottom w:w="80" w:type="dxa"/>
              <w:left w:w="100" w:type="dxa"/>
              <w:right w:w="100" w:type="dxa"/>
            </w:tcMar>
          </w:tcPr>
          <w:p>
            <w:pPr>
              <w:jc w:val="center"/>
            </w:pPr>
            <w:r>
              <w:rPr>
                <w:rFonts w:ascii="Arial" w:hAnsi="Arial"/>
                <w:b w:val="0"/>
                <w:sz w:val="20"/>
              </w:rPr>
              <w:t>YES</w:t>
            </w:r>
          </w:p>
        </w:tc>
        <w:tc>
          <w:tcPr>
            <w:tcW w:type="dxa" w:w="1800"/>
            <w:tcMar>
              <w:top w:w="80" w:type="dxa"/>
              <w:bottom w:w="80" w:type="dxa"/>
              <w:left w:w="100" w:type="dxa"/>
              <w:right w:w="100" w:type="dxa"/>
            </w:tcMar>
          </w:tcPr>
          <w:p>
            <w:pPr>
              <w:jc w:val="left"/>
            </w:pPr>
            <w:r>
              <w:rPr>
                <w:rFonts w:ascii="Arial" w:hAnsi="Arial"/>
                <w:b w:val="0"/>
                <w:sz w:val="20"/>
              </w:rPr>
              <w:t>None</w:t>
            </w:r>
          </w:p>
        </w:tc>
        <w:tc>
          <w:tcPr>
            <w:tcW w:type="dxa" w:w="2880"/>
            <w:tcMar>
              <w:top w:w="80" w:type="dxa"/>
              <w:bottom w:w="80" w:type="dxa"/>
              <w:left w:w="100" w:type="dxa"/>
              <w:right w:w="100" w:type="dxa"/>
            </w:tcMar>
          </w:tcPr>
          <w:p>
            <w:pPr>
              <w:jc w:val="left"/>
            </w:pPr>
            <w:r>
              <w:rPr>
                <w:rFonts w:ascii="Arial" w:hAnsi="Arial"/>
                <w:b w:val="0"/>
                <w:sz w:val="20"/>
              </w:rPr>
              <w:t>Student academic standing or year level (e.g., '1st Year', '2nd Year', '3rd Year', '4th Year'). Null for staff.</w:t>
            </w:r>
          </w:p>
        </w:tc>
      </w:tr>
      <w:tr>
        <w:tc>
          <w:tcPr>
            <w:tcW w:type="dxa" w:w="2016"/>
            <w:tcMar>
              <w:top w:w="80" w:type="dxa"/>
              <w:bottom w:w="80" w:type="dxa"/>
              <w:left w:w="100" w:type="dxa"/>
              <w:right w:w="100" w:type="dxa"/>
            </w:tcMar>
          </w:tcPr>
          <w:p>
            <w:pPr>
              <w:jc w:val="left"/>
            </w:pPr>
            <w:r>
              <w:rPr>
                <w:rFonts w:ascii="Arial" w:hAnsi="Arial"/>
                <w:b/>
                <w:sz w:val="20"/>
              </w:rPr>
              <w:t>two_factor_secret</w:t>
            </w:r>
          </w:p>
        </w:tc>
        <w:tc>
          <w:tcPr>
            <w:tcW w:type="dxa" w:w="1872"/>
            <w:tcMar>
              <w:top w:w="80" w:type="dxa"/>
              <w:bottom w:w="80" w:type="dxa"/>
              <w:left w:w="100" w:type="dxa"/>
              <w:right w:w="100" w:type="dxa"/>
            </w:tcMar>
          </w:tcPr>
          <w:p>
            <w:pPr>
              <w:jc w:val="left"/>
            </w:pPr>
            <w:r>
              <w:rPr>
                <w:rFonts w:ascii="Arial" w:hAnsi="Arial"/>
                <w:b w:val="0"/>
                <w:sz w:val="20"/>
              </w:rPr>
              <w:t>TEXT</w:t>
            </w:r>
          </w:p>
        </w:tc>
        <w:tc>
          <w:tcPr>
            <w:tcW w:type="dxa" w:w="792"/>
            <w:tcMar>
              <w:top w:w="80" w:type="dxa"/>
              <w:bottom w:w="80" w:type="dxa"/>
              <w:left w:w="100" w:type="dxa"/>
              <w:right w:w="100" w:type="dxa"/>
            </w:tcMar>
          </w:tcPr>
          <w:p>
            <w:pPr>
              <w:jc w:val="center"/>
            </w:pPr>
            <w:r>
              <w:rPr>
                <w:rFonts w:ascii="Arial" w:hAnsi="Arial"/>
                <w:b w:val="0"/>
                <w:sz w:val="20"/>
              </w:rPr>
              <w:t>YES</w:t>
            </w:r>
          </w:p>
        </w:tc>
        <w:tc>
          <w:tcPr>
            <w:tcW w:type="dxa" w:w="1800"/>
            <w:tcMar>
              <w:top w:w="80" w:type="dxa"/>
              <w:bottom w:w="80" w:type="dxa"/>
              <w:left w:w="100" w:type="dxa"/>
              <w:right w:w="100" w:type="dxa"/>
            </w:tcMar>
          </w:tcPr>
          <w:p>
            <w:pPr>
              <w:jc w:val="left"/>
            </w:pPr>
            <w:r>
              <w:rPr>
                <w:rFonts w:ascii="Arial" w:hAnsi="Arial"/>
                <w:b w:val="0"/>
                <w:sz w:val="20"/>
              </w:rPr>
              <w:t>None</w:t>
            </w:r>
          </w:p>
        </w:tc>
        <w:tc>
          <w:tcPr>
            <w:tcW w:type="dxa" w:w="2880"/>
            <w:tcMar>
              <w:top w:w="80" w:type="dxa"/>
              <w:bottom w:w="80" w:type="dxa"/>
              <w:left w:w="100" w:type="dxa"/>
              <w:right w:w="100" w:type="dxa"/>
            </w:tcMar>
          </w:tcPr>
          <w:p>
            <w:pPr>
              <w:jc w:val="left"/>
            </w:pPr>
            <w:r>
              <w:rPr>
                <w:rFonts w:ascii="Arial" w:hAnsi="Arial"/>
                <w:b w:val="0"/>
                <w:sz w:val="20"/>
              </w:rPr>
              <w:t>Encrypted TOTP secret key utilized for Two-Factor Authentication (2FA) verification via mobile authenticator apps.</w:t>
            </w:r>
          </w:p>
        </w:tc>
      </w:tr>
      <w:tr>
        <w:tc>
          <w:tcPr>
            <w:tcW w:type="dxa" w:w="2016"/>
            <w:tcMar>
              <w:top w:w="80" w:type="dxa"/>
              <w:bottom w:w="80" w:type="dxa"/>
              <w:left w:w="100" w:type="dxa"/>
              <w:right w:w="100" w:type="dxa"/>
            </w:tcMar>
          </w:tcPr>
          <w:p>
            <w:pPr>
              <w:jc w:val="left"/>
            </w:pPr>
            <w:r>
              <w:rPr>
                <w:rFonts w:ascii="Arial" w:hAnsi="Arial"/>
                <w:b/>
                <w:sz w:val="20"/>
              </w:rPr>
              <w:t>two_factor_recovery_codes</w:t>
            </w:r>
          </w:p>
        </w:tc>
        <w:tc>
          <w:tcPr>
            <w:tcW w:type="dxa" w:w="1872"/>
            <w:tcMar>
              <w:top w:w="80" w:type="dxa"/>
              <w:bottom w:w="80" w:type="dxa"/>
              <w:left w:w="100" w:type="dxa"/>
              <w:right w:w="100" w:type="dxa"/>
            </w:tcMar>
          </w:tcPr>
          <w:p>
            <w:pPr>
              <w:jc w:val="left"/>
            </w:pPr>
            <w:r>
              <w:rPr>
                <w:rFonts w:ascii="Arial" w:hAnsi="Arial"/>
                <w:b w:val="0"/>
                <w:sz w:val="20"/>
              </w:rPr>
              <w:t>TEXT</w:t>
            </w:r>
          </w:p>
        </w:tc>
        <w:tc>
          <w:tcPr>
            <w:tcW w:type="dxa" w:w="792"/>
            <w:tcMar>
              <w:top w:w="80" w:type="dxa"/>
              <w:bottom w:w="80" w:type="dxa"/>
              <w:left w:w="100" w:type="dxa"/>
              <w:right w:w="100" w:type="dxa"/>
            </w:tcMar>
          </w:tcPr>
          <w:p>
            <w:pPr>
              <w:jc w:val="center"/>
            </w:pPr>
            <w:r>
              <w:rPr>
                <w:rFonts w:ascii="Arial" w:hAnsi="Arial"/>
                <w:b w:val="0"/>
                <w:sz w:val="20"/>
              </w:rPr>
              <w:t>YES</w:t>
            </w:r>
          </w:p>
        </w:tc>
        <w:tc>
          <w:tcPr>
            <w:tcW w:type="dxa" w:w="1800"/>
            <w:tcMar>
              <w:top w:w="80" w:type="dxa"/>
              <w:bottom w:w="80" w:type="dxa"/>
              <w:left w:w="100" w:type="dxa"/>
              <w:right w:w="100" w:type="dxa"/>
            </w:tcMar>
          </w:tcPr>
          <w:p>
            <w:pPr>
              <w:jc w:val="left"/>
            </w:pPr>
            <w:r>
              <w:rPr>
                <w:rFonts w:ascii="Arial" w:hAnsi="Arial"/>
                <w:b w:val="0"/>
                <w:sz w:val="20"/>
              </w:rPr>
              <w:t>None</w:t>
            </w:r>
          </w:p>
        </w:tc>
        <w:tc>
          <w:tcPr>
            <w:tcW w:type="dxa" w:w="2880"/>
            <w:tcMar>
              <w:top w:w="80" w:type="dxa"/>
              <w:bottom w:w="80" w:type="dxa"/>
              <w:left w:w="100" w:type="dxa"/>
              <w:right w:w="100" w:type="dxa"/>
            </w:tcMar>
          </w:tcPr>
          <w:p>
            <w:pPr>
              <w:jc w:val="left"/>
            </w:pPr>
            <w:r>
              <w:rPr>
                <w:rFonts w:ascii="Arial" w:hAnsi="Arial"/>
                <w:b w:val="0"/>
                <w:sz w:val="20"/>
              </w:rPr>
              <w:t>Encrypted emergency recovery tokens for secondary account access if 2FA authentication device is lost.</w:t>
            </w:r>
          </w:p>
        </w:tc>
      </w:tr>
      <w:tr>
        <w:tc>
          <w:tcPr>
            <w:tcW w:type="dxa" w:w="2016"/>
            <w:tcMar>
              <w:top w:w="80" w:type="dxa"/>
              <w:bottom w:w="80" w:type="dxa"/>
              <w:left w:w="100" w:type="dxa"/>
              <w:right w:w="100" w:type="dxa"/>
            </w:tcMar>
          </w:tcPr>
          <w:p>
            <w:pPr>
              <w:jc w:val="left"/>
            </w:pPr>
            <w:r>
              <w:rPr>
                <w:rFonts w:ascii="Arial" w:hAnsi="Arial"/>
                <w:b/>
                <w:sz w:val="20"/>
              </w:rPr>
              <w:t>two_factor_confirmed_at</w:t>
            </w:r>
          </w:p>
        </w:tc>
        <w:tc>
          <w:tcPr>
            <w:tcW w:type="dxa" w:w="1872"/>
            <w:tcMar>
              <w:top w:w="80" w:type="dxa"/>
              <w:bottom w:w="80" w:type="dxa"/>
              <w:left w:w="100" w:type="dxa"/>
              <w:right w:w="100" w:type="dxa"/>
            </w:tcMar>
          </w:tcPr>
          <w:p>
            <w:pPr>
              <w:jc w:val="left"/>
            </w:pPr>
            <w:r>
              <w:rPr>
                <w:rFonts w:ascii="Arial" w:hAnsi="Arial"/>
                <w:b w:val="0"/>
                <w:sz w:val="20"/>
              </w:rPr>
              <w:t>TIMESTAMP</w:t>
            </w:r>
          </w:p>
        </w:tc>
        <w:tc>
          <w:tcPr>
            <w:tcW w:type="dxa" w:w="792"/>
            <w:tcMar>
              <w:top w:w="80" w:type="dxa"/>
              <w:bottom w:w="80" w:type="dxa"/>
              <w:left w:w="100" w:type="dxa"/>
              <w:right w:w="100" w:type="dxa"/>
            </w:tcMar>
          </w:tcPr>
          <w:p>
            <w:pPr>
              <w:jc w:val="center"/>
            </w:pPr>
            <w:r>
              <w:rPr>
                <w:rFonts w:ascii="Arial" w:hAnsi="Arial"/>
                <w:b w:val="0"/>
                <w:sz w:val="20"/>
              </w:rPr>
              <w:t>YES</w:t>
            </w:r>
          </w:p>
        </w:tc>
        <w:tc>
          <w:tcPr>
            <w:tcW w:type="dxa" w:w="1800"/>
            <w:tcMar>
              <w:top w:w="80" w:type="dxa"/>
              <w:bottom w:w="80" w:type="dxa"/>
              <w:left w:w="100" w:type="dxa"/>
              <w:right w:w="100" w:type="dxa"/>
            </w:tcMar>
          </w:tcPr>
          <w:p>
            <w:pPr>
              <w:jc w:val="left"/>
            </w:pPr>
            <w:r>
              <w:rPr>
                <w:rFonts w:ascii="Arial" w:hAnsi="Arial"/>
                <w:b w:val="0"/>
                <w:sz w:val="20"/>
              </w:rPr>
              <w:t>None</w:t>
            </w:r>
          </w:p>
        </w:tc>
        <w:tc>
          <w:tcPr>
            <w:tcW w:type="dxa" w:w="2880"/>
            <w:tcMar>
              <w:top w:w="80" w:type="dxa"/>
              <w:bottom w:w="80" w:type="dxa"/>
              <w:left w:w="100" w:type="dxa"/>
              <w:right w:w="100" w:type="dxa"/>
            </w:tcMar>
          </w:tcPr>
          <w:p>
            <w:pPr>
              <w:jc w:val="left"/>
            </w:pPr>
            <w:r>
              <w:rPr>
                <w:rFonts w:ascii="Arial" w:hAnsi="Arial"/>
                <w:b w:val="0"/>
                <w:sz w:val="20"/>
              </w:rPr>
              <w:t>Timestamp recording when Two-Factor Authentication was formally confirmed and activated by the user.</w:t>
            </w:r>
          </w:p>
        </w:tc>
      </w:tr>
    </w:tbl>
    <w:p>
      <w:pPr>
        <w:spacing w:before="0" w:after="120" w:line="360" w:lineRule="auto"/>
        <w:jc w:val="left"/>
      </w:pPr>
    </w:p>
    <w:p>
      <w:pPr>
        <w:spacing w:before="240" w:after="120" w:line="360" w:lineRule="auto"/>
        <w:jc w:val="center"/>
      </w:pPr>
      <w:r>
        <w:rPr>
          <w:rFonts w:ascii="Arial" w:hAnsi="Arial"/>
          <w:b/>
          <w:color w:val="000000"/>
          <w:sz w:val="22"/>
        </w:rPr>
        <w:t>Table 4.3.8.2. Courses Table Data Dictionary (courses)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single" w:sz="6" w:space="0" w:color="000000"/>
          <w:right w:val="single" w:sz="6" w:space="0" w:color="000000"/>
        </w:tblBorders>
      </w:tblPr>
      <w:tblGrid>
        <w:gridCol w:w="1872"/>
        <w:gridCol w:w="1872"/>
        <w:gridCol w:w="1872"/>
        <w:gridCol w:w="1872"/>
        <w:gridCol w:w="1872"/>
      </w:tblGrid>
      <w:tr>
        <w:tc>
          <w:tcPr>
            <w:tcW w:type="dxa" w:w="2016"/>
            <w:tcMar>
              <w:top w:w="100" w:type="dxa"/>
              <w:bottom w:w="100" w:type="dxa"/>
              <w:left w:w="100" w:type="dxa"/>
              <w:right w:w="100" w:type="dxa"/>
            </w:tcMar>
          </w:tcPr>
          <w:p>
            <w:pPr>
              <w:spacing w:before="40" w:after="40" w:line="240" w:lineRule="auto"/>
              <w:jc w:val="center"/>
            </w:pPr>
            <w:r>
              <w:rPr>
                <w:rFonts w:ascii="Arial" w:hAnsi="Arial"/>
                <w:b/>
                <w:color w:val="000000"/>
                <w:sz w:val="22"/>
              </w:rPr>
              <w:t>Field Name</w:t>
            </w:r>
          </w:p>
        </w:tc>
        <w:tc>
          <w:tcPr>
            <w:tcW w:type="dxa" w:w="1872"/>
            <w:tcMar>
              <w:top w:w="100" w:type="dxa"/>
              <w:bottom w:w="100" w:type="dxa"/>
              <w:left w:w="100" w:type="dxa"/>
              <w:right w:w="100" w:type="dxa"/>
            </w:tcMar>
          </w:tcPr>
          <w:p>
            <w:pPr>
              <w:spacing w:before="40" w:after="40" w:line="240" w:lineRule="auto"/>
              <w:jc w:val="center"/>
            </w:pPr>
            <w:r>
              <w:rPr>
                <w:rFonts w:ascii="Arial" w:hAnsi="Arial"/>
                <w:b/>
                <w:color w:val="000000"/>
                <w:sz w:val="22"/>
              </w:rPr>
              <w:t>Data Type</w:t>
            </w:r>
          </w:p>
        </w:tc>
        <w:tc>
          <w:tcPr>
            <w:tcW w:type="dxa" w:w="792"/>
            <w:tcMar>
              <w:top w:w="100" w:type="dxa"/>
              <w:bottom w:w="100" w:type="dxa"/>
              <w:left w:w="100" w:type="dxa"/>
              <w:right w:w="100" w:type="dxa"/>
            </w:tcMar>
          </w:tcPr>
          <w:p>
            <w:pPr>
              <w:spacing w:before="40" w:after="40" w:line="240" w:lineRule="auto"/>
              <w:jc w:val="center"/>
            </w:pPr>
            <w:r>
              <w:rPr>
                <w:rFonts w:ascii="Arial" w:hAnsi="Arial"/>
                <w:b/>
                <w:color w:val="000000"/>
                <w:sz w:val="22"/>
              </w:rPr>
              <w:t>Null</w:t>
            </w:r>
          </w:p>
        </w:tc>
        <w:tc>
          <w:tcPr>
            <w:tcW w:type="dxa" w:w="1800"/>
            <w:tcMar>
              <w:top w:w="100" w:type="dxa"/>
              <w:bottom w:w="100" w:type="dxa"/>
              <w:left w:w="100" w:type="dxa"/>
              <w:right w:w="100" w:type="dxa"/>
            </w:tcMar>
          </w:tcPr>
          <w:p>
            <w:pPr>
              <w:spacing w:before="40" w:after="40" w:line="240" w:lineRule="auto"/>
              <w:jc w:val="center"/>
            </w:pPr>
            <w:r>
              <w:rPr>
                <w:rFonts w:ascii="Arial" w:hAnsi="Arial"/>
                <w:b/>
                <w:color w:val="000000"/>
                <w:sz w:val="22"/>
              </w:rPr>
              <w:t>Key / Constraint</w:t>
            </w:r>
          </w:p>
        </w:tc>
        <w:tc>
          <w:tcPr>
            <w:tcW w:type="dxa" w:w="2880"/>
            <w:tcMar>
              <w:top w:w="100" w:type="dxa"/>
              <w:bottom w:w="100" w:type="dxa"/>
              <w:left w:w="100" w:type="dxa"/>
              <w:right w:w="100" w:type="dxa"/>
            </w:tcMar>
          </w:tcPr>
          <w:p>
            <w:pPr>
              <w:spacing w:before="40" w:after="40" w:line="240" w:lineRule="auto"/>
              <w:jc w:val="center"/>
            </w:pPr>
            <w:r>
              <w:rPr>
                <w:rFonts w:ascii="Arial" w:hAnsi="Arial"/>
                <w:b/>
                <w:color w:val="000000"/>
                <w:sz w:val="22"/>
              </w:rPr>
              <w:t>Description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PRIMARY KEY, AUTO_INC</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Unique identifier for the academic degree program.</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name</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VARCHAR(255)</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Official title of the academic program (e.g., Bachelor of Science in Information Systems).</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code</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VARCHAR(255)</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UNIQUE KEY</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Standard institutional program code abbreviation (e.g., BSIS, CRIMS, BEED).</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created_at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creation timestamp.</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updated_at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modification timestamp.</w:t>
            </w:r>
          </w:p>
        </w:tc>
      </w:tr>
    </w:tbl>
    <w:p>
      <w:pPr>
        <w:spacing w:before="0" w:after="120" w:line="360" w:lineRule="auto"/>
        <w:jc w:val="left"/>
      </w:pPr>
    </w:p>
    <w:p>
      <w:pPr>
        <w:spacing w:before="240" w:after="120" w:line="360" w:lineRule="auto"/>
        <w:jc w:val="center"/>
      </w:pPr>
      <w:r>
        <w:rPr>
          <w:rFonts w:ascii="Arial" w:hAnsi="Arial"/>
          <w:b/>
          <w:color w:val="000000"/>
          <w:sz w:val="22"/>
        </w:rPr>
        <w:t>Table 4.3.8.3. Offices Table Data Dictionary (offices)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single" w:sz="6" w:space="0" w:color="000000"/>
          <w:right w:val="single" w:sz="6" w:space="0" w:color="000000"/>
        </w:tblBorders>
      </w:tblPr>
      <w:tblGrid>
        <w:gridCol w:w="1872"/>
        <w:gridCol w:w="1872"/>
        <w:gridCol w:w="1872"/>
        <w:gridCol w:w="1872"/>
        <w:gridCol w:w="1872"/>
      </w:tblGrid>
      <w:tr>
        <w:tc>
          <w:tcPr>
            <w:tcW w:type="dxa" w:w="2016"/>
            <w:tcMar>
              <w:top w:w="100" w:type="dxa"/>
              <w:bottom w:w="100" w:type="dxa"/>
              <w:left w:w="100" w:type="dxa"/>
              <w:right w:w="100" w:type="dxa"/>
            </w:tcMar>
          </w:tcPr>
          <w:p>
            <w:pPr>
              <w:spacing w:before="40" w:after="40" w:line="240" w:lineRule="auto"/>
              <w:jc w:val="center"/>
            </w:pPr>
            <w:r>
              <w:rPr>
                <w:rFonts w:ascii="Arial" w:hAnsi="Arial"/>
                <w:b/>
                <w:color w:val="000000"/>
                <w:sz w:val="22"/>
              </w:rPr>
              <w:t>Field Name</w:t>
            </w:r>
          </w:p>
        </w:tc>
        <w:tc>
          <w:tcPr>
            <w:tcW w:type="dxa" w:w="1872"/>
            <w:tcMar>
              <w:top w:w="100" w:type="dxa"/>
              <w:bottom w:w="100" w:type="dxa"/>
              <w:left w:w="100" w:type="dxa"/>
              <w:right w:w="100" w:type="dxa"/>
            </w:tcMar>
          </w:tcPr>
          <w:p>
            <w:pPr>
              <w:spacing w:before="40" w:after="40" w:line="240" w:lineRule="auto"/>
              <w:jc w:val="center"/>
            </w:pPr>
            <w:r>
              <w:rPr>
                <w:rFonts w:ascii="Arial" w:hAnsi="Arial"/>
                <w:b/>
                <w:color w:val="000000"/>
                <w:sz w:val="22"/>
              </w:rPr>
              <w:t>Data Type</w:t>
            </w:r>
          </w:p>
        </w:tc>
        <w:tc>
          <w:tcPr>
            <w:tcW w:type="dxa" w:w="792"/>
            <w:tcMar>
              <w:top w:w="100" w:type="dxa"/>
              <w:bottom w:w="100" w:type="dxa"/>
              <w:left w:w="100" w:type="dxa"/>
              <w:right w:w="100" w:type="dxa"/>
            </w:tcMar>
          </w:tcPr>
          <w:p>
            <w:pPr>
              <w:spacing w:before="40" w:after="40" w:line="240" w:lineRule="auto"/>
              <w:jc w:val="center"/>
            </w:pPr>
            <w:r>
              <w:rPr>
                <w:rFonts w:ascii="Arial" w:hAnsi="Arial"/>
                <w:b/>
                <w:color w:val="000000"/>
                <w:sz w:val="22"/>
              </w:rPr>
              <w:t>Null</w:t>
            </w:r>
          </w:p>
        </w:tc>
        <w:tc>
          <w:tcPr>
            <w:tcW w:type="dxa" w:w="1800"/>
            <w:tcMar>
              <w:top w:w="100" w:type="dxa"/>
              <w:bottom w:w="100" w:type="dxa"/>
              <w:left w:w="100" w:type="dxa"/>
              <w:right w:w="100" w:type="dxa"/>
            </w:tcMar>
          </w:tcPr>
          <w:p>
            <w:pPr>
              <w:spacing w:before="40" w:after="40" w:line="240" w:lineRule="auto"/>
              <w:jc w:val="center"/>
            </w:pPr>
            <w:r>
              <w:rPr>
                <w:rFonts w:ascii="Arial" w:hAnsi="Arial"/>
                <w:b/>
                <w:color w:val="000000"/>
                <w:sz w:val="22"/>
              </w:rPr>
              <w:t>Key / Constraint</w:t>
            </w:r>
          </w:p>
        </w:tc>
        <w:tc>
          <w:tcPr>
            <w:tcW w:type="dxa" w:w="2880"/>
            <w:tcMar>
              <w:top w:w="100" w:type="dxa"/>
              <w:bottom w:w="100" w:type="dxa"/>
              <w:left w:w="100" w:type="dxa"/>
              <w:right w:w="100" w:type="dxa"/>
            </w:tcMar>
          </w:tcPr>
          <w:p>
            <w:pPr>
              <w:spacing w:before="40" w:after="40" w:line="240" w:lineRule="auto"/>
              <w:jc w:val="center"/>
            </w:pPr>
            <w:r>
              <w:rPr>
                <w:rFonts w:ascii="Arial" w:hAnsi="Arial"/>
                <w:b/>
                <w:color w:val="000000"/>
                <w:sz w:val="22"/>
              </w:rPr>
              <w:t>Description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PRIMARY KEY, AUTO_INC</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Unique identifier for the institutional clearance department.</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name</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VARCHAR(255)</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Official departmental office name (e.g., Library, Cashier, Dean, Registrar, Guidance, Student Affairs).</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group</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VARCHAR(255)</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Administrative grouping or category designation for the office.</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sort_order</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INT(10)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DEFAULT 0</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Numerical priority index controlling display sequencing and topological queue order.</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is_final_approver</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TINYINT(1)</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DEFAULT 0</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Boolean flag designating the office as the executive final gatekeeper (1 = College President, 0 = Standard Department).</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created_at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creation timestamp.</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updated_at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modification timestamp.</w:t>
            </w:r>
          </w:p>
        </w:tc>
      </w:tr>
    </w:tbl>
    <w:p>
      <w:pPr>
        <w:spacing w:before="0" w:after="120" w:line="360" w:lineRule="auto"/>
        <w:jc w:val="left"/>
      </w:pPr>
    </w:p>
    <w:p>
      <w:pPr>
        <w:spacing w:before="240" w:after="120" w:line="360" w:lineRule="auto"/>
        <w:jc w:val="center"/>
      </w:pPr>
      <w:r>
        <w:rPr>
          <w:rFonts w:ascii="Arial" w:hAnsi="Arial"/>
          <w:b/>
          <w:color w:val="000000"/>
          <w:sz w:val="22"/>
        </w:rPr>
        <w:t>Table 4.3.8.4. Course-Office Junction Table Data Dictionary (course_office)</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single" w:sz="6" w:space="0" w:color="000000"/>
          <w:right w:val="single" w:sz="6" w:space="0" w:color="000000"/>
        </w:tblBorders>
      </w:tblPr>
      <w:tblGrid>
        <w:gridCol w:w="1872"/>
        <w:gridCol w:w="1872"/>
        <w:gridCol w:w="1872"/>
        <w:gridCol w:w="1872"/>
        <w:gridCol w:w="1872"/>
      </w:tblGrid>
      <w:tr>
        <w:tc>
          <w:tcPr>
            <w:tcW w:type="dxa" w:w="2016"/>
            <w:tcMar>
              <w:top w:w="100" w:type="dxa"/>
              <w:bottom w:w="100" w:type="dxa"/>
              <w:left w:w="100" w:type="dxa"/>
              <w:right w:w="100" w:type="dxa"/>
            </w:tcMar>
          </w:tcPr>
          <w:p>
            <w:pPr>
              <w:spacing w:before="40" w:after="40" w:line="240" w:lineRule="auto"/>
              <w:jc w:val="center"/>
            </w:pPr>
            <w:r>
              <w:rPr>
                <w:rFonts w:ascii="Arial" w:hAnsi="Arial"/>
                <w:b/>
                <w:color w:val="000000"/>
                <w:sz w:val="22"/>
              </w:rPr>
              <w:t>Field Name</w:t>
            </w:r>
          </w:p>
        </w:tc>
        <w:tc>
          <w:tcPr>
            <w:tcW w:type="dxa" w:w="1872"/>
            <w:tcMar>
              <w:top w:w="100" w:type="dxa"/>
              <w:bottom w:w="100" w:type="dxa"/>
              <w:left w:w="100" w:type="dxa"/>
              <w:right w:w="100" w:type="dxa"/>
            </w:tcMar>
          </w:tcPr>
          <w:p>
            <w:pPr>
              <w:spacing w:before="40" w:after="40" w:line="240" w:lineRule="auto"/>
              <w:jc w:val="center"/>
            </w:pPr>
            <w:r>
              <w:rPr>
                <w:rFonts w:ascii="Arial" w:hAnsi="Arial"/>
                <w:b/>
                <w:color w:val="000000"/>
                <w:sz w:val="22"/>
              </w:rPr>
              <w:t>Data Type</w:t>
            </w:r>
          </w:p>
        </w:tc>
        <w:tc>
          <w:tcPr>
            <w:tcW w:type="dxa" w:w="792"/>
            <w:tcMar>
              <w:top w:w="100" w:type="dxa"/>
              <w:bottom w:w="100" w:type="dxa"/>
              <w:left w:w="100" w:type="dxa"/>
              <w:right w:w="100" w:type="dxa"/>
            </w:tcMar>
          </w:tcPr>
          <w:p>
            <w:pPr>
              <w:spacing w:before="40" w:after="40" w:line="240" w:lineRule="auto"/>
              <w:jc w:val="center"/>
            </w:pPr>
            <w:r>
              <w:rPr>
                <w:rFonts w:ascii="Arial" w:hAnsi="Arial"/>
                <w:b/>
                <w:color w:val="000000"/>
                <w:sz w:val="22"/>
              </w:rPr>
              <w:t>Null</w:t>
            </w:r>
          </w:p>
        </w:tc>
        <w:tc>
          <w:tcPr>
            <w:tcW w:type="dxa" w:w="1800"/>
            <w:tcMar>
              <w:top w:w="100" w:type="dxa"/>
              <w:bottom w:w="100" w:type="dxa"/>
              <w:left w:w="100" w:type="dxa"/>
              <w:right w:w="100" w:type="dxa"/>
            </w:tcMar>
          </w:tcPr>
          <w:p>
            <w:pPr>
              <w:spacing w:before="40" w:after="40" w:line="240" w:lineRule="auto"/>
              <w:jc w:val="center"/>
            </w:pPr>
            <w:r>
              <w:rPr>
                <w:rFonts w:ascii="Arial" w:hAnsi="Arial"/>
                <w:b/>
                <w:color w:val="000000"/>
                <w:sz w:val="22"/>
              </w:rPr>
              <w:t>Key / Constraint</w:t>
            </w:r>
          </w:p>
        </w:tc>
        <w:tc>
          <w:tcPr>
            <w:tcW w:type="dxa" w:w="2880"/>
            <w:tcMar>
              <w:top w:w="100" w:type="dxa"/>
              <w:bottom w:w="100" w:type="dxa"/>
              <w:left w:w="100" w:type="dxa"/>
              <w:right w:w="100" w:type="dxa"/>
            </w:tcMar>
          </w:tcPr>
          <w:p>
            <w:pPr>
              <w:spacing w:before="40" w:after="40" w:line="240" w:lineRule="auto"/>
              <w:jc w:val="center"/>
            </w:pPr>
            <w:r>
              <w:rPr>
                <w:rFonts w:ascii="Arial" w:hAnsi="Arial"/>
                <w:b/>
                <w:color w:val="000000"/>
                <w:sz w:val="22"/>
              </w:rPr>
              <w:t>Description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PRIMARY KEY, AUTO_INC</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Unique surrogate identifier for the curriculum-office mapping entry.</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course_id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FK -&gt; courses(id), UNIQUE(1)</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Foreign key referencing the academic course. Part of composite unique key (course_id, office_id).</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office_id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FK -&gt; offices(id), UNIQUE(2)</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Foreign key referencing the mandatory clearance office for the linked course. Cascades on delete.</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created_at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creation timestamp.</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updated_at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modification timestamp.</w:t>
            </w:r>
          </w:p>
        </w:tc>
      </w:tr>
    </w:tbl>
    <w:p>
      <w:pPr>
        <w:spacing w:before="0" w:after="120" w:line="360" w:lineRule="auto"/>
        <w:jc w:val="left"/>
      </w:pPr>
    </w:p>
    <w:p>
      <w:pPr>
        <w:spacing w:before="240" w:after="120" w:line="360" w:lineRule="auto"/>
        <w:jc w:val="center"/>
      </w:pPr>
      <w:r>
        <w:rPr>
          <w:rFonts w:ascii="Arial" w:hAnsi="Arial"/>
          <w:b/>
          <w:color w:val="000000"/>
          <w:sz w:val="22"/>
        </w:rPr>
        <w:t>Table 4.3.8.5. Office Prerequisites Junction Table Data Dictionary (office_prerequisites)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single" w:sz="6" w:space="0" w:color="000000"/>
          <w:right w:val="single" w:sz="6" w:space="0" w:color="000000"/>
        </w:tblBorders>
      </w:tblPr>
      <w:tblGrid>
        <w:gridCol w:w="1872"/>
        <w:gridCol w:w="1872"/>
        <w:gridCol w:w="1872"/>
        <w:gridCol w:w="1872"/>
        <w:gridCol w:w="1872"/>
      </w:tblGrid>
      <w:tr>
        <w:tc>
          <w:tcPr>
            <w:tcW w:type="dxa" w:w="2016"/>
            <w:tcMar>
              <w:top w:w="100" w:type="dxa"/>
              <w:bottom w:w="100" w:type="dxa"/>
              <w:left w:w="100" w:type="dxa"/>
              <w:right w:w="100" w:type="dxa"/>
            </w:tcMar>
          </w:tcPr>
          <w:p>
            <w:pPr>
              <w:spacing w:before="40" w:after="40" w:line="240" w:lineRule="auto"/>
              <w:jc w:val="center"/>
            </w:pPr>
            <w:r>
              <w:rPr>
                <w:rFonts w:ascii="Arial" w:hAnsi="Arial"/>
                <w:b/>
                <w:color w:val="000000"/>
                <w:sz w:val="22"/>
              </w:rPr>
              <w:t>Field Name</w:t>
            </w:r>
          </w:p>
        </w:tc>
        <w:tc>
          <w:tcPr>
            <w:tcW w:type="dxa" w:w="1872"/>
            <w:tcMar>
              <w:top w:w="100" w:type="dxa"/>
              <w:bottom w:w="100" w:type="dxa"/>
              <w:left w:w="100" w:type="dxa"/>
              <w:right w:w="100" w:type="dxa"/>
            </w:tcMar>
          </w:tcPr>
          <w:p>
            <w:pPr>
              <w:spacing w:before="40" w:after="40" w:line="240" w:lineRule="auto"/>
              <w:jc w:val="center"/>
            </w:pPr>
            <w:r>
              <w:rPr>
                <w:rFonts w:ascii="Arial" w:hAnsi="Arial"/>
                <w:b/>
                <w:color w:val="000000"/>
                <w:sz w:val="22"/>
              </w:rPr>
              <w:t>Data Type</w:t>
            </w:r>
          </w:p>
        </w:tc>
        <w:tc>
          <w:tcPr>
            <w:tcW w:type="dxa" w:w="792"/>
            <w:tcMar>
              <w:top w:w="100" w:type="dxa"/>
              <w:bottom w:w="100" w:type="dxa"/>
              <w:left w:w="100" w:type="dxa"/>
              <w:right w:w="100" w:type="dxa"/>
            </w:tcMar>
          </w:tcPr>
          <w:p>
            <w:pPr>
              <w:spacing w:before="40" w:after="40" w:line="240" w:lineRule="auto"/>
              <w:jc w:val="center"/>
            </w:pPr>
            <w:r>
              <w:rPr>
                <w:rFonts w:ascii="Arial" w:hAnsi="Arial"/>
                <w:b/>
                <w:color w:val="000000"/>
                <w:sz w:val="22"/>
              </w:rPr>
              <w:t>Null</w:t>
            </w:r>
          </w:p>
        </w:tc>
        <w:tc>
          <w:tcPr>
            <w:tcW w:type="dxa" w:w="1800"/>
            <w:tcMar>
              <w:top w:w="100" w:type="dxa"/>
              <w:bottom w:w="100" w:type="dxa"/>
              <w:left w:w="100" w:type="dxa"/>
              <w:right w:w="100" w:type="dxa"/>
            </w:tcMar>
          </w:tcPr>
          <w:p>
            <w:pPr>
              <w:spacing w:before="40" w:after="40" w:line="240" w:lineRule="auto"/>
              <w:jc w:val="center"/>
            </w:pPr>
            <w:r>
              <w:rPr>
                <w:rFonts w:ascii="Arial" w:hAnsi="Arial"/>
                <w:b/>
                <w:color w:val="000000"/>
                <w:sz w:val="22"/>
              </w:rPr>
              <w:t>Key / Constraint</w:t>
            </w:r>
          </w:p>
        </w:tc>
        <w:tc>
          <w:tcPr>
            <w:tcW w:type="dxa" w:w="2880"/>
            <w:tcMar>
              <w:top w:w="100" w:type="dxa"/>
              <w:bottom w:w="100" w:type="dxa"/>
              <w:left w:w="100" w:type="dxa"/>
              <w:right w:w="100" w:type="dxa"/>
            </w:tcMar>
          </w:tcPr>
          <w:p>
            <w:pPr>
              <w:spacing w:before="40" w:after="40" w:line="240" w:lineRule="auto"/>
              <w:jc w:val="center"/>
            </w:pPr>
            <w:r>
              <w:rPr>
                <w:rFonts w:ascii="Arial" w:hAnsi="Arial"/>
                <w:b/>
                <w:color w:val="000000"/>
                <w:sz w:val="22"/>
              </w:rPr>
              <w:t>Description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office_id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PK(1), FK -&gt; offices(id)</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Foreign key referencing the target clearance office requiring a prerequisite. Cascades on delete.</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prerequisite_office_id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PK(2), FK -&gt; offices(id)</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Foreign key referencing the prerequisite office that must be cleared prior to the target office.</w:t>
            </w:r>
          </w:p>
        </w:tc>
      </w:tr>
    </w:tbl>
    <w:p>
      <w:pPr>
        <w:spacing w:before="0" w:after="120" w:line="360" w:lineRule="auto"/>
        <w:jc w:val="left"/>
      </w:pPr>
    </w:p>
    <w:p>
      <w:pPr>
        <w:spacing w:before="240" w:after="120" w:line="360" w:lineRule="auto"/>
        <w:jc w:val="center"/>
      </w:pPr>
      <w:r>
        <w:rPr>
          <w:rFonts w:ascii="Arial" w:hAnsi="Arial"/>
          <w:b/>
          <w:color w:val="000000"/>
          <w:sz w:val="22"/>
        </w:rPr>
        <w:t>Table 4.3.8.6. Clearance Requests Table Data Dictionary (clearance_requests)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single" w:sz="6" w:space="0" w:color="000000"/>
          <w:right w:val="single" w:sz="6" w:space="0" w:color="000000"/>
        </w:tblBorders>
      </w:tblPr>
      <w:tblGrid>
        <w:gridCol w:w="1872"/>
        <w:gridCol w:w="1872"/>
        <w:gridCol w:w="1872"/>
        <w:gridCol w:w="1872"/>
        <w:gridCol w:w="1872"/>
      </w:tblGrid>
      <w:tr>
        <w:tc>
          <w:tcPr>
            <w:tcW w:type="dxa" w:w="2016"/>
            <w:tcMar>
              <w:top w:w="100" w:type="dxa"/>
              <w:bottom w:w="100" w:type="dxa"/>
              <w:left w:w="100" w:type="dxa"/>
              <w:right w:w="100" w:type="dxa"/>
            </w:tcMar>
          </w:tcPr>
          <w:p>
            <w:pPr>
              <w:spacing w:before="40" w:after="40" w:line="240" w:lineRule="auto"/>
              <w:jc w:val="center"/>
            </w:pPr>
            <w:r>
              <w:rPr>
                <w:rFonts w:ascii="Arial" w:hAnsi="Arial"/>
                <w:b/>
                <w:color w:val="000000"/>
                <w:sz w:val="22"/>
              </w:rPr>
              <w:t>Field Name</w:t>
            </w:r>
          </w:p>
        </w:tc>
        <w:tc>
          <w:tcPr>
            <w:tcW w:type="dxa" w:w="1872"/>
            <w:tcMar>
              <w:top w:w="100" w:type="dxa"/>
              <w:bottom w:w="100" w:type="dxa"/>
              <w:left w:w="100" w:type="dxa"/>
              <w:right w:w="100" w:type="dxa"/>
            </w:tcMar>
          </w:tcPr>
          <w:p>
            <w:pPr>
              <w:spacing w:before="40" w:after="40" w:line="240" w:lineRule="auto"/>
              <w:jc w:val="center"/>
            </w:pPr>
            <w:r>
              <w:rPr>
                <w:rFonts w:ascii="Arial" w:hAnsi="Arial"/>
                <w:b/>
                <w:color w:val="000000"/>
                <w:sz w:val="22"/>
              </w:rPr>
              <w:t>Data Type</w:t>
            </w:r>
          </w:p>
        </w:tc>
        <w:tc>
          <w:tcPr>
            <w:tcW w:type="dxa" w:w="792"/>
            <w:tcMar>
              <w:top w:w="100" w:type="dxa"/>
              <w:bottom w:w="100" w:type="dxa"/>
              <w:left w:w="100" w:type="dxa"/>
              <w:right w:w="100" w:type="dxa"/>
            </w:tcMar>
          </w:tcPr>
          <w:p>
            <w:pPr>
              <w:spacing w:before="40" w:after="40" w:line="240" w:lineRule="auto"/>
              <w:jc w:val="center"/>
            </w:pPr>
            <w:r>
              <w:rPr>
                <w:rFonts w:ascii="Arial" w:hAnsi="Arial"/>
                <w:b/>
                <w:color w:val="000000"/>
                <w:sz w:val="22"/>
              </w:rPr>
              <w:t>Null</w:t>
            </w:r>
          </w:p>
        </w:tc>
        <w:tc>
          <w:tcPr>
            <w:tcW w:type="dxa" w:w="1800"/>
            <w:tcMar>
              <w:top w:w="100" w:type="dxa"/>
              <w:bottom w:w="100" w:type="dxa"/>
              <w:left w:w="100" w:type="dxa"/>
              <w:right w:w="100" w:type="dxa"/>
            </w:tcMar>
          </w:tcPr>
          <w:p>
            <w:pPr>
              <w:spacing w:before="40" w:after="40" w:line="240" w:lineRule="auto"/>
              <w:jc w:val="center"/>
            </w:pPr>
            <w:r>
              <w:rPr>
                <w:rFonts w:ascii="Arial" w:hAnsi="Arial"/>
                <w:b/>
                <w:color w:val="000000"/>
                <w:sz w:val="22"/>
              </w:rPr>
              <w:t>Key / Constraint</w:t>
            </w:r>
          </w:p>
        </w:tc>
        <w:tc>
          <w:tcPr>
            <w:tcW w:type="dxa" w:w="2880"/>
            <w:tcMar>
              <w:top w:w="100" w:type="dxa"/>
              <w:bottom w:w="100" w:type="dxa"/>
              <w:left w:w="100" w:type="dxa"/>
              <w:right w:w="100" w:type="dxa"/>
            </w:tcMar>
          </w:tcPr>
          <w:p>
            <w:pPr>
              <w:spacing w:before="40" w:after="40" w:line="240" w:lineRule="auto"/>
              <w:jc w:val="center"/>
            </w:pPr>
            <w:r>
              <w:rPr>
                <w:rFonts w:ascii="Arial" w:hAnsi="Arial"/>
                <w:b/>
                <w:color w:val="000000"/>
                <w:sz w:val="22"/>
              </w:rPr>
              <w:t>Description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PRIMARY KEY, AUTO_INC</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Unique surrogate identifier for the student clearance application filing.</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user_id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FK -&gt; users(id), UNIQUE(1)</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Foreign key referencing the applying student in the users table. Cascades on delete.</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semester</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VARCHAR(255)</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INDEX(1), UNIQUE(2)</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Academic semester term of application (e.g., '1st Semester', '2nd Semester', 'Summer').</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school_year</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VARCHAR(255)</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INDEX(2), UNIQUE(3)</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Academic school year of application (e.g., '2026-2027'). Prevents duplicate semester filings.</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status</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ENUM('pending', 'cleared')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DEFAULT 'pending'</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Overall master state of the clearance filing. Transitions to 'cleared' once all obligations are fulfilled.</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submitted_at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Exact date and time the student formally submitted the online clearance application.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cleared_at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Exact date and time when final executive approval was recorded, granting overall clearance.</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receipt_number</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VARCHAR(255)</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UNIQUE KEY</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Official alphanumeric receipt serial number generated automatically upon full clearance completion.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verification_code</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VARCHAR(255)</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UNIQUE KEY</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Cryptographic alphanumeric verification token embedded into the scannable QR certificate code.</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created_at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creation timestamp.</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updated_at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modification timestamp.</w:t>
            </w:r>
          </w:p>
        </w:tc>
      </w:tr>
    </w:tbl>
    <w:p>
      <w:pPr>
        <w:spacing w:before="0" w:after="120" w:line="360" w:lineRule="auto"/>
        <w:jc w:val="left"/>
      </w:pPr>
    </w:p>
    <w:p>
      <w:pPr>
        <w:spacing w:before="240" w:after="120" w:line="360" w:lineRule="auto"/>
        <w:jc w:val="center"/>
      </w:pPr>
      <w:r>
        <w:rPr>
          <w:rFonts w:ascii="Arial" w:hAnsi="Arial"/>
          <w:b/>
          <w:color w:val="000000"/>
          <w:sz w:val="22"/>
        </w:rPr>
        <w:t>Table 4.3.8.7. Clearance Approvals Table Data Dictionary (clearance_approvals)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single" w:sz="6" w:space="0" w:color="000000"/>
          <w:right w:val="single" w:sz="6" w:space="0" w:color="000000"/>
        </w:tblBorders>
      </w:tblPr>
      <w:tblGrid>
        <w:gridCol w:w="1872"/>
        <w:gridCol w:w="1872"/>
        <w:gridCol w:w="1872"/>
        <w:gridCol w:w="1872"/>
        <w:gridCol w:w="1872"/>
      </w:tblGrid>
      <w:tr>
        <w:tc>
          <w:tcPr>
            <w:tcW w:type="dxa" w:w="2016"/>
            <w:tcMar>
              <w:top w:w="100" w:type="dxa"/>
              <w:bottom w:w="100" w:type="dxa"/>
              <w:left w:w="100" w:type="dxa"/>
              <w:right w:w="100" w:type="dxa"/>
            </w:tcMar>
          </w:tcPr>
          <w:p>
            <w:pPr>
              <w:spacing w:before="40" w:after="40" w:line="240" w:lineRule="auto"/>
              <w:jc w:val="center"/>
            </w:pPr>
            <w:r>
              <w:rPr>
                <w:rFonts w:ascii="Arial" w:hAnsi="Arial"/>
                <w:b/>
                <w:color w:val="000000"/>
                <w:sz w:val="22"/>
              </w:rPr>
              <w:t>Field Name</w:t>
            </w:r>
          </w:p>
        </w:tc>
        <w:tc>
          <w:tcPr>
            <w:tcW w:type="dxa" w:w="1872"/>
            <w:tcMar>
              <w:top w:w="100" w:type="dxa"/>
              <w:bottom w:w="100" w:type="dxa"/>
              <w:left w:w="100" w:type="dxa"/>
              <w:right w:w="100" w:type="dxa"/>
            </w:tcMar>
          </w:tcPr>
          <w:p>
            <w:pPr>
              <w:spacing w:before="40" w:after="40" w:line="240" w:lineRule="auto"/>
              <w:jc w:val="center"/>
            </w:pPr>
            <w:r>
              <w:rPr>
                <w:rFonts w:ascii="Arial" w:hAnsi="Arial"/>
                <w:b/>
                <w:color w:val="000000"/>
                <w:sz w:val="22"/>
              </w:rPr>
              <w:t>Data Type</w:t>
            </w:r>
          </w:p>
        </w:tc>
        <w:tc>
          <w:tcPr>
            <w:tcW w:type="dxa" w:w="792"/>
            <w:tcMar>
              <w:top w:w="100" w:type="dxa"/>
              <w:bottom w:w="100" w:type="dxa"/>
              <w:left w:w="100" w:type="dxa"/>
              <w:right w:w="100" w:type="dxa"/>
            </w:tcMar>
          </w:tcPr>
          <w:p>
            <w:pPr>
              <w:spacing w:before="40" w:after="40" w:line="240" w:lineRule="auto"/>
              <w:jc w:val="center"/>
            </w:pPr>
            <w:r>
              <w:rPr>
                <w:rFonts w:ascii="Arial" w:hAnsi="Arial"/>
                <w:b/>
                <w:color w:val="000000"/>
                <w:sz w:val="22"/>
              </w:rPr>
              <w:t>Null</w:t>
            </w:r>
          </w:p>
        </w:tc>
        <w:tc>
          <w:tcPr>
            <w:tcW w:type="dxa" w:w="1800"/>
            <w:tcMar>
              <w:top w:w="100" w:type="dxa"/>
              <w:bottom w:w="100" w:type="dxa"/>
              <w:left w:w="100" w:type="dxa"/>
              <w:right w:w="100" w:type="dxa"/>
            </w:tcMar>
          </w:tcPr>
          <w:p>
            <w:pPr>
              <w:spacing w:before="40" w:after="40" w:line="240" w:lineRule="auto"/>
              <w:jc w:val="center"/>
            </w:pPr>
            <w:r>
              <w:rPr>
                <w:rFonts w:ascii="Arial" w:hAnsi="Arial"/>
                <w:b/>
                <w:color w:val="000000"/>
                <w:sz w:val="22"/>
              </w:rPr>
              <w:t>Key / Constraint</w:t>
            </w:r>
          </w:p>
        </w:tc>
        <w:tc>
          <w:tcPr>
            <w:tcW w:type="dxa" w:w="2880"/>
            <w:tcMar>
              <w:top w:w="100" w:type="dxa"/>
              <w:bottom w:w="100" w:type="dxa"/>
              <w:left w:w="100" w:type="dxa"/>
              <w:right w:w="100" w:type="dxa"/>
            </w:tcMar>
          </w:tcPr>
          <w:p>
            <w:pPr>
              <w:spacing w:before="40" w:after="40" w:line="240" w:lineRule="auto"/>
              <w:jc w:val="center"/>
            </w:pPr>
            <w:r>
              <w:rPr>
                <w:rFonts w:ascii="Arial" w:hAnsi="Arial"/>
                <w:b/>
                <w:color w:val="000000"/>
                <w:sz w:val="22"/>
              </w:rPr>
              <w:t>Description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PRIMARY KEY, AUTO_INC</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Unique surrogate identifier for the departmental clearance evaluation line item.</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clearance_request_id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FK -&gt; clearance_requests(id), UNIQUE(1)</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Foreign key referencing the parent clearance request. Cascades on delete.</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office_id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FK -&gt; offices(id), UNIQUE(2), INDEX(1)</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Foreign key referencing the evaluating department. Scopes staff pending queues.</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approved_by</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FOREIGN KEY -&gt; users(id)</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Foreign key referencing the authenticated staff member who acted on the obligation. Sets NULL on delete.</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status</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ENUM('not_requested', 'pending', 'approved', 'rejected')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DEFAULT 'not_requested', INDEX(2)</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Granular departmental evaluation state indicating obligation compliance status.</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remarks</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TEXT</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Explicit deficiency descriptions, monetary obligations, or settlement instructions provided upon rejection.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acted_at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Exact timestamp when the staff signatory approved or rejected the departmental requirement.</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created_at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creation timestamp.</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updated_at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modification timestamp.</w:t>
            </w:r>
          </w:p>
        </w:tc>
      </w:tr>
    </w:tbl>
    <w:p>
      <w:pPr>
        <w:spacing w:before="0" w:after="120" w:line="360" w:lineRule="auto"/>
        <w:jc w:val="left"/>
      </w:pPr>
    </w:p>
    <w:p>
      <w:pPr>
        <w:spacing w:before="240" w:after="120" w:line="360" w:lineRule="auto"/>
        <w:jc w:val="center"/>
      </w:pPr>
      <w:r>
        <w:rPr>
          <w:rFonts w:ascii="Arial" w:hAnsi="Arial"/>
          <w:b/>
          <w:color w:val="000000"/>
          <w:sz w:val="22"/>
        </w:rPr>
        <w:t>Table 4.3.8.8. Notifications Table Data Dictionary (notifications)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single" w:sz="6" w:space="0" w:color="000000"/>
          <w:right w:val="single" w:sz="6" w:space="0" w:color="000000"/>
        </w:tblBorders>
      </w:tblPr>
      <w:tblGrid>
        <w:gridCol w:w="1872"/>
        <w:gridCol w:w="1872"/>
        <w:gridCol w:w="1872"/>
        <w:gridCol w:w="1872"/>
        <w:gridCol w:w="1872"/>
      </w:tblGrid>
      <w:tr>
        <w:tc>
          <w:tcPr>
            <w:tcW w:type="dxa" w:w="2016"/>
            <w:tcMar>
              <w:top w:w="100" w:type="dxa"/>
              <w:bottom w:w="100" w:type="dxa"/>
              <w:left w:w="100" w:type="dxa"/>
              <w:right w:w="100" w:type="dxa"/>
            </w:tcMar>
          </w:tcPr>
          <w:p>
            <w:pPr>
              <w:spacing w:before="40" w:after="40" w:line="240" w:lineRule="auto"/>
              <w:jc w:val="center"/>
            </w:pPr>
            <w:r>
              <w:rPr>
                <w:rFonts w:ascii="Arial" w:hAnsi="Arial"/>
                <w:b/>
                <w:color w:val="000000"/>
                <w:sz w:val="22"/>
              </w:rPr>
              <w:t>Field Name</w:t>
            </w:r>
          </w:p>
        </w:tc>
        <w:tc>
          <w:tcPr>
            <w:tcW w:type="dxa" w:w="1872"/>
            <w:tcMar>
              <w:top w:w="100" w:type="dxa"/>
              <w:bottom w:w="100" w:type="dxa"/>
              <w:left w:w="100" w:type="dxa"/>
              <w:right w:w="100" w:type="dxa"/>
            </w:tcMar>
          </w:tcPr>
          <w:p>
            <w:pPr>
              <w:spacing w:before="40" w:after="40" w:line="240" w:lineRule="auto"/>
              <w:jc w:val="center"/>
            </w:pPr>
            <w:r>
              <w:rPr>
                <w:rFonts w:ascii="Arial" w:hAnsi="Arial"/>
                <w:b/>
                <w:color w:val="000000"/>
                <w:sz w:val="22"/>
              </w:rPr>
              <w:t>Data Type</w:t>
            </w:r>
          </w:p>
        </w:tc>
        <w:tc>
          <w:tcPr>
            <w:tcW w:type="dxa" w:w="792"/>
            <w:tcMar>
              <w:top w:w="100" w:type="dxa"/>
              <w:bottom w:w="100" w:type="dxa"/>
              <w:left w:w="100" w:type="dxa"/>
              <w:right w:w="100" w:type="dxa"/>
            </w:tcMar>
          </w:tcPr>
          <w:p>
            <w:pPr>
              <w:spacing w:before="40" w:after="40" w:line="240" w:lineRule="auto"/>
              <w:jc w:val="center"/>
            </w:pPr>
            <w:r>
              <w:rPr>
                <w:rFonts w:ascii="Arial" w:hAnsi="Arial"/>
                <w:b/>
                <w:color w:val="000000"/>
                <w:sz w:val="22"/>
              </w:rPr>
              <w:t>Null</w:t>
            </w:r>
          </w:p>
        </w:tc>
        <w:tc>
          <w:tcPr>
            <w:tcW w:type="dxa" w:w="1800"/>
            <w:tcMar>
              <w:top w:w="100" w:type="dxa"/>
              <w:bottom w:w="100" w:type="dxa"/>
              <w:left w:w="100" w:type="dxa"/>
              <w:right w:w="100" w:type="dxa"/>
            </w:tcMar>
          </w:tcPr>
          <w:p>
            <w:pPr>
              <w:spacing w:before="40" w:after="40" w:line="240" w:lineRule="auto"/>
              <w:jc w:val="center"/>
            </w:pPr>
            <w:r>
              <w:rPr>
                <w:rFonts w:ascii="Arial" w:hAnsi="Arial"/>
                <w:b/>
                <w:color w:val="000000"/>
                <w:sz w:val="22"/>
              </w:rPr>
              <w:t>Key / Constraint</w:t>
            </w:r>
          </w:p>
        </w:tc>
        <w:tc>
          <w:tcPr>
            <w:tcW w:type="dxa" w:w="2880"/>
            <w:tcMar>
              <w:top w:w="100" w:type="dxa"/>
              <w:bottom w:w="100" w:type="dxa"/>
              <w:left w:w="100" w:type="dxa"/>
              <w:right w:w="100" w:type="dxa"/>
            </w:tcMar>
          </w:tcPr>
          <w:p>
            <w:pPr>
              <w:spacing w:before="40" w:after="40" w:line="240" w:lineRule="auto"/>
              <w:jc w:val="center"/>
            </w:pPr>
            <w:r>
              <w:rPr>
                <w:rFonts w:ascii="Arial" w:hAnsi="Arial"/>
                <w:b/>
                <w:color w:val="000000"/>
                <w:sz w:val="22"/>
              </w:rPr>
              <w:t>Description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PRIMARY KEY, AUTO_INC</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Unique surrogate identifier for the in-app notification record.</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user_id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FOREIGN KEY -&gt; users(id)</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Foreign key referencing the recipient user account. Cascades on user deletion.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title</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VARCHAR(255)</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Brief summary headline of the alert (e.g., 'Clearance request rejected', 'Clearance marked as complied').</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message</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TEXT</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Detailed notification body containing specific departmental feedback and cited deficiency remarks.</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link</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VARCHAR(255)</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Internal application route directing the recipient to relevant dashboard views (e.g., '/dashboard').</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read_at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Timestamp recording when the user opened or read the notification (null indicates unread).</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created_at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creation timestamp.</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updated_at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modification timestamp.</w:t>
            </w:r>
          </w:p>
        </w:tc>
      </w:tr>
    </w:tbl>
    <w:p>
      <w:pPr>
        <w:spacing w:before="0" w:after="120" w:line="360" w:lineRule="auto"/>
        <w:jc w:val="left"/>
      </w:pPr>
    </w:p>
    <w:p>
      <w:pPr>
        <w:spacing w:before="240" w:after="120" w:line="360" w:lineRule="auto"/>
        <w:jc w:val="center"/>
      </w:pPr>
      <w:r>
        <w:rPr>
          <w:rFonts w:ascii="Arial" w:hAnsi="Arial"/>
          <w:b/>
          <w:color w:val="000000"/>
          <w:sz w:val="22"/>
        </w:rPr>
        <w:t>Table 4.3.8.9. Application Settings Table Data Dictionary (app_settings)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single" w:sz="6" w:space="0" w:color="000000"/>
          <w:right w:val="single" w:sz="6" w:space="0" w:color="000000"/>
        </w:tblBorders>
      </w:tblPr>
      <w:tblGrid>
        <w:gridCol w:w="1872"/>
        <w:gridCol w:w="1872"/>
        <w:gridCol w:w="1872"/>
        <w:gridCol w:w="1872"/>
        <w:gridCol w:w="1872"/>
      </w:tblGrid>
      <w:tr>
        <w:tc>
          <w:tcPr>
            <w:tcW w:type="dxa" w:w="2016"/>
            <w:tcMar>
              <w:top w:w="100" w:type="dxa"/>
              <w:bottom w:w="100" w:type="dxa"/>
              <w:left w:w="100" w:type="dxa"/>
              <w:right w:w="100" w:type="dxa"/>
            </w:tcMar>
          </w:tcPr>
          <w:p>
            <w:pPr>
              <w:spacing w:before="40" w:after="40" w:line="240" w:lineRule="auto"/>
              <w:jc w:val="center"/>
            </w:pPr>
            <w:r>
              <w:rPr>
                <w:rFonts w:ascii="Arial" w:hAnsi="Arial"/>
                <w:b/>
                <w:color w:val="000000"/>
                <w:sz w:val="22"/>
              </w:rPr>
              <w:t>Field Name</w:t>
            </w:r>
          </w:p>
        </w:tc>
        <w:tc>
          <w:tcPr>
            <w:tcW w:type="dxa" w:w="1872"/>
            <w:tcMar>
              <w:top w:w="100" w:type="dxa"/>
              <w:bottom w:w="100" w:type="dxa"/>
              <w:left w:w="100" w:type="dxa"/>
              <w:right w:w="100" w:type="dxa"/>
            </w:tcMar>
          </w:tcPr>
          <w:p>
            <w:pPr>
              <w:spacing w:before="40" w:after="40" w:line="240" w:lineRule="auto"/>
              <w:jc w:val="center"/>
            </w:pPr>
            <w:r>
              <w:rPr>
                <w:rFonts w:ascii="Arial" w:hAnsi="Arial"/>
                <w:b/>
                <w:color w:val="000000"/>
                <w:sz w:val="22"/>
              </w:rPr>
              <w:t>Data Type</w:t>
            </w:r>
          </w:p>
        </w:tc>
        <w:tc>
          <w:tcPr>
            <w:tcW w:type="dxa" w:w="792"/>
            <w:tcMar>
              <w:top w:w="100" w:type="dxa"/>
              <w:bottom w:w="100" w:type="dxa"/>
              <w:left w:w="100" w:type="dxa"/>
              <w:right w:w="100" w:type="dxa"/>
            </w:tcMar>
          </w:tcPr>
          <w:p>
            <w:pPr>
              <w:spacing w:before="40" w:after="40" w:line="240" w:lineRule="auto"/>
              <w:jc w:val="center"/>
            </w:pPr>
            <w:r>
              <w:rPr>
                <w:rFonts w:ascii="Arial" w:hAnsi="Arial"/>
                <w:b/>
                <w:color w:val="000000"/>
                <w:sz w:val="22"/>
              </w:rPr>
              <w:t>Null</w:t>
            </w:r>
          </w:p>
        </w:tc>
        <w:tc>
          <w:tcPr>
            <w:tcW w:type="dxa" w:w="1800"/>
            <w:tcMar>
              <w:top w:w="100" w:type="dxa"/>
              <w:bottom w:w="100" w:type="dxa"/>
              <w:left w:w="100" w:type="dxa"/>
              <w:right w:w="100" w:type="dxa"/>
            </w:tcMar>
          </w:tcPr>
          <w:p>
            <w:pPr>
              <w:spacing w:before="40" w:after="40" w:line="240" w:lineRule="auto"/>
              <w:jc w:val="center"/>
            </w:pPr>
            <w:r>
              <w:rPr>
                <w:rFonts w:ascii="Arial" w:hAnsi="Arial"/>
                <w:b/>
                <w:color w:val="000000"/>
                <w:sz w:val="22"/>
              </w:rPr>
              <w:t>Key / Constraint</w:t>
            </w:r>
          </w:p>
        </w:tc>
        <w:tc>
          <w:tcPr>
            <w:tcW w:type="dxa" w:w="2880"/>
            <w:tcMar>
              <w:top w:w="100" w:type="dxa"/>
              <w:bottom w:w="100" w:type="dxa"/>
              <w:left w:w="100" w:type="dxa"/>
              <w:right w:w="100" w:type="dxa"/>
            </w:tcMar>
          </w:tcPr>
          <w:p>
            <w:pPr>
              <w:spacing w:before="40" w:after="40" w:line="240" w:lineRule="auto"/>
              <w:jc w:val="center"/>
            </w:pPr>
            <w:r>
              <w:rPr>
                <w:rFonts w:ascii="Arial" w:hAnsi="Arial"/>
                <w:b/>
                <w:color w:val="000000"/>
                <w:sz w:val="22"/>
              </w:rPr>
              <w:t>Description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PRIMARY KEY, AUTO_INC</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Unique surrogate identifier for the system configuration setting.</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key</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VARCHAR(255)</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UNIQUE KEY</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Unique configuration key identifier (e.g., 'active_semester', 'active_school_year').</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value</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TEXT</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Global setting value stored as text and cached via Laravel Cache facade for fast runtime retrieval.</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created_at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creation timestamp.</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updated_at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modification timestamp.</w:t>
            </w:r>
          </w:p>
        </w:tc>
      </w:tr>
    </w:tbl>
    <w:p>
      <w:pPr>
        <w:spacing w:before="0" w:after="120" w:line="360" w:lineRule="auto"/>
        <w:jc w:val="left"/>
      </w:pPr>
    </w:p>
    <w:p>
      <w:pPr>
        <w:spacing w:before="280" w:after="120" w:line="360" w:lineRule="auto"/>
        <w:jc w:val="left"/>
      </w:pPr>
      <w:r>
        <w:rPr>
          <w:rFonts w:ascii="Arial" w:hAnsi="Arial"/>
          <w:b/>
          <w:color w:val="000000"/>
          <w:sz w:val="24"/>
        </w:rPr>
        <w:t>Database Normalization and Integrity Constraints Analysis</w:t>
      </w:r>
    </w:p>
    <w:p>
      <w:pPr>
        <w:spacing w:before="0" w:after="120" w:line="360" w:lineRule="auto"/>
        <w:jc w:val="left"/>
      </w:pPr>
      <w:r>
        <w:rPr>
          <w:rFonts w:ascii="Arial" w:hAnsi="Arial"/>
          <w:color w:val="000000"/>
          <w:sz w:val="24"/>
        </w:rPr>
        <w:t>The relational schema adheres to standard database engineering principles, guaranteeing structural consistency and operational efficiency:</w:t>
      </w:r>
    </w:p>
    <w:p>
      <w:pPr>
        <w:spacing w:before="0" w:after="120" w:line="360" w:lineRule="auto"/>
        <w:jc w:val="left"/>
      </w:pPr>
      <w:r>
        <w:rPr>
          <w:rFonts w:ascii="Arial" w:hAnsi="Arial"/>
          <w:b/>
          <w:color w:val="000000"/>
          <w:sz w:val="24"/>
        </w:rPr>
        <w:t>1. First Normal Form (1NF).</w:t>
      </w:r>
      <w:r>
        <w:rPr>
          <w:rFonts w:ascii="Arial" w:hAnsi="Arial"/>
          <w:color w:val="000000"/>
          <w:sz w:val="24"/>
        </w:rPr>
        <w:t xml:space="preserve"> Every attribute in the schema represents atomic, indivisible values. Multi-valued dependencies (such as multiple prerequisite offices per department or multiple offices per academic program) are resolved into dedicated first-normal-form relational tables (course_office and office_prerequisites).</w:t>
      </w:r>
    </w:p>
    <w:p>
      <w:pPr>
        <w:spacing w:before="0" w:after="120" w:line="360" w:lineRule="auto"/>
        <w:jc w:val="left"/>
      </w:pPr>
      <w:r>
        <w:rPr>
          <w:rFonts w:ascii="Arial" w:hAnsi="Arial"/>
          <w:b/>
          <w:color w:val="000000"/>
          <w:sz w:val="24"/>
        </w:rPr>
        <w:t>2. Second Normal Form (2NF).</w:t>
      </w:r>
      <w:r>
        <w:rPr>
          <w:rFonts w:ascii="Arial" w:hAnsi="Arial"/>
          <w:color w:val="000000"/>
          <w:sz w:val="24"/>
        </w:rPr>
        <w:t xml:space="preserve"> All non-key attributes are fully functionally dependent on the primary key. In junction tables with composite primary keys (e.g., office_prerequisites), each column forms an indispensable component of the unique identifying relationship.</w:t>
      </w:r>
    </w:p>
    <w:p>
      <w:pPr>
        <w:spacing w:before="0" w:after="120" w:line="360" w:lineRule="auto"/>
        <w:jc w:val="left"/>
      </w:pPr>
      <w:r>
        <w:rPr>
          <w:rFonts w:ascii="Arial" w:hAnsi="Arial"/>
          <w:b/>
          <w:color w:val="000000"/>
          <w:sz w:val="24"/>
        </w:rPr>
        <w:t>3. Third Normal Form (3NF).</w:t>
      </w:r>
      <w:r>
        <w:rPr>
          <w:rFonts w:ascii="Arial" w:hAnsi="Arial"/>
          <w:color w:val="000000"/>
          <w:sz w:val="24"/>
        </w:rPr>
        <w:t xml:space="preserve"> The schema eliminates transitive dependencies. Departmental metadata (offices) and degree curriculum details (courses) are maintained in independent relation tables rather than redundant columns within transactional tables. Consequently, modifications to an office name or program code propagate across all student records automatically without data anomalies.</w:t>
      </w:r>
    </w:p>
    <w:p>
      <w:pPr>
        <w:spacing w:before="0" w:after="120" w:line="360" w:lineRule="auto"/>
        <w:jc w:val="left"/>
      </w:pPr>
      <w:r>
        <w:rPr>
          <w:rFonts w:ascii="Arial" w:hAnsi="Arial"/>
          <w:b/>
          <w:color w:val="000000"/>
          <w:sz w:val="24"/>
        </w:rPr>
        <w:t>4. Referential Integrity and Cascade Rules.</w:t>
      </w:r>
      <w:r>
        <w:rPr>
          <w:rFonts w:ascii="Arial" w:hAnsi="Arial"/>
          <w:color w:val="000000"/>
          <w:sz w:val="24"/>
        </w:rPr>
        <w:t xml:space="preserve"> The database implements dual-tier referential integrity rules. Junction rows and subordinate line items employ ON DELETE CASCADE constraints, ensuring that deleting a clearance request systematically purges its dependent approval rows without leaving orphaned records. Conversely, audit foreign keys such as approved_by in clearance_approvals utilize ON DELETE SET NULL, ensuring that historical approval timestamps and deficiency records remain permanently auditable even if an employee account is subsequently removed.</w:t>
      </w:r>
    </w:p>
    <w:p>
      <w:pPr>
        <w:spacing w:before="0" w:after="120" w:line="360" w:lineRule="auto"/>
        <w:jc w:val="left"/>
      </w:pPr>
      <w:r>
        <w:rPr>
          <w:rFonts w:ascii="Arial" w:hAnsi="Arial"/>
          <w:b/>
          <w:color w:val="000000"/>
          <w:sz w:val="24"/>
        </w:rPr>
        <w:t>5. Indexing and Uniqueness Constraints.</w:t>
      </w:r>
      <w:r>
        <w:rPr>
          <w:rFonts w:ascii="Arial" w:hAnsi="Arial"/>
          <w:color w:val="000000"/>
          <w:sz w:val="24"/>
        </w:rPr>
        <w:t xml:space="preserve"> Composite unique keys prevent data duplication across institutional cycles. The constraint UNIQUE(user_id, semester, school_year) in clearance_requests mathematically prevents students from filing duplicate clearance submissions within the same term. Additionally, composite index KEY(office_id, status) in clearance_approvals accelerates staff queue retrieval by enabling index-only filtering across high-volume departmental workloads.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