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280"/>
        <w:jc w:val="left"/>
      </w:pPr>
      <w:r>
        <w:rPr>
          <w:rFonts w:ascii="Arial" w:hAnsi="Arial"/>
          <w:b/>
          <w:color w:val="000000"/>
          <w:sz w:val="28"/>
        </w:rPr>
        <w:t>4.3.9 Interface Design</w:t>
      </w:r>
    </w:p>
    <w:p>
      <w:pPr>
        <w:spacing w:line="240" w:lineRule="auto"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01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1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360"/>
        <w:jc w:val="center"/>
      </w:pPr>
      <w:r>
        <w:rPr>
          <w:rFonts w:ascii="Arial" w:hAnsi="Arial"/>
          <w:b/>
          <w:color w:val="000000"/>
          <w:sz w:val="22"/>
        </w:rPr>
        <w:t>Figure 14. System Landing Page Interface</w:t>
      </w:r>
    </w:p>
    <w:p>
      <w:pPr>
        <w:spacing w:line="240" w:lineRule="auto"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01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1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360"/>
        <w:jc w:val="center"/>
      </w:pPr>
      <w:r>
        <w:rPr>
          <w:rFonts w:ascii="Arial" w:hAnsi="Arial"/>
          <w:b/>
          <w:color w:val="000000"/>
          <w:sz w:val="22"/>
        </w:rPr>
        <w:t>Figure 15. User Authentication (Login) Interface</w:t>
      </w:r>
    </w:p>
    <w:p>
      <w:pPr>
        <w:spacing w:line="240" w:lineRule="auto"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061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gister_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360"/>
        <w:jc w:val="center"/>
      </w:pPr>
      <w:r>
        <w:rPr>
          <w:rFonts w:ascii="Arial" w:hAnsi="Arial"/>
          <w:b/>
          <w:color w:val="000000"/>
          <w:sz w:val="22"/>
        </w:rPr>
        <w:t>Figure 16. Student Account Registration Interface</w:t>
      </w:r>
    </w:p>
    <w:p>
      <w:pPr>
        <w:spacing w:line="240" w:lineRule="auto"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061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tudent_dashboard_we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360"/>
        <w:jc w:val="center"/>
      </w:pPr>
      <w:r>
        <w:rPr>
          <w:rFonts w:ascii="Arial" w:hAnsi="Arial"/>
          <w:b/>
          <w:color w:val="000000"/>
          <w:sz w:val="22"/>
        </w:rPr>
        <w:t>Figure 17. Student Clearance Dashboard Interface (Desktop / Web View)</w:t>
      </w:r>
    </w:p>
    <w:p>
      <w:pPr>
        <w:spacing w:line="240" w:lineRule="auto"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286000" cy="40532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udent_dashboard_mob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053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360"/>
        <w:jc w:val="center"/>
      </w:pPr>
      <w:r>
        <w:rPr>
          <w:rFonts w:ascii="Arial" w:hAnsi="Arial"/>
          <w:b/>
          <w:color w:val="000000"/>
          <w:sz w:val="22"/>
        </w:rPr>
        <w:t>Figure 18. Student Clearance Dashboard Interface (Mobile Responsive View)</w:t>
      </w:r>
    </w:p>
    <w:p>
      <w:pPr>
        <w:spacing w:line="240" w:lineRule="auto"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061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taff_approv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360"/>
        <w:jc w:val="center"/>
      </w:pPr>
      <w:r>
        <w:rPr>
          <w:rFonts w:ascii="Arial" w:hAnsi="Arial"/>
          <w:b/>
          <w:color w:val="000000"/>
          <w:sz w:val="22"/>
        </w:rPr>
        <w:t>Figure 19. Office Staff Clearance Evaluation Queue Interface</w:t>
      </w:r>
    </w:p>
    <w:p>
      <w:pPr>
        <w:spacing w:line="240" w:lineRule="auto"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061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esident_approva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360"/>
        <w:jc w:val="center"/>
      </w:pPr>
      <w:r>
        <w:rPr>
          <w:rFonts w:ascii="Arial" w:hAnsi="Arial"/>
          <w:b/>
          <w:color w:val="000000"/>
          <w:sz w:val="22"/>
        </w:rPr>
        <w:t>Figure 20. College President Final Clearance Authorization Queue Interface</w:t>
      </w:r>
    </w:p>
    <w:p>
      <w:pPr>
        <w:spacing w:line="240" w:lineRule="auto"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012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dmin_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1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360"/>
        <w:jc w:val="center"/>
      </w:pPr>
      <w:r>
        <w:rPr>
          <w:rFonts w:ascii="Arial" w:hAnsi="Arial"/>
          <w:b/>
          <w:color w:val="000000"/>
          <w:sz w:val="22"/>
        </w:rPr>
        <w:t>Figure 21. System Administrator Management Dashboard Interface</w:t>
      </w:r>
    </w:p>
    <w:p>
      <w:pPr>
        <w:spacing w:line="240" w:lineRule="auto"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840480" cy="51144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learance_receip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114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360"/>
        <w:jc w:val="center"/>
      </w:pPr>
      <w:r>
        <w:rPr>
          <w:rFonts w:ascii="Arial" w:hAnsi="Arial"/>
          <w:b/>
          <w:color w:val="000000"/>
          <w:sz w:val="22"/>
        </w:rPr>
        <w:t>Figure 22. Official Electronic Clearance Receipt Interface</w:t>
      </w:r>
    </w:p>
    <w:p>
      <w:pPr>
        <w:spacing w:line="240" w:lineRule="auto"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657600" cy="52818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qr_clearance_verific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281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360"/>
        <w:jc w:val="center"/>
      </w:pPr>
      <w:r>
        <w:rPr>
          <w:rFonts w:ascii="Arial" w:hAnsi="Arial"/>
          <w:b/>
          <w:color w:val="000000"/>
          <w:sz w:val="22"/>
        </w:rPr>
        <w:t>Figure 23. Public QR Code Clearance Verification Portal Interface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