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sz w:val="48"/>
        </w:rPr>
        <w:t>Harbor Ridge V1</w:t>
        <w:br/>
        <w:t>Source-System Map</w:t>
      </w:r>
    </w:p>
    <w:p>
      <w:pPr>
        <w:jc w:val="center"/>
      </w:pPr>
      <w:r>
        <w:rPr>
          <w:b/>
          <w:sz w:val="24"/>
        </w:rPr>
        <w:t>Healthcare Executive Operating System (HEOS)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8"/>
              </w:rPr>
              <w:t>Document Field</w:t>
            </w:r>
          </w:p>
        </w:tc>
        <w:tc>
          <w:tcPr>
            <w:tcW w:type="dxa" w:w="5040"/>
            <w:vAlign w:val="center"/>
            <w:shd w:fill="D9EAF7"/>
          </w:tcPr>
          <w:p>
            <w:pPr>
              <w:spacing w:after="0"/>
            </w:pPr>
            <w:r/>
            <w:r>
              <w:rPr>
                <w:rFonts w:ascii="Aptos" w:hAnsi="Aptos"/>
                <w:b/>
                <w:sz w:val="18"/>
              </w:rPr>
              <w:t>Value</w:t>
            </w:r>
          </w:p>
        </w:tc>
      </w:tr>
      <w:tr>
        <w:tc>
          <w:tcPr>
            <w:tcW w:type="dxa" w:w="5040"/>
            <w:vAlign w:val="center"/>
          </w:tcPr>
          <w:p>
            <w:pPr>
              <w:spacing w:after="0"/>
            </w:pPr>
            <w:r/>
            <w:r>
              <w:rPr>
                <w:rFonts w:ascii="Aptos" w:hAnsi="Aptos"/>
                <w:b w:val="0"/>
                <w:sz w:val="18"/>
              </w:rPr>
              <w:t>Version</w:t>
            </w:r>
          </w:p>
        </w:tc>
        <w:tc>
          <w:tcPr>
            <w:tcW w:type="dxa" w:w="5040"/>
            <w:vAlign w:val="center"/>
          </w:tcPr>
          <w:p>
            <w:pPr>
              <w:spacing w:after="0"/>
            </w:pPr>
            <w:r/>
            <w:r>
              <w:rPr>
                <w:rFonts w:ascii="Aptos" w:hAnsi="Aptos"/>
                <w:b w:val="0"/>
                <w:sz w:val="18"/>
              </w:rPr>
              <w:t>1.0</w:t>
            </w:r>
          </w:p>
        </w:tc>
      </w:tr>
      <w:tr>
        <w:tc>
          <w:tcPr>
            <w:tcW w:type="dxa" w:w="5040"/>
            <w:vAlign w:val="center"/>
          </w:tcPr>
          <w:p>
            <w:pPr>
              <w:spacing w:after="0"/>
            </w:pPr>
            <w:r/>
            <w:r>
              <w:rPr>
                <w:rFonts w:ascii="Aptos" w:hAnsi="Aptos"/>
                <w:b w:val="0"/>
                <w:sz w:val="18"/>
              </w:rPr>
              <w:t>Status</w:t>
            </w:r>
          </w:p>
        </w:tc>
        <w:tc>
          <w:tcPr>
            <w:tcW w:type="dxa" w:w="5040"/>
            <w:vAlign w:val="center"/>
          </w:tcPr>
          <w:p>
            <w:pPr>
              <w:spacing w:after="0"/>
            </w:pPr>
            <w:r/>
            <w:r>
              <w:rPr>
                <w:rFonts w:ascii="Aptos" w:hAnsi="Aptos"/>
                <w:b w:val="0"/>
                <w:sz w:val="18"/>
              </w:rPr>
              <w:t>FINAL — Approved for Harbor Ridge V1</w:t>
            </w:r>
          </w:p>
        </w:tc>
      </w:tr>
      <w:tr>
        <w:tc>
          <w:tcPr>
            <w:tcW w:type="dxa" w:w="5040"/>
            <w:vAlign w:val="center"/>
          </w:tcPr>
          <w:p>
            <w:pPr>
              <w:spacing w:after="0"/>
            </w:pPr>
            <w:r/>
            <w:r>
              <w:rPr>
                <w:rFonts w:ascii="Aptos" w:hAnsi="Aptos"/>
                <w:b w:val="0"/>
                <w:sz w:val="18"/>
              </w:rPr>
              <w:t>Project</w:t>
            </w:r>
          </w:p>
        </w:tc>
        <w:tc>
          <w:tcPr>
            <w:tcW w:type="dxa" w:w="5040"/>
            <w:vAlign w:val="center"/>
          </w:tcPr>
          <w:p>
            <w:pPr>
              <w:spacing w:after="0"/>
            </w:pPr>
            <w:r/>
            <w:r>
              <w:rPr>
                <w:rFonts w:ascii="Aptos" w:hAnsi="Aptos"/>
                <w:b w:val="0"/>
                <w:sz w:val="18"/>
              </w:rPr>
              <w:t>Healthcare Executive Operating System (HEOS)</w:t>
            </w:r>
          </w:p>
        </w:tc>
      </w:tr>
      <w:tr>
        <w:tc>
          <w:tcPr>
            <w:tcW w:type="dxa" w:w="5040"/>
            <w:vAlign w:val="center"/>
          </w:tcPr>
          <w:p>
            <w:pPr>
              <w:spacing w:after="0"/>
            </w:pPr>
            <w:r/>
            <w:r>
              <w:rPr>
                <w:rFonts w:ascii="Aptos" w:hAnsi="Aptos"/>
                <w:b w:val="0"/>
                <w:sz w:val="18"/>
              </w:rPr>
              <w:t>Artifact</w:t>
            </w:r>
          </w:p>
        </w:tc>
        <w:tc>
          <w:tcPr>
            <w:tcW w:type="dxa" w:w="5040"/>
            <w:vAlign w:val="center"/>
          </w:tcPr>
          <w:p>
            <w:pPr>
              <w:spacing w:after="0"/>
            </w:pPr>
            <w:r/>
            <w:r>
              <w:rPr>
                <w:rFonts w:ascii="Aptos" w:hAnsi="Aptos"/>
                <w:b w:val="0"/>
                <w:sz w:val="18"/>
              </w:rPr>
              <w:t>Harbor Ridge V1</w:t>
            </w:r>
          </w:p>
        </w:tc>
      </w:tr>
      <w:tr>
        <w:tc>
          <w:tcPr>
            <w:tcW w:type="dxa" w:w="5040"/>
            <w:vAlign w:val="center"/>
          </w:tcPr>
          <w:p>
            <w:pPr>
              <w:spacing w:after="0"/>
            </w:pPr>
            <w:r/>
            <w:r>
              <w:rPr>
                <w:rFonts w:ascii="Aptos" w:hAnsi="Aptos"/>
                <w:b w:val="0"/>
                <w:sz w:val="18"/>
              </w:rPr>
              <w:t>Purpose</w:t>
            </w:r>
          </w:p>
        </w:tc>
        <w:tc>
          <w:tcPr>
            <w:tcW w:type="dxa" w:w="5040"/>
            <w:vAlign w:val="center"/>
          </w:tcPr>
          <w:p>
            <w:pPr>
              <w:spacing w:after="0"/>
            </w:pPr>
            <w:r/>
            <w:r>
              <w:rPr>
                <w:rFonts w:ascii="Aptos" w:hAnsi="Aptos"/>
                <w:b w:val="0"/>
                <w:sz w:val="18"/>
              </w:rPr>
              <w:t>Define the minimum source systems, handoffs, identifiers, identity-resolution logic, evidence-trust principles, and representative degradation points required to trace patient acquisition through inquiry, admission, clinical care, billing, and collected revenue.</w:t>
            </w:r>
          </w:p>
        </w:tc>
      </w:tr>
    </w:tbl>
    <w:p/>
    <w:p>
      <w:pPr>
        <w:pStyle w:val="Heading1"/>
      </w:pPr>
      <w:r>
        <w:t>1. Purpose</w:t>
      </w:r>
    </w:p>
    <w:p>
      <w:r>
        <w:t>Harbor Ridge V1 models the patient acquisition and revenue pathway of a fictional behavioral healthcare organization. The Source-System Map defines where information originates, how it moves between systems, which identifiers preserve lineage, how multiple human contacts resolve to a single patient opportunity, and where that lineage can degrade.</w:t>
      </w:r>
    </w:p>
    <w:p>
      <w:r>
        <w:rPr>
          <w:b/>
        </w:rPr>
        <w:t>The architecture is designed around one central executive question:</w:t>
      </w:r>
    </w:p>
    <w:p>
      <w:pPr>
        <w:jc w:val="center"/>
      </w:pPr>
      <w:r>
        <w:rPr>
          <w:b/>
        </w:rPr>
        <w:t>Can Harbor Ridge trace a patient outcome and collected revenue backward through the organization to the acquisition evidence that originally generated the opportunity?</w:t>
      </w:r>
    </w:p>
    <w:p>
      <w:r>
        <w:t>V1 is not intended to reproduce a production healthcare technology stack. It establishes the minimum architecture necessary to analyze the acquisition-to-revenue pathway reliably.</w:t>
      </w:r>
    </w:p>
    <w:p>
      <w:pPr>
        <w:pStyle w:val="Heading1"/>
      </w:pPr>
      <w:r>
        <w:t>2. Executive Architecture</w:t>
      </w:r>
    </w:p>
    <w:p>
      <w:r>
        <w:t>The Harbor Ridge acquisition-to-revenue pathway consists of six primary system layers:</w:t>
      </w:r>
    </w:p>
    <w:p>
      <w:pPr>
        <w:spacing w:before="80" w:after="160"/>
        <w:jc w:val="center"/>
      </w:pPr>
      <w:r>
        <w:rPr>
          <w:rFonts w:ascii="Consolas" w:hAnsi="Consolas"/>
          <w:b/>
          <w:sz w:val="20"/>
        </w:rPr>
        <w:t>ACQUISITION SOURCES</w:t>
        <w:br/>
      </w:r>
      <w:r>
        <w:rPr>
          <w:b/>
        </w:rPr>
        <w:t>↓</w:t>
        <w:br/>
      </w:r>
      <w:r>
        <w:rPr>
          <w:rFonts w:ascii="Consolas" w:hAnsi="Consolas"/>
          <w:b/>
          <w:sz w:val="20"/>
        </w:rPr>
        <w:t>INQUIRY CAPTURE</w:t>
        <w:br/>
      </w:r>
      <w:r>
        <w:rPr>
          <w:b/>
        </w:rPr>
        <w:t>↓</w:t>
        <w:br/>
      </w:r>
      <w:r>
        <w:rPr>
          <w:rFonts w:ascii="Consolas" w:hAnsi="Consolas"/>
          <w:b/>
          <w:sz w:val="20"/>
        </w:rPr>
        <w:t>CRM / ADMISSIONS</w:t>
        <w:br/>
      </w:r>
      <w:r>
        <w:rPr>
          <w:b/>
        </w:rPr>
        <w:t>↓</w:t>
        <w:br/>
      </w:r>
      <w:r>
        <w:rPr>
          <w:rFonts w:ascii="Consolas" w:hAnsi="Consolas"/>
          <w:b/>
          <w:sz w:val="20"/>
        </w:rPr>
        <w:t>EHR / CLINICAL</w:t>
        <w:br/>
      </w:r>
      <w:r>
        <w:rPr>
          <w:b/>
        </w:rPr>
        <w:t>↓</w:t>
        <w:br/>
      </w:r>
      <w:r>
        <w:rPr>
          <w:rFonts w:ascii="Consolas" w:hAnsi="Consolas"/>
          <w:b/>
          <w:sz w:val="20"/>
        </w:rPr>
        <w:t>RCM / BILLING</w:t>
        <w:br/>
      </w:r>
      <w:r>
        <w:rPr>
          <w:b/>
        </w:rPr>
        <w:t>↓</w:t>
        <w:br/>
      </w:r>
      <w:r>
        <w:rPr>
          <w:rFonts w:ascii="Consolas" w:hAnsi="Consolas"/>
          <w:b/>
          <w:sz w:val="20"/>
        </w:rPr>
        <w:t>COLLECTIONS / FINANCIAL OUTCOME</w:t>
      </w:r>
    </w:p>
    <w:p>
      <w:r>
        <w:t>The analytical layer sits across these systems:</w:t>
      </w:r>
    </w:p>
    <w:p>
      <w:pPr>
        <w:spacing w:before="80" w:after="160"/>
        <w:jc w:val="center"/>
      </w:pPr>
      <w:r>
        <w:rPr>
          <w:rFonts w:ascii="Consolas" w:hAnsi="Consolas"/>
          <w:b/>
          <w:sz w:val="20"/>
        </w:rPr>
        <w:t>SOURCE SYSTEMS</w:t>
        <w:br/>
      </w:r>
      <w:r>
        <w:rPr>
          <w:b/>
        </w:rPr>
        <w:t>↓</w:t>
        <w:br/>
      </w:r>
      <w:r>
        <w:rPr>
          <w:rFonts w:ascii="Consolas" w:hAnsi="Consolas"/>
          <w:b/>
          <w:sz w:val="20"/>
        </w:rPr>
        <w:t>NORMALIZED HARBOR RIDGE DATA</w:t>
        <w:br/>
      </w:r>
      <w:r>
        <w:rPr>
          <w:b/>
        </w:rPr>
        <w:t>↓</w:t>
        <w:br/>
      </w:r>
      <w:r>
        <w:rPr>
          <w:rFonts w:ascii="Consolas" w:hAnsi="Consolas"/>
          <w:b/>
          <w:sz w:val="20"/>
        </w:rPr>
        <w:t>AI / ANALYTICAL REASONING</w:t>
        <w:br/>
      </w:r>
      <w:r>
        <w:rPr>
          <w:b/>
        </w:rPr>
        <w:t>↓</w:t>
        <w:br/>
      </w:r>
      <w:r>
        <w:rPr>
          <w:rFonts w:ascii="Consolas" w:hAnsi="Consolas"/>
          <w:b/>
          <w:sz w:val="20"/>
        </w:rPr>
        <w:t>EXECUTIVE DECISION SUPPORT</w:t>
      </w:r>
    </w:p>
    <w:p>
      <w:r>
        <w:t>The objective is to preserve an auditable identity, attribution, and outcome chain across every major handoff.</w:t>
      </w:r>
    </w:p>
    <w:p>
      <w:pPr>
        <w:pStyle w:val="Heading1"/>
      </w:pPr>
      <w:r>
        <w:t>3. Source-System Inventory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ptos" w:hAnsi="Aptos"/>
                <w:b/>
                <w:sz w:val="18"/>
              </w:rPr>
              <w:t>Layer</w:t>
            </w:r>
          </w:p>
        </w:tc>
        <w:tc>
          <w:tcPr>
            <w:tcW w:type="dxa" w:w="2520"/>
            <w:vAlign w:val="center"/>
            <w:shd w:fill="D9EAF7"/>
          </w:tcPr>
          <w:p>
            <w:pPr>
              <w:spacing w:after="0"/>
            </w:pPr>
            <w:r/>
            <w:r>
              <w:rPr>
                <w:rFonts w:ascii="Aptos" w:hAnsi="Aptos"/>
                <w:b/>
                <w:sz w:val="18"/>
              </w:rPr>
              <w:t>Source System / Channel</w:t>
            </w:r>
          </w:p>
        </w:tc>
        <w:tc>
          <w:tcPr>
            <w:tcW w:type="dxa" w:w="2520"/>
            <w:vAlign w:val="center"/>
            <w:shd w:fill="D9EAF7"/>
          </w:tcPr>
          <w:p>
            <w:pPr>
              <w:spacing w:after="0"/>
            </w:pPr>
            <w:r/>
            <w:r>
              <w:rPr>
                <w:rFonts w:ascii="Aptos" w:hAnsi="Aptos"/>
                <w:b/>
                <w:sz w:val="18"/>
              </w:rPr>
              <w:t>Primary Purpose</w:t>
            </w:r>
          </w:p>
        </w:tc>
        <w:tc>
          <w:tcPr>
            <w:tcW w:type="dxa" w:w="2520"/>
            <w:vAlign w:val="center"/>
            <w:shd w:fill="D9EAF7"/>
          </w:tcPr>
          <w:p>
            <w:pPr>
              <w:spacing w:after="0"/>
            </w:pPr>
            <w:r/>
            <w:r>
              <w:rPr>
                <w:rFonts w:ascii="Aptos" w:hAnsi="Aptos"/>
                <w:b/>
                <w:sz w:val="18"/>
              </w:rPr>
              <w:t>Representative Data</w:t>
            </w:r>
          </w:p>
        </w:tc>
      </w:tr>
      <w:tr>
        <w:tc>
          <w:tcPr>
            <w:tcW w:type="dxa" w:w="2520"/>
            <w:vAlign w:val="center"/>
          </w:tcPr>
          <w:p>
            <w:pPr>
              <w:spacing w:after="0"/>
            </w:pPr>
            <w:r/>
            <w:r>
              <w:rPr>
                <w:rFonts w:ascii="Aptos" w:hAnsi="Aptos"/>
                <w:b w:val="0"/>
                <w:sz w:val="18"/>
              </w:rPr>
              <w:t>Acquisition</w:t>
            </w:r>
          </w:p>
        </w:tc>
        <w:tc>
          <w:tcPr>
            <w:tcW w:type="dxa" w:w="2520"/>
            <w:vAlign w:val="center"/>
          </w:tcPr>
          <w:p>
            <w:pPr>
              <w:spacing w:after="0"/>
            </w:pPr>
            <w:r/>
            <w:r>
              <w:rPr>
                <w:rFonts w:ascii="Aptos" w:hAnsi="Aptos"/>
                <w:b w:val="0"/>
                <w:sz w:val="18"/>
              </w:rPr>
              <w:t>Google Ads</w:t>
            </w:r>
          </w:p>
        </w:tc>
        <w:tc>
          <w:tcPr>
            <w:tcW w:type="dxa" w:w="2520"/>
            <w:vAlign w:val="center"/>
          </w:tcPr>
          <w:p>
            <w:pPr>
              <w:spacing w:after="0"/>
            </w:pPr>
            <w:r/>
            <w:r>
              <w:rPr>
                <w:rFonts w:ascii="Aptos" w:hAnsi="Aptos"/>
                <w:b w:val="0"/>
                <w:sz w:val="18"/>
              </w:rPr>
              <w:t>Paid search acquisition</w:t>
            </w:r>
          </w:p>
        </w:tc>
        <w:tc>
          <w:tcPr>
            <w:tcW w:type="dxa" w:w="2520"/>
            <w:vAlign w:val="center"/>
          </w:tcPr>
          <w:p>
            <w:pPr>
              <w:spacing w:after="0"/>
            </w:pPr>
            <w:r/>
            <w:r>
              <w:rPr>
                <w:rFonts w:ascii="Aptos" w:hAnsi="Aptos"/>
                <w:b w:val="0"/>
                <w:sz w:val="18"/>
              </w:rPr>
              <w:t>Campaign, ad group, keyword, search term, spend, click identifiers</w:t>
            </w:r>
          </w:p>
        </w:tc>
      </w:tr>
      <w:tr>
        <w:tc>
          <w:tcPr>
            <w:tcW w:type="dxa" w:w="2520"/>
            <w:vAlign w:val="center"/>
          </w:tcPr>
          <w:p>
            <w:pPr>
              <w:spacing w:after="0"/>
            </w:pPr>
            <w:r/>
            <w:r>
              <w:rPr>
                <w:rFonts w:ascii="Aptos" w:hAnsi="Aptos"/>
                <w:b w:val="0"/>
                <w:sz w:val="18"/>
              </w:rPr>
              <w:t>Acquisition</w:t>
            </w:r>
          </w:p>
        </w:tc>
        <w:tc>
          <w:tcPr>
            <w:tcW w:type="dxa" w:w="2520"/>
            <w:vAlign w:val="center"/>
          </w:tcPr>
          <w:p>
            <w:pPr>
              <w:spacing w:after="0"/>
            </w:pPr>
            <w:r/>
            <w:r>
              <w:rPr>
                <w:rFonts w:ascii="Aptos" w:hAnsi="Aptos"/>
                <w:b w:val="0"/>
                <w:sz w:val="18"/>
              </w:rPr>
              <w:t>Microsoft Ads</w:t>
            </w:r>
          </w:p>
        </w:tc>
        <w:tc>
          <w:tcPr>
            <w:tcW w:type="dxa" w:w="2520"/>
            <w:vAlign w:val="center"/>
          </w:tcPr>
          <w:p>
            <w:pPr>
              <w:spacing w:after="0"/>
            </w:pPr>
            <w:r/>
            <w:r>
              <w:rPr>
                <w:rFonts w:ascii="Aptos" w:hAnsi="Aptos"/>
                <w:b w:val="0"/>
                <w:sz w:val="18"/>
              </w:rPr>
              <w:t>Paid search acquisition</w:t>
            </w:r>
          </w:p>
        </w:tc>
        <w:tc>
          <w:tcPr>
            <w:tcW w:type="dxa" w:w="2520"/>
            <w:vAlign w:val="center"/>
          </w:tcPr>
          <w:p>
            <w:pPr>
              <w:spacing w:after="0"/>
            </w:pPr>
            <w:r/>
            <w:r>
              <w:rPr>
                <w:rFonts w:ascii="Aptos" w:hAnsi="Aptos"/>
                <w:b w:val="0"/>
                <w:sz w:val="18"/>
              </w:rPr>
              <w:t>Campaign, ad group, keyword, search term, spend, click identifiers</w:t>
            </w:r>
          </w:p>
        </w:tc>
      </w:tr>
      <w:tr>
        <w:tc>
          <w:tcPr>
            <w:tcW w:type="dxa" w:w="2520"/>
            <w:vAlign w:val="center"/>
          </w:tcPr>
          <w:p>
            <w:pPr>
              <w:spacing w:after="0"/>
            </w:pPr>
            <w:r/>
            <w:r>
              <w:rPr>
                <w:rFonts w:ascii="Aptos" w:hAnsi="Aptos"/>
                <w:b w:val="0"/>
                <w:sz w:val="18"/>
              </w:rPr>
              <w:t>Acquisition</w:t>
            </w:r>
          </w:p>
        </w:tc>
        <w:tc>
          <w:tcPr>
            <w:tcW w:type="dxa" w:w="2520"/>
            <w:vAlign w:val="center"/>
          </w:tcPr>
          <w:p>
            <w:pPr>
              <w:spacing w:after="0"/>
            </w:pPr>
            <w:r/>
            <w:r>
              <w:rPr>
                <w:rFonts w:ascii="Aptos" w:hAnsi="Aptos"/>
                <w:b w:val="0"/>
                <w:sz w:val="18"/>
              </w:rPr>
              <w:t>Meta Ads</w:t>
            </w:r>
          </w:p>
        </w:tc>
        <w:tc>
          <w:tcPr>
            <w:tcW w:type="dxa" w:w="2520"/>
            <w:vAlign w:val="center"/>
          </w:tcPr>
          <w:p>
            <w:pPr>
              <w:spacing w:after="0"/>
            </w:pPr>
            <w:r/>
            <w:r>
              <w:rPr>
                <w:rFonts w:ascii="Aptos" w:hAnsi="Aptos"/>
                <w:b w:val="0"/>
                <w:sz w:val="18"/>
              </w:rPr>
              <w:t>Paid social acquisition</w:t>
            </w:r>
          </w:p>
        </w:tc>
        <w:tc>
          <w:tcPr>
            <w:tcW w:type="dxa" w:w="2520"/>
            <w:vAlign w:val="center"/>
          </w:tcPr>
          <w:p>
            <w:pPr>
              <w:spacing w:after="0"/>
            </w:pPr>
            <w:r/>
            <w:r>
              <w:rPr>
                <w:rFonts w:ascii="Aptos" w:hAnsi="Aptos"/>
                <w:b w:val="0"/>
                <w:sz w:val="18"/>
              </w:rPr>
              <w:t>Campaign, ad set, creative, audience, spend, delivery metrics</w:t>
            </w:r>
          </w:p>
        </w:tc>
      </w:tr>
      <w:tr>
        <w:tc>
          <w:tcPr>
            <w:tcW w:type="dxa" w:w="2520"/>
            <w:vAlign w:val="center"/>
          </w:tcPr>
          <w:p>
            <w:pPr>
              <w:spacing w:after="0"/>
            </w:pPr>
            <w:r/>
            <w:r>
              <w:rPr>
                <w:rFonts w:ascii="Aptos" w:hAnsi="Aptos"/>
                <w:b w:val="0"/>
                <w:sz w:val="18"/>
              </w:rPr>
              <w:t>Acquisition</w:t>
            </w:r>
          </w:p>
        </w:tc>
        <w:tc>
          <w:tcPr>
            <w:tcW w:type="dxa" w:w="2520"/>
            <w:vAlign w:val="center"/>
          </w:tcPr>
          <w:p>
            <w:pPr>
              <w:spacing w:after="0"/>
            </w:pPr>
            <w:r/>
            <w:r>
              <w:rPr>
                <w:rFonts w:ascii="Aptos" w:hAnsi="Aptos"/>
                <w:b w:val="0"/>
                <w:sz w:val="18"/>
              </w:rPr>
              <w:t>SEO / Organic Search</w:t>
            </w:r>
          </w:p>
        </w:tc>
        <w:tc>
          <w:tcPr>
            <w:tcW w:type="dxa" w:w="2520"/>
            <w:vAlign w:val="center"/>
          </w:tcPr>
          <w:p>
            <w:pPr>
              <w:spacing w:after="0"/>
            </w:pPr>
            <w:r/>
            <w:r>
              <w:rPr>
                <w:rFonts w:ascii="Aptos" w:hAnsi="Aptos"/>
                <w:b w:val="0"/>
                <w:sz w:val="18"/>
              </w:rPr>
              <w:t>Organic acquisition</w:t>
            </w:r>
          </w:p>
        </w:tc>
        <w:tc>
          <w:tcPr>
            <w:tcW w:type="dxa" w:w="2520"/>
            <w:vAlign w:val="center"/>
          </w:tcPr>
          <w:p>
            <w:pPr>
              <w:spacing w:after="0"/>
            </w:pPr>
            <w:r/>
            <w:r>
              <w:rPr>
                <w:rFonts w:ascii="Aptos" w:hAnsi="Aptos"/>
                <w:b w:val="0"/>
                <w:sz w:val="18"/>
              </w:rPr>
              <w:t>Query, landing page, clicks, impressions, geographic context</w:t>
            </w:r>
          </w:p>
        </w:tc>
      </w:tr>
      <w:tr>
        <w:tc>
          <w:tcPr>
            <w:tcW w:type="dxa" w:w="2520"/>
            <w:vAlign w:val="center"/>
          </w:tcPr>
          <w:p>
            <w:pPr>
              <w:spacing w:after="0"/>
            </w:pPr>
            <w:r/>
            <w:r>
              <w:rPr>
                <w:rFonts w:ascii="Aptos" w:hAnsi="Aptos"/>
                <w:b w:val="0"/>
                <w:sz w:val="18"/>
              </w:rPr>
              <w:t>Acquisition</w:t>
            </w:r>
          </w:p>
        </w:tc>
        <w:tc>
          <w:tcPr>
            <w:tcW w:type="dxa" w:w="2520"/>
            <w:vAlign w:val="center"/>
          </w:tcPr>
          <w:p>
            <w:pPr>
              <w:spacing w:after="0"/>
            </w:pPr>
            <w:r/>
            <w:r>
              <w:rPr>
                <w:rFonts w:ascii="Aptos" w:hAnsi="Aptos"/>
                <w:b w:val="0"/>
                <w:sz w:val="18"/>
              </w:rPr>
              <w:t>Google Business Profile / Local Search</w:t>
            </w:r>
          </w:p>
        </w:tc>
        <w:tc>
          <w:tcPr>
            <w:tcW w:type="dxa" w:w="2520"/>
            <w:vAlign w:val="center"/>
          </w:tcPr>
          <w:p>
            <w:pPr>
              <w:spacing w:after="0"/>
            </w:pPr>
            <w:r/>
            <w:r>
              <w:rPr>
                <w:rFonts w:ascii="Aptos" w:hAnsi="Aptos"/>
                <w:b w:val="0"/>
                <w:sz w:val="18"/>
              </w:rPr>
              <w:t>Local discovery and calls</w:t>
            </w:r>
          </w:p>
        </w:tc>
        <w:tc>
          <w:tcPr>
            <w:tcW w:type="dxa" w:w="2520"/>
            <w:vAlign w:val="center"/>
          </w:tcPr>
          <w:p>
            <w:pPr>
              <w:spacing w:after="0"/>
            </w:pPr>
            <w:r/>
            <w:r>
              <w:rPr>
                <w:rFonts w:ascii="Aptos" w:hAnsi="Aptos"/>
                <w:b w:val="0"/>
                <w:sz w:val="18"/>
              </w:rPr>
              <w:t>Calls, website visits, local search interactions</w:t>
            </w:r>
          </w:p>
        </w:tc>
      </w:tr>
      <w:tr>
        <w:tc>
          <w:tcPr>
            <w:tcW w:type="dxa" w:w="2520"/>
            <w:vAlign w:val="center"/>
          </w:tcPr>
          <w:p>
            <w:pPr>
              <w:spacing w:after="0"/>
            </w:pPr>
            <w:r/>
            <w:r>
              <w:rPr>
                <w:rFonts w:ascii="Aptos" w:hAnsi="Aptos"/>
                <w:b w:val="0"/>
                <w:sz w:val="18"/>
              </w:rPr>
              <w:t>Acquisition</w:t>
            </w:r>
          </w:p>
        </w:tc>
        <w:tc>
          <w:tcPr>
            <w:tcW w:type="dxa" w:w="2520"/>
            <w:vAlign w:val="center"/>
          </w:tcPr>
          <w:p>
            <w:pPr>
              <w:spacing w:after="0"/>
            </w:pPr>
            <w:r/>
            <w:r>
              <w:rPr>
                <w:rFonts w:ascii="Aptos" w:hAnsi="Aptos"/>
                <w:b w:val="0"/>
                <w:sz w:val="18"/>
              </w:rPr>
              <w:t>Professional Referral / Business Development</w:t>
            </w:r>
          </w:p>
        </w:tc>
        <w:tc>
          <w:tcPr>
            <w:tcW w:type="dxa" w:w="2520"/>
            <w:vAlign w:val="center"/>
          </w:tcPr>
          <w:p>
            <w:pPr>
              <w:spacing w:after="0"/>
            </w:pPr>
            <w:r/>
            <w:r>
              <w:rPr>
                <w:rFonts w:ascii="Aptos" w:hAnsi="Aptos"/>
                <w:b w:val="0"/>
                <w:sz w:val="18"/>
              </w:rPr>
              <w:t>Professional referral acquisition</w:t>
            </w:r>
          </w:p>
        </w:tc>
        <w:tc>
          <w:tcPr>
            <w:tcW w:type="dxa" w:w="2520"/>
            <w:vAlign w:val="center"/>
          </w:tcPr>
          <w:p>
            <w:pPr>
              <w:spacing w:after="0"/>
            </w:pPr>
            <w:r/>
            <w:r>
              <w:rPr>
                <w:rFonts w:ascii="Aptos" w:hAnsi="Aptos"/>
                <w:b w:val="0"/>
                <w:sz w:val="18"/>
              </w:rPr>
              <w:t>Professional account, outreach representative, referral event</w:t>
            </w:r>
          </w:p>
        </w:tc>
      </w:tr>
      <w:tr>
        <w:tc>
          <w:tcPr>
            <w:tcW w:type="dxa" w:w="2520"/>
            <w:vAlign w:val="center"/>
          </w:tcPr>
          <w:p>
            <w:pPr>
              <w:spacing w:after="0"/>
            </w:pPr>
            <w:r/>
            <w:r>
              <w:rPr>
                <w:rFonts w:ascii="Aptos" w:hAnsi="Aptos"/>
                <w:b w:val="0"/>
                <w:sz w:val="18"/>
              </w:rPr>
              <w:t>Inquiry Capture</w:t>
            </w:r>
          </w:p>
        </w:tc>
        <w:tc>
          <w:tcPr>
            <w:tcW w:type="dxa" w:w="2520"/>
            <w:vAlign w:val="center"/>
          </w:tcPr>
          <w:p>
            <w:pPr>
              <w:spacing w:after="0"/>
            </w:pPr>
            <w:r/>
            <w:r>
              <w:rPr>
                <w:rFonts w:ascii="Aptos" w:hAnsi="Aptos"/>
                <w:b w:val="0"/>
                <w:sz w:val="18"/>
              </w:rPr>
              <w:t>Website / Web Forms</w:t>
            </w:r>
          </w:p>
        </w:tc>
        <w:tc>
          <w:tcPr>
            <w:tcW w:type="dxa" w:w="2520"/>
            <w:vAlign w:val="center"/>
          </w:tcPr>
          <w:p>
            <w:pPr>
              <w:spacing w:after="0"/>
            </w:pPr>
            <w:r/>
            <w:r>
              <w:rPr>
                <w:rFonts w:ascii="Aptos" w:hAnsi="Aptos"/>
                <w:b w:val="0"/>
                <w:sz w:val="18"/>
              </w:rPr>
              <w:t>Capture consumer inquiries</w:t>
            </w:r>
          </w:p>
        </w:tc>
        <w:tc>
          <w:tcPr>
            <w:tcW w:type="dxa" w:w="2520"/>
            <w:vAlign w:val="center"/>
          </w:tcPr>
          <w:p>
            <w:pPr>
              <w:spacing w:after="0"/>
            </w:pPr>
            <w:r/>
            <w:r>
              <w:rPr>
                <w:rFonts w:ascii="Aptos" w:hAnsi="Aptos"/>
                <w:b w:val="0"/>
                <w:sz w:val="18"/>
              </w:rPr>
              <w:t>Form start, completion, UTM parameters, click identifiers</w:t>
            </w:r>
          </w:p>
        </w:tc>
      </w:tr>
      <w:tr>
        <w:tc>
          <w:tcPr>
            <w:tcW w:type="dxa" w:w="2520"/>
            <w:vAlign w:val="center"/>
          </w:tcPr>
          <w:p>
            <w:pPr>
              <w:spacing w:after="0"/>
            </w:pPr>
            <w:r/>
            <w:r>
              <w:rPr>
                <w:rFonts w:ascii="Aptos" w:hAnsi="Aptos"/>
                <w:b w:val="0"/>
                <w:sz w:val="18"/>
              </w:rPr>
              <w:t>Inquiry Capture</w:t>
            </w:r>
          </w:p>
        </w:tc>
        <w:tc>
          <w:tcPr>
            <w:tcW w:type="dxa" w:w="2520"/>
            <w:vAlign w:val="center"/>
          </w:tcPr>
          <w:p>
            <w:pPr>
              <w:spacing w:after="0"/>
            </w:pPr>
            <w:r/>
            <w:r>
              <w:rPr>
                <w:rFonts w:ascii="Aptos" w:hAnsi="Aptos"/>
                <w:b w:val="0"/>
                <w:sz w:val="18"/>
              </w:rPr>
              <w:t>Call Tracking</w:t>
            </w:r>
          </w:p>
        </w:tc>
        <w:tc>
          <w:tcPr>
            <w:tcW w:type="dxa" w:w="2520"/>
            <w:vAlign w:val="center"/>
          </w:tcPr>
          <w:p>
            <w:pPr>
              <w:spacing w:after="0"/>
            </w:pPr>
            <w:r/>
            <w:r>
              <w:rPr>
                <w:rFonts w:ascii="Aptos" w:hAnsi="Aptos"/>
                <w:b w:val="0"/>
                <w:sz w:val="18"/>
              </w:rPr>
              <w:t>Capture inbound phone inquiries</w:t>
            </w:r>
          </w:p>
        </w:tc>
        <w:tc>
          <w:tcPr>
            <w:tcW w:type="dxa" w:w="2520"/>
            <w:vAlign w:val="center"/>
          </w:tcPr>
          <w:p>
            <w:pPr>
              <w:spacing w:after="0"/>
            </w:pPr>
            <w:r/>
            <w:r>
              <w:rPr>
                <w:rFonts w:ascii="Aptos" w:hAnsi="Aptos"/>
                <w:b w:val="0"/>
                <w:sz w:val="18"/>
              </w:rPr>
              <w:t>Tracking number, source, timestamp, duration</w:t>
            </w:r>
          </w:p>
        </w:tc>
      </w:tr>
      <w:tr>
        <w:tc>
          <w:tcPr>
            <w:tcW w:type="dxa" w:w="2520"/>
            <w:vAlign w:val="center"/>
          </w:tcPr>
          <w:p>
            <w:pPr>
              <w:spacing w:after="0"/>
            </w:pPr>
            <w:r/>
            <w:r>
              <w:rPr>
                <w:rFonts w:ascii="Aptos" w:hAnsi="Aptos"/>
                <w:b w:val="0"/>
                <w:sz w:val="18"/>
              </w:rPr>
              <w:t>Admissions</w:t>
            </w:r>
          </w:p>
        </w:tc>
        <w:tc>
          <w:tcPr>
            <w:tcW w:type="dxa" w:w="2520"/>
            <w:vAlign w:val="center"/>
          </w:tcPr>
          <w:p>
            <w:pPr>
              <w:spacing w:after="0"/>
            </w:pPr>
            <w:r/>
            <w:r>
              <w:rPr>
                <w:rFonts w:ascii="Aptos" w:hAnsi="Aptos"/>
                <w:b w:val="0"/>
                <w:sz w:val="18"/>
              </w:rPr>
              <w:t>CRM</w:t>
            </w:r>
          </w:p>
        </w:tc>
        <w:tc>
          <w:tcPr>
            <w:tcW w:type="dxa" w:w="2520"/>
            <w:vAlign w:val="center"/>
          </w:tcPr>
          <w:p>
            <w:pPr>
              <w:spacing w:after="0"/>
            </w:pPr>
            <w:r/>
            <w:r>
              <w:rPr>
                <w:rFonts w:ascii="Aptos" w:hAnsi="Aptos"/>
                <w:b w:val="0"/>
                <w:sz w:val="18"/>
              </w:rPr>
              <w:t>Manage inquiries, identity resolution, opportunities, VOB</w:t>
            </w:r>
          </w:p>
        </w:tc>
        <w:tc>
          <w:tcPr>
            <w:tcW w:type="dxa" w:w="2520"/>
            <w:vAlign w:val="center"/>
          </w:tcPr>
          <w:p>
            <w:pPr>
              <w:spacing w:after="0"/>
            </w:pPr>
            <w:r/>
            <w:r>
              <w:rPr>
                <w:rFonts w:ascii="Aptos" w:hAnsi="Aptos"/>
                <w:b w:val="0"/>
                <w:sz w:val="18"/>
              </w:rPr>
              <w:t>Inquiry, contact role, opportunity, source, VOB, referral relationship</w:t>
            </w:r>
          </w:p>
        </w:tc>
      </w:tr>
      <w:tr>
        <w:tc>
          <w:tcPr>
            <w:tcW w:type="dxa" w:w="2520"/>
            <w:vAlign w:val="center"/>
          </w:tcPr>
          <w:p>
            <w:pPr>
              <w:spacing w:after="0"/>
            </w:pPr>
            <w:r/>
            <w:r>
              <w:rPr>
                <w:rFonts w:ascii="Aptos" w:hAnsi="Aptos"/>
                <w:b w:val="0"/>
                <w:sz w:val="18"/>
              </w:rPr>
              <w:t>Clinical</w:t>
            </w:r>
          </w:p>
        </w:tc>
        <w:tc>
          <w:tcPr>
            <w:tcW w:type="dxa" w:w="2520"/>
            <w:vAlign w:val="center"/>
          </w:tcPr>
          <w:p>
            <w:pPr>
              <w:spacing w:after="0"/>
            </w:pPr>
            <w:r/>
            <w:r>
              <w:rPr>
                <w:rFonts w:ascii="Aptos" w:hAnsi="Aptos"/>
                <w:b w:val="0"/>
                <w:sz w:val="18"/>
              </w:rPr>
              <w:t>EHR</w:t>
            </w:r>
          </w:p>
        </w:tc>
        <w:tc>
          <w:tcPr>
            <w:tcW w:type="dxa" w:w="2520"/>
            <w:vAlign w:val="center"/>
          </w:tcPr>
          <w:p>
            <w:pPr>
              <w:spacing w:after="0"/>
            </w:pPr>
            <w:r/>
            <w:r>
              <w:rPr>
                <w:rFonts w:ascii="Aptos" w:hAnsi="Aptos"/>
                <w:b w:val="0"/>
                <w:sz w:val="18"/>
              </w:rPr>
              <w:t>Manage patient episode of care</w:t>
            </w:r>
          </w:p>
        </w:tc>
        <w:tc>
          <w:tcPr>
            <w:tcW w:type="dxa" w:w="2520"/>
            <w:vAlign w:val="center"/>
          </w:tcPr>
          <w:p>
            <w:pPr>
              <w:spacing w:after="0"/>
            </w:pPr>
            <w:r/>
            <w:r>
              <w:rPr>
                <w:rFonts w:ascii="Aptos" w:hAnsi="Aptos"/>
                <w:b w:val="0"/>
                <w:sz w:val="18"/>
              </w:rPr>
              <w:t>Admission, level of care, discharge, clinical episode</w:t>
            </w:r>
          </w:p>
        </w:tc>
      </w:tr>
      <w:tr>
        <w:tc>
          <w:tcPr>
            <w:tcW w:type="dxa" w:w="2520"/>
            <w:vAlign w:val="center"/>
          </w:tcPr>
          <w:p>
            <w:pPr>
              <w:spacing w:after="0"/>
            </w:pPr>
            <w:r/>
            <w:r>
              <w:rPr>
                <w:rFonts w:ascii="Aptos" w:hAnsi="Aptos"/>
                <w:b w:val="0"/>
                <w:sz w:val="18"/>
              </w:rPr>
              <w:t>Revenue</w:t>
            </w:r>
          </w:p>
        </w:tc>
        <w:tc>
          <w:tcPr>
            <w:tcW w:type="dxa" w:w="2520"/>
            <w:vAlign w:val="center"/>
          </w:tcPr>
          <w:p>
            <w:pPr>
              <w:spacing w:after="0"/>
            </w:pPr>
            <w:r/>
            <w:r>
              <w:rPr>
                <w:rFonts w:ascii="Aptos" w:hAnsi="Aptos"/>
                <w:b w:val="0"/>
                <w:sz w:val="18"/>
              </w:rPr>
              <w:t>RCM / Billing</w:t>
            </w:r>
          </w:p>
        </w:tc>
        <w:tc>
          <w:tcPr>
            <w:tcW w:type="dxa" w:w="2520"/>
            <w:vAlign w:val="center"/>
          </w:tcPr>
          <w:p>
            <w:pPr>
              <w:spacing w:after="0"/>
            </w:pPr>
            <w:r/>
            <w:r>
              <w:rPr>
                <w:rFonts w:ascii="Aptos" w:hAnsi="Aptos"/>
                <w:b w:val="0"/>
                <w:sz w:val="18"/>
              </w:rPr>
              <w:t>Manage claims and reimbursement</w:t>
            </w:r>
          </w:p>
        </w:tc>
        <w:tc>
          <w:tcPr>
            <w:tcW w:type="dxa" w:w="2520"/>
            <w:vAlign w:val="center"/>
          </w:tcPr>
          <w:p>
            <w:pPr>
              <w:spacing w:after="0"/>
            </w:pPr>
            <w:r/>
            <w:r>
              <w:rPr>
                <w:rFonts w:ascii="Aptos" w:hAnsi="Aptos"/>
                <w:b w:val="0"/>
                <w:sz w:val="18"/>
              </w:rPr>
              <w:t>Claim, payer, DOS, allowed amount, payment, denial</w:t>
            </w:r>
          </w:p>
        </w:tc>
      </w:tr>
      <w:tr>
        <w:tc>
          <w:tcPr>
            <w:tcW w:type="dxa" w:w="2520"/>
            <w:vAlign w:val="center"/>
          </w:tcPr>
          <w:p>
            <w:pPr>
              <w:spacing w:after="0"/>
            </w:pPr>
            <w:r/>
            <w:r>
              <w:rPr>
                <w:rFonts w:ascii="Aptos" w:hAnsi="Aptos"/>
                <w:b w:val="0"/>
                <w:sz w:val="18"/>
              </w:rPr>
              <w:t>Financial</w:t>
            </w:r>
          </w:p>
        </w:tc>
        <w:tc>
          <w:tcPr>
            <w:tcW w:type="dxa" w:w="2520"/>
            <w:vAlign w:val="center"/>
          </w:tcPr>
          <w:p>
            <w:pPr>
              <w:spacing w:after="0"/>
            </w:pPr>
            <w:r/>
            <w:r>
              <w:rPr>
                <w:rFonts w:ascii="Aptos" w:hAnsi="Aptos"/>
                <w:b w:val="0"/>
                <w:sz w:val="18"/>
              </w:rPr>
              <w:t>Collections / Remittance</w:t>
            </w:r>
          </w:p>
        </w:tc>
        <w:tc>
          <w:tcPr>
            <w:tcW w:type="dxa" w:w="2520"/>
            <w:vAlign w:val="center"/>
          </w:tcPr>
          <w:p>
            <w:pPr>
              <w:spacing w:after="0"/>
            </w:pPr>
            <w:r/>
            <w:r>
              <w:rPr>
                <w:rFonts w:ascii="Aptos" w:hAnsi="Aptos"/>
                <w:b w:val="0"/>
                <w:sz w:val="18"/>
              </w:rPr>
              <w:t>Verify realized financial outcome</w:t>
            </w:r>
          </w:p>
        </w:tc>
        <w:tc>
          <w:tcPr>
            <w:tcW w:type="dxa" w:w="2520"/>
            <w:vAlign w:val="center"/>
          </w:tcPr>
          <w:p>
            <w:pPr>
              <w:spacing w:after="0"/>
            </w:pPr>
            <w:r/>
            <w:r>
              <w:rPr>
                <w:rFonts w:ascii="Aptos" w:hAnsi="Aptos"/>
                <w:b w:val="0"/>
                <w:sz w:val="18"/>
              </w:rPr>
              <w:t>Insurance payment, patient payment, adjustments, collected cash</w:t>
            </w:r>
          </w:p>
        </w:tc>
      </w:tr>
    </w:tbl>
    <w:p/>
    <w:p>
      <w:pPr>
        <w:pStyle w:val="Heading1"/>
      </w:pPr>
      <w:r>
        <w:t>4. Acquisition Architecture</w:t>
      </w:r>
    </w:p>
    <w:p>
      <w:pPr>
        <w:pStyle w:val="Heading2"/>
      </w:pPr>
      <w:r>
        <w:t>4.1 Digital Acquisition</w:t>
      </w:r>
    </w:p>
    <w:p>
      <w:r>
        <w:t>Digital acquisition may originate from Google Ads, Microsoft Ads, Meta Ads, Organic Search, Google Business Profile / Local Search, or direct website activity. Where available, acquisition metadata should be captured before or at the point an inquiry enters the CRM.</w:t>
      </w:r>
    </w:p>
    <w:p>
      <w:pPr>
        <w:pStyle w:val="ListBullet"/>
        <w:spacing w:after="40"/>
      </w:pPr>
      <w:r>
        <w:t>GCLID or equivalent advertising click identifier</w:t>
      </w:r>
    </w:p>
    <w:p>
      <w:pPr>
        <w:pStyle w:val="ListBullet"/>
        <w:spacing w:after="40"/>
      </w:pPr>
      <w:r>
        <w:t>UTM source / medium / campaign</w:t>
      </w:r>
    </w:p>
    <w:p>
      <w:pPr>
        <w:pStyle w:val="ListBullet"/>
        <w:spacing w:after="40"/>
      </w:pPr>
      <w:r>
        <w:t>Campaign ID</w:t>
      </w:r>
    </w:p>
    <w:p>
      <w:pPr>
        <w:pStyle w:val="ListBullet"/>
        <w:spacing w:after="40"/>
      </w:pPr>
      <w:r>
        <w:t>Ad Group / Ad Set ID</w:t>
      </w:r>
    </w:p>
    <w:p>
      <w:pPr>
        <w:pStyle w:val="ListBullet"/>
        <w:spacing w:after="40"/>
      </w:pPr>
      <w:r>
        <w:t>Keyword</w:t>
      </w:r>
    </w:p>
    <w:p>
      <w:pPr>
        <w:pStyle w:val="ListBullet"/>
        <w:spacing w:after="40"/>
      </w:pPr>
      <w:r>
        <w:t>Search Term</w:t>
      </w:r>
    </w:p>
    <w:p>
      <w:pPr>
        <w:pStyle w:val="ListBullet"/>
        <w:spacing w:after="40"/>
      </w:pPr>
      <w:r>
        <w:t>Landing Page</w:t>
      </w:r>
    </w:p>
    <w:p>
      <w:pPr>
        <w:pStyle w:val="ListBullet"/>
        <w:spacing w:after="40"/>
      </w:pPr>
      <w:r>
        <w:t>Call Tracking Source</w:t>
      </w:r>
    </w:p>
    <w:p>
      <w:r>
        <w:t>Advertising platforms are not treated as systems of record for business outcomes. Platform conversions describe platform-observed activity; CRM inquiries, VOBs, admissions, and downstream financial outcomes describe business activity.</w:t>
      </w:r>
    </w:p>
    <w:p>
      <w:pPr>
        <w:pStyle w:val="Heading2"/>
      </w:pPr>
      <w:r>
        <w:t>4.2 Professional Referral / Business Development</w:t>
      </w:r>
    </w:p>
    <w:p>
      <w:r>
        <w:t>Professional referrals require a separate attribution model because the originating relationship may not correspond to the patient's final digital touchpoint.</w:t>
      </w:r>
    </w:p>
    <w:p>
      <w:pPr>
        <w:pStyle w:val="ListBullet"/>
        <w:spacing w:after="40"/>
      </w:pPr>
      <w:r>
        <w:t>Professional Account</w:t>
      </w:r>
    </w:p>
    <w:p>
      <w:pPr>
        <w:pStyle w:val="ListBullet"/>
        <w:spacing w:after="40"/>
      </w:pPr>
      <w:r>
        <w:t>Referring Professional</w:t>
      </w:r>
    </w:p>
    <w:p>
      <w:pPr>
        <w:pStyle w:val="ListBullet"/>
        <w:spacing w:after="40"/>
      </w:pPr>
      <w:r>
        <w:t>Outreach Representative</w:t>
      </w:r>
    </w:p>
    <w:p>
      <w:pPr>
        <w:pStyle w:val="ListBullet"/>
        <w:spacing w:after="40"/>
      </w:pPr>
      <w:r>
        <w:t>Referral Event</w:t>
      </w:r>
    </w:p>
    <w:p>
      <w:pPr>
        <w:pStyle w:val="ListBullet"/>
        <w:spacing w:after="40"/>
      </w:pPr>
      <w:r>
        <w:t>Patient Opportunity</w:t>
      </w:r>
    </w:p>
    <w:p>
      <w:r>
        <w:t>A patient referred by a psychiatrist may later search for Harbor Ridge and submit a web form. The web session is the arrival mechanism; the professional relationship may be the originating acquisition source. Harbor Ridge V1 preserves both when the evidence supports them.</w:t>
      </w:r>
    </w:p>
    <w:p>
      <w:pPr>
        <w:pStyle w:val="Heading1"/>
      </w:pPr>
      <w:r>
        <w:t>5. CRM / Admissions Layer</w:t>
      </w:r>
    </w:p>
    <w:p>
      <w:r>
        <w:t>The CRM is the primary operational system for inquiries before clinical admission. Harbor Ridge distinguishes an individual inquiry from the broader Patient Opportunity to which one or more inquiries may belong.</w:t>
      </w:r>
    </w:p>
    <w:p>
      <w:r>
        <w:rPr>
          <w:b/>
        </w:rPr>
        <w:t>Every Patient Opportunity receives a canonical identifier:</w:t>
      </w:r>
    </w:p>
    <w:p>
      <w:pPr>
        <w:spacing w:before="80" w:after="160"/>
        <w:jc w:val="center"/>
      </w:pPr>
      <w:r>
        <w:rPr>
          <w:rFonts w:ascii="Consolas" w:hAnsi="Consolas"/>
          <w:b/>
          <w:sz w:val="20"/>
        </w:rPr>
        <w:t>PATIENT_OPPORTUNITY_ID / CRM_OPPORTUNITY_ID</w:t>
        <w:br/>
      </w:r>
      <w:r>
        <w:rPr>
          <w:b/>
        </w:rPr>
        <w:t>↓</w:t>
        <w:br/>
      </w:r>
      <w:r>
        <w:rPr>
          <w:rFonts w:ascii="Consolas" w:hAnsi="Consolas"/>
          <w:b/>
          <w:sz w:val="20"/>
        </w:rPr>
        <w:t>Canonical format: HRO-######</w:t>
        <w:br/>
      </w:r>
      <w:r>
        <w:rPr>
          <w:b/>
        </w:rPr>
        <w:t>↓</w:t>
        <w:br/>
      </w:r>
      <w:r>
        <w:rPr>
          <w:rFonts w:ascii="Consolas" w:hAnsi="Consolas"/>
          <w:b/>
          <w:sz w:val="20"/>
        </w:rPr>
        <w:t>Example: HRO-000184</w:t>
      </w:r>
    </w:p>
    <w:p>
      <w:r>
        <w:t>Representative CRM fields include:</w:t>
      </w:r>
    </w:p>
    <w:p>
      <w:pPr>
        <w:pStyle w:val="ListBullet"/>
        <w:spacing w:after="40"/>
      </w:pPr>
      <w:r>
        <w:t>CRM Opportunity ID</w:t>
      </w:r>
    </w:p>
    <w:p>
      <w:pPr>
        <w:pStyle w:val="ListBullet"/>
        <w:spacing w:after="40"/>
      </w:pPr>
      <w:r>
        <w:t>Inquiry Timestamp</w:t>
      </w:r>
    </w:p>
    <w:p>
      <w:pPr>
        <w:pStyle w:val="ListBullet"/>
        <w:spacing w:after="40"/>
      </w:pPr>
      <w:r>
        <w:t>Acquisition Source and Channel</w:t>
      </w:r>
    </w:p>
    <w:p>
      <w:pPr>
        <w:pStyle w:val="ListBullet"/>
        <w:spacing w:after="40"/>
      </w:pPr>
      <w:r>
        <w:t>Campaign ID</w:t>
      </w:r>
    </w:p>
    <w:p>
      <w:pPr>
        <w:pStyle w:val="ListBullet"/>
        <w:spacing w:after="40"/>
      </w:pPr>
      <w:r>
        <w:t>Professional Referral Account ID</w:t>
      </w:r>
    </w:p>
    <w:p>
      <w:pPr>
        <w:pStyle w:val="ListBullet"/>
        <w:spacing w:after="40"/>
      </w:pPr>
      <w:r>
        <w:t>Outreach Representative ID</w:t>
      </w:r>
    </w:p>
    <w:p>
      <w:pPr>
        <w:pStyle w:val="ListBullet"/>
        <w:spacing w:after="40"/>
      </w:pPr>
      <w:r>
        <w:t>Contact Role</w:t>
      </w:r>
    </w:p>
    <w:p>
      <w:pPr>
        <w:pStyle w:val="ListBullet"/>
        <w:spacing w:after="40"/>
      </w:pPr>
      <w:r>
        <w:t>Identity Match Confidence</w:t>
      </w:r>
    </w:p>
    <w:p>
      <w:pPr>
        <w:pStyle w:val="ListBullet"/>
        <w:spacing w:after="40"/>
      </w:pPr>
      <w:r>
        <w:t>VOB Submitted</w:t>
      </w:r>
    </w:p>
    <w:p>
      <w:pPr>
        <w:pStyle w:val="ListBullet"/>
        <w:spacing w:after="40"/>
      </w:pPr>
      <w:r>
        <w:t>VOB Outcome</w:t>
      </w:r>
    </w:p>
    <w:p>
      <w:pPr>
        <w:pStyle w:val="ListBullet"/>
        <w:spacing w:after="40"/>
      </w:pPr>
      <w:r>
        <w:t>Payer</w:t>
      </w:r>
    </w:p>
    <w:p>
      <w:pPr>
        <w:pStyle w:val="ListBullet"/>
        <w:spacing w:after="40"/>
      </w:pPr>
      <w:r>
        <w:t>Admission Financial Status</w:t>
      </w:r>
    </w:p>
    <w:p>
      <w:pPr>
        <w:pStyle w:val="ListBullet"/>
        <w:spacing w:after="40"/>
      </w:pPr>
      <w:r>
        <w:t>Admission Status</w:t>
      </w:r>
    </w:p>
    <w:p>
      <w:r>
        <w:t>The CRM is the preferred system of record for determining whether a platform event resulted in an actual human inquiry.</w:t>
      </w:r>
    </w:p>
    <w:p>
      <w:pPr>
        <w:pStyle w:val="Heading2"/>
      </w:pPr>
      <w:r>
        <w:t>5.1 Identity Resolution and Patient Opportunity</w:t>
      </w:r>
    </w:p>
    <w:p>
      <w:r>
        <w:t>Behavioral-health inquiries are not reliably one person, one call, one opportunity. A loved one may call first, another family member may follow, and the patient may later contact Harbor Ridge directly. These are distinct inquiry events that can belong to one Patient Opportunity.</w:t>
      </w:r>
    </w:p>
    <w:p>
      <w:pPr>
        <w:spacing w:before="80" w:after="160"/>
        <w:jc w:val="center"/>
      </w:pPr>
      <w:r>
        <w:rPr>
          <w:rFonts w:ascii="Consolas" w:hAnsi="Consolas"/>
          <w:b/>
          <w:sz w:val="20"/>
        </w:rPr>
        <w:t>INQUIRY: Mom calls Monday</w:t>
        <w:br/>
      </w:r>
      <w:r>
        <w:rPr>
          <w:b/>
        </w:rPr>
        <w:t>↓</w:t>
        <w:br/>
      </w:r>
      <w:r>
        <w:rPr>
          <w:rFonts w:ascii="Consolas" w:hAnsi="Consolas"/>
          <w:b/>
          <w:sz w:val="20"/>
        </w:rPr>
        <w:t>INQUIRY: Dad calls Tuesday</w:t>
        <w:br/>
      </w:r>
      <w:r>
        <w:rPr>
          <w:b/>
        </w:rPr>
        <w:t>↓</w:t>
        <w:br/>
      </w:r>
      <w:r>
        <w:rPr>
          <w:rFonts w:ascii="Consolas" w:hAnsi="Consolas"/>
          <w:b/>
          <w:sz w:val="20"/>
        </w:rPr>
        <w:t>INQUIRY: Patient calls Wednesday</w:t>
        <w:br/>
      </w:r>
      <w:r>
        <w:rPr>
          <w:b/>
        </w:rPr>
        <w:t>↓</w:t>
        <w:br/>
      </w:r>
      <w:r>
        <w:rPr>
          <w:rFonts w:ascii="Consolas" w:hAnsi="Consolas"/>
          <w:b/>
          <w:sz w:val="20"/>
        </w:rPr>
        <w:t>PATIENT OPPORTUNITY: HRO-000184</w:t>
      </w:r>
    </w:p>
    <w:p>
      <w:r>
        <w:t>Contact roles include:</w:t>
      </w:r>
    </w:p>
    <w:p>
      <w:pPr>
        <w:pStyle w:val="ListBullet"/>
        <w:spacing w:after="40"/>
      </w:pPr>
      <w:r>
        <w:t>Patient</w:t>
      </w:r>
    </w:p>
    <w:p>
      <w:pPr>
        <w:pStyle w:val="ListBullet"/>
        <w:spacing w:after="40"/>
      </w:pPr>
      <w:r>
        <w:t>Loved One</w:t>
      </w:r>
    </w:p>
    <w:p>
      <w:pPr>
        <w:pStyle w:val="ListBullet"/>
        <w:spacing w:after="40"/>
      </w:pPr>
      <w:r>
        <w:t>Professional Referral Source</w:t>
      </w:r>
    </w:p>
    <w:p>
      <w:r>
        <w:t>Identity-resolution confidence is represented as: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8"/>
              </w:rPr>
              <w:t>Match State</w:t>
            </w:r>
          </w:p>
        </w:tc>
        <w:tc>
          <w:tcPr>
            <w:tcW w:type="dxa" w:w="5040"/>
            <w:vAlign w:val="center"/>
            <w:shd w:fill="D9EAF7"/>
          </w:tcPr>
          <w:p>
            <w:pPr>
              <w:spacing w:after="0"/>
            </w:pPr>
            <w:r/>
            <w:r>
              <w:rPr>
                <w:rFonts w:ascii="Aptos" w:hAnsi="Aptos"/>
                <w:b/>
                <w:sz w:val="18"/>
              </w:rPr>
              <w:t>Meaning</w:t>
            </w:r>
          </w:p>
        </w:tc>
      </w:tr>
      <w:tr>
        <w:tc>
          <w:tcPr>
            <w:tcW w:type="dxa" w:w="5040"/>
            <w:vAlign w:val="center"/>
          </w:tcPr>
          <w:p>
            <w:pPr>
              <w:spacing w:after="0"/>
            </w:pPr>
            <w:r/>
            <w:r>
              <w:rPr>
                <w:rFonts w:ascii="Aptos" w:hAnsi="Aptos"/>
                <w:b w:val="0"/>
                <w:sz w:val="18"/>
              </w:rPr>
              <w:t>Confirmed</w:t>
            </w:r>
          </w:p>
        </w:tc>
        <w:tc>
          <w:tcPr>
            <w:tcW w:type="dxa" w:w="5040"/>
            <w:vAlign w:val="center"/>
          </w:tcPr>
          <w:p>
            <w:pPr>
              <w:spacing w:after="0"/>
            </w:pPr>
            <w:r/>
            <w:r>
              <w:rPr>
                <w:rFonts w:ascii="Aptos" w:hAnsi="Aptos"/>
                <w:b w:val="0"/>
                <w:sz w:val="18"/>
              </w:rPr>
              <w:t>Evidence is sufficient to treat the records as the same Patient Opportunity.</w:t>
            </w:r>
          </w:p>
        </w:tc>
      </w:tr>
      <w:tr>
        <w:tc>
          <w:tcPr>
            <w:tcW w:type="dxa" w:w="5040"/>
            <w:vAlign w:val="center"/>
          </w:tcPr>
          <w:p>
            <w:pPr>
              <w:spacing w:after="0"/>
            </w:pPr>
            <w:r/>
            <w:r>
              <w:rPr>
                <w:rFonts w:ascii="Aptos" w:hAnsi="Aptos"/>
                <w:b w:val="0"/>
                <w:sz w:val="18"/>
              </w:rPr>
              <w:t>Probable</w:t>
            </w:r>
          </w:p>
        </w:tc>
        <w:tc>
          <w:tcPr>
            <w:tcW w:type="dxa" w:w="5040"/>
            <w:vAlign w:val="center"/>
          </w:tcPr>
          <w:p>
            <w:pPr>
              <w:spacing w:after="0"/>
            </w:pPr>
            <w:r/>
            <w:r>
              <w:rPr>
                <w:rFonts w:ascii="Aptos" w:hAnsi="Aptos"/>
                <w:b w:val="0"/>
                <w:sz w:val="18"/>
              </w:rPr>
              <w:t>Strong evidence supports a match, but a deterministic identifier is absent.</w:t>
            </w:r>
          </w:p>
        </w:tc>
      </w:tr>
      <w:tr>
        <w:tc>
          <w:tcPr>
            <w:tcW w:type="dxa" w:w="5040"/>
            <w:vAlign w:val="center"/>
          </w:tcPr>
          <w:p>
            <w:pPr>
              <w:spacing w:after="0"/>
            </w:pPr>
            <w:r/>
            <w:r>
              <w:rPr>
                <w:rFonts w:ascii="Aptos" w:hAnsi="Aptos"/>
                <w:b w:val="0"/>
                <w:sz w:val="18"/>
              </w:rPr>
              <w:t>Possible</w:t>
            </w:r>
          </w:p>
        </w:tc>
        <w:tc>
          <w:tcPr>
            <w:tcW w:type="dxa" w:w="5040"/>
            <w:vAlign w:val="center"/>
          </w:tcPr>
          <w:p>
            <w:pPr>
              <w:spacing w:after="0"/>
            </w:pPr>
            <w:r/>
            <w:r>
              <w:rPr>
                <w:rFonts w:ascii="Aptos" w:hAnsi="Aptos"/>
                <w:b w:val="0"/>
                <w:sz w:val="18"/>
              </w:rPr>
              <w:t>Some evidence supports a relationship, but human review is required.</w:t>
            </w:r>
          </w:p>
        </w:tc>
      </w:tr>
      <w:tr>
        <w:tc>
          <w:tcPr>
            <w:tcW w:type="dxa" w:w="5040"/>
            <w:vAlign w:val="center"/>
          </w:tcPr>
          <w:p>
            <w:pPr>
              <w:spacing w:after="0"/>
            </w:pPr>
            <w:r/>
            <w:r>
              <w:rPr>
                <w:rFonts w:ascii="Aptos" w:hAnsi="Aptos"/>
                <w:b w:val="0"/>
                <w:sz w:val="18"/>
              </w:rPr>
              <w:t>Unmatched</w:t>
            </w:r>
          </w:p>
        </w:tc>
        <w:tc>
          <w:tcPr>
            <w:tcW w:type="dxa" w:w="5040"/>
            <w:vAlign w:val="center"/>
          </w:tcPr>
          <w:p>
            <w:pPr>
              <w:spacing w:after="0"/>
            </w:pPr>
            <w:r/>
            <w:r>
              <w:rPr>
                <w:rFonts w:ascii="Aptos" w:hAnsi="Aptos"/>
                <w:b w:val="0"/>
                <w:sz w:val="18"/>
              </w:rPr>
              <w:t>No defensible linkage has been established.</w:t>
            </w:r>
          </w:p>
        </w:tc>
      </w:tr>
    </w:tbl>
    <w:p/>
    <w:p>
      <w:r>
        <w:t>Identity resolution links records without erasing their original history. Each inquiry retains its timestamp, arrival mechanism, acquisition evidence, and contact role even when multiple inquiries resolve to one Patient Opportunity.</w:t>
      </w:r>
    </w:p>
    <w:p>
      <w:pPr>
        <w:pStyle w:val="Heading1"/>
      </w:pPr>
      <w:r>
        <w:t>6. Verification of Benefits and Admission Financial Status</w:t>
      </w:r>
    </w:p>
    <w:p>
      <w:r>
        <w:t>Verification of Benefits (VOB) is the principal financial-viability checkpoint between inquiry and admission. It asks:</w:t>
      </w:r>
    </w:p>
    <w:p>
      <w:pPr>
        <w:jc w:val="center"/>
      </w:pPr>
      <w:r>
        <w:rPr>
          <w:b/>
        </w:rPr>
        <w:t>Did the inquiry possess insurance coverage compatible with Harbor Ridge's payer strategy?</w:t>
      </w:r>
    </w:p>
    <w:p>
      <w:r>
        <w:t>Representative VOB outcomes:</w:t>
      </w:r>
    </w:p>
    <w:p>
      <w:pPr>
        <w:pStyle w:val="ListBullet"/>
        <w:spacing w:after="40"/>
      </w:pPr>
      <w:r>
        <w:t>Pending</w:t>
      </w:r>
    </w:p>
    <w:p>
      <w:pPr>
        <w:pStyle w:val="ListBullet"/>
        <w:spacing w:after="40"/>
      </w:pPr>
      <w:r>
        <w:t>Viable</w:t>
      </w:r>
    </w:p>
    <w:p>
      <w:pPr>
        <w:pStyle w:val="ListBullet"/>
        <w:spacing w:after="40"/>
      </w:pPr>
      <w:r>
        <w:t>Non-Viable</w:t>
      </w:r>
    </w:p>
    <w:p>
      <w:pPr>
        <w:pStyle w:val="ListBullet"/>
        <w:spacing w:after="40"/>
      </w:pPr>
      <w:r>
        <w:t>Unable to Verify</w:t>
      </w:r>
    </w:p>
    <w:p>
      <w:r>
        <w:t>VOB outcome is analytically separate from the organization's admission decision. Harbor Ridge therefore preserves an additional Admission Financial Status:</w:t>
      </w:r>
    </w:p>
    <w:p>
      <w:pPr>
        <w:pStyle w:val="ListBullet"/>
        <w:spacing w:after="40"/>
      </w:pPr>
      <w:r>
        <w:t>Financially Cleared</w:t>
      </w:r>
    </w:p>
    <w:p>
      <w:pPr>
        <w:pStyle w:val="ListBullet"/>
        <w:spacing w:after="40"/>
      </w:pPr>
      <w:r>
        <w:t>At-Risk Admission</w:t>
      </w:r>
    </w:p>
    <w:p>
      <w:pPr>
        <w:pStyle w:val="ListBullet"/>
        <w:spacing w:after="40"/>
      </w:pPr>
      <w:r>
        <w:t>Not Financially Cleared</w:t>
      </w:r>
    </w:p>
    <w:p>
      <w:r>
        <w:t>An At-Risk Admission represents a clinically appropriate admission made while reimbursement remains unresolved or uncertain. Financial viability informs the admission pathway but does not mechanically dictate every admission decision.</w:t>
      </w:r>
    </w:p>
    <w:p>
      <w:pPr>
        <w:pStyle w:val="Heading1"/>
      </w:pPr>
      <w:r>
        <w:t>7. CRM → EHR Handoff</w:t>
      </w:r>
    </w:p>
    <w:p>
      <w:r>
        <w:t>Once a patient is admitted, the system of record transitions from the CRM to the EHR, which creates an episode identifier such as:</w:t>
      </w:r>
    </w:p>
    <w:p>
      <w:pPr>
        <w:spacing w:before="80" w:after="160"/>
        <w:jc w:val="center"/>
      </w:pPr>
      <w:r>
        <w:rPr>
          <w:rFonts w:ascii="Consolas" w:hAnsi="Consolas"/>
          <w:b/>
          <w:sz w:val="20"/>
        </w:rPr>
        <w:t>EHR_EPISODE_ID</w:t>
        <w:br/>
      </w:r>
      <w:r>
        <w:rPr>
          <w:b/>
        </w:rPr>
        <w:t>↓</w:t>
        <w:br/>
      </w:r>
      <w:r>
        <w:rPr>
          <w:rFonts w:ascii="Consolas" w:hAnsi="Consolas"/>
          <w:b/>
          <w:sz w:val="20"/>
        </w:rPr>
        <w:t>Example: KIPU-9921</w:t>
      </w:r>
    </w:p>
    <w:p>
      <w:r>
        <w:t>The critical relationship is:</w:t>
      </w:r>
    </w:p>
    <w:p>
      <w:pPr>
        <w:spacing w:before="80" w:after="160"/>
        <w:jc w:val="center"/>
      </w:pPr>
      <w:r>
        <w:rPr>
          <w:rFonts w:ascii="Consolas" w:hAnsi="Consolas"/>
          <w:b/>
          <w:sz w:val="20"/>
        </w:rPr>
        <w:t>CRM_OPPORTUNITY_ID  ↔  EHR_EPISODE_ID</w:t>
      </w:r>
    </w:p>
    <w:p>
      <w:r>
        <w:t>Whenever technically possible, the CRM Opportunity ID should persist into the EHR. Without it, Harbor Ridge may know a patient admitted without reliably knowing which Patient Opportunity and acquisition evidence generated the admission.</w:t>
      </w:r>
    </w:p>
    <w:p>
      <w:pPr>
        <w:pStyle w:val="Heading1"/>
      </w:pPr>
      <w:r>
        <w:t>8. EHR / Clinical Layer</w:t>
      </w:r>
    </w:p>
    <w:p>
      <w:r>
        <w:t>The EHR becomes the system of record for the clinical episode.</w:t>
      </w:r>
    </w:p>
    <w:p>
      <w:pPr>
        <w:pStyle w:val="ListBullet"/>
        <w:spacing w:after="40"/>
      </w:pPr>
      <w:r>
        <w:t>EHR Episode ID</w:t>
      </w:r>
    </w:p>
    <w:p>
      <w:pPr>
        <w:pStyle w:val="ListBullet"/>
        <w:spacing w:after="40"/>
      </w:pPr>
      <w:r>
        <w:t>Admission Date / Time</w:t>
      </w:r>
    </w:p>
    <w:p>
      <w:pPr>
        <w:pStyle w:val="ListBullet"/>
        <w:spacing w:after="40"/>
      </w:pPr>
      <w:r>
        <w:t>Program</w:t>
      </w:r>
    </w:p>
    <w:p>
      <w:pPr>
        <w:pStyle w:val="ListBullet"/>
        <w:spacing w:after="40"/>
      </w:pPr>
      <w:r>
        <w:t>Level of Care</w:t>
      </w:r>
    </w:p>
    <w:p>
      <w:pPr>
        <w:pStyle w:val="ListBullet"/>
        <w:spacing w:after="40"/>
      </w:pPr>
      <w:r>
        <w:t>Treatment Location</w:t>
      </w:r>
    </w:p>
    <w:p>
      <w:pPr>
        <w:pStyle w:val="ListBullet"/>
        <w:spacing w:after="40"/>
      </w:pPr>
      <w:r>
        <w:t>Payer</w:t>
      </w:r>
    </w:p>
    <w:p>
      <w:pPr>
        <w:pStyle w:val="ListBullet"/>
        <w:spacing w:after="40"/>
      </w:pPr>
      <w:r>
        <w:t>Authorization Window</w:t>
      </w:r>
    </w:p>
    <w:p>
      <w:pPr>
        <w:pStyle w:val="ListBullet"/>
        <w:spacing w:after="40"/>
      </w:pPr>
      <w:r>
        <w:t>Level-of-Care Transfer</w:t>
      </w:r>
    </w:p>
    <w:p>
      <w:pPr>
        <w:pStyle w:val="ListBullet"/>
        <w:spacing w:after="40"/>
      </w:pPr>
      <w:r>
        <w:t>Discharge Date</w:t>
      </w:r>
    </w:p>
    <w:p>
      <w:pPr>
        <w:pStyle w:val="ListBullet"/>
        <w:spacing w:after="40"/>
      </w:pPr>
      <w:r>
        <w:t>Discharge Disposition</w:t>
      </w:r>
    </w:p>
    <w:p>
      <w:pPr>
        <w:spacing w:before="80" w:after="160"/>
        <w:jc w:val="center"/>
      </w:pPr>
      <w:r>
        <w:rPr>
          <w:rFonts w:ascii="Consolas" w:hAnsi="Consolas"/>
          <w:b/>
          <w:sz w:val="20"/>
        </w:rPr>
        <w:t>DETOX</w:t>
        <w:br/>
      </w:r>
      <w:r>
        <w:rPr>
          <w:b/>
        </w:rPr>
        <w:t>↓</w:t>
        <w:br/>
      </w:r>
      <w:r>
        <w:rPr>
          <w:rFonts w:ascii="Consolas" w:hAnsi="Consolas"/>
          <w:b/>
          <w:sz w:val="20"/>
        </w:rPr>
        <w:t>RESIDENTIAL</w:t>
        <w:br/>
      </w:r>
      <w:r>
        <w:rPr>
          <w:b/>
        </w:rPr>
        <w:t>↓</w:t>
        <w:br/>
      </w:r>
      <w:r>
        <w:rPr>
          <w:rFonts w:ascii="Consolas" w:hAnsi="Consolas"/>
          <w:b/>
          <w:sz w:val="20"/>
        </w:rPr>
        <w:t>DISCHARGE</w:t>
      </w:r>
    </w:p>
    <w:p>
      <w:r>
        <w:t>Harbor Ridge V1 must distinguish a true new admission from a level-of-care transition or administrative discharge/re-admit event. Otherwise, one patient episode may incorrectly appear as multiple independent admissions.</w:t>
      </w:r>
    </w:p>
    <w:p>
      <w:pPr>
        <w:pStyle w:val="Heading1"/>
      </w:pPr>
      <w:r>
        <w:t>9. EHR → RCM Handoff</w:t>
      </w:r>
    </w:p>
    <w:p>
      <w:r>
        <w:t>The RCM system introduces another system boundary and creates identifiers such as RCM_CLAIM_ID.</w:t>
      </w:r>
    </w:p>
    <w:p>
      <w:pPr>
        <w:spacing w:before="80" w:after="160"/>
        <w:jc w:val="center"/>
      </w:pPr>
      <w:r>
        <w:rPr>
          <w:rFonts w:ascii="Consolas" w:hAnsi="Consolas"/>
          <w:b/>
          <w:sz w:val="20"/>
        </w:rPr>
        <w:t>CRM_OPPORTUNITY_ID</w:t>
        <w:br/>
      </w:r>
      <w:r>
        <w:rPr>
          <w:b/>
        </w:rPr>
        <w:t>↓</w:t>
        <w:br/>
      </w:r>
      <w:r>
        <w:rPr>
          <w:rFonts w:ascii="Consolas" w:hAnsi="Consolas"/>
          <w:b/>
          <w:sz w:val="20"/>
        </w:rPr>
        <w:t>EHR_EPISODE_ID</w:t>
        <w:br/>
      </w:r>
      <w:r>
        <w:rPr>
          <w:b/>
        </w:rPr>
        <w:t>↓</w:t>
        <w:br/>
      </w:r>
      <w:r>
        <w:rPr>
          <w:rFonts w:ascii="Consolas" w:hAnsi="Consolas"/>
          <w:b/>
          <w:sz w:val="20"/>
        </w:rPr>
        <w:t>RCM_CLAIM_ID</w:t>
      </w:r>
    </w:p>
    <w:p>
      <w:pPr>
        <w:pStyle w:val="ListBullet"/>
        <w:spacing w:after="40"/>
      </w:pPr>
      <w:r>
        <w:t>Claim ID</w:t>
      </w:r>
    </w:p>
    <w:p>
      <w:pPr>
        <w:pStyle w:val="ListBullet"/>
        <w:spacing w:after="40"/>
      </w:pPr>
      <w:r>
        <w:t>Patient / Episode Identifier</w:t>
      </w:r>
    </w:p>
    <w:p>
      <w:pPr>
        <w:pStyle w:val="ListBullet"/>
        <w:spacing w:after="40"/>
      </w:pPr>
      <w:r>
        <w:t>Dates of Service</w:t>
      </w:r>
    </w:p>
    <w:p>
      <w:pPr>
        <w:pStyle w:val="ListBullet"/>
        <w:spacing w:after="40"/>
      </w:pPr>
      <w:r>
        <w:t>Payer</w:t>
      </w:r>
    </w:p>
    <w:p>
      <w:pPr>
        <w:pStyle w:val="ListBullet"/>
        <w:spacing w:after="40"/>
      </w:pPr>
      <w:r>
        <w:t>Billed Charges</w:t>
      </w:r>
    </w:p>
    <w:p>
      <w:pPr>
        <w:pStyle w:val="ListBullet"/>
        <w:spacing w:after="40"/>
      </w:pPr>
      <w:r>
        <w:t>Allowed Amount</w:t>
      </w:r>
    </w:p>
    <w:p>
      <w:pPr>
        <w:pStyle w:val="ListBullet"/>
        <w:spacing w:after="40"/>
      </w:pPr>
      <w:r>
        <w:t>Denial Status</w:t>
      </w:r>
    </w:p>
    <w:p>
      <w:pPr>
        <w:pStyle w:val="ListBullet"/>
        <w:spacing w:after="40"/>
      </w:pPr>
      <w:r>
        <w:t>Adjustments</w:t>
      </w:r>
    </w:p>
    <w:p>
      <w:pPr>
        <w:pStyle w:val="ListBullet"/>
        <w:spacing w:after="40"/>
      </w:pPr>
      <w:r>
        <w:t>Insurance Payments</w:t>
      </w:r>
    </w:p>
    <w:p>
      <w:pPr>
        <w:pStyle w:val="ListBullet"/>
        <w:spacing w:after="40"/>
      </w:pPr>
      <w:r>
        <w:t>Patient Responsibility</w:t>
      </w:r>
    </w:p>
    <w:p>
      <w:pPr>
        <w:pStyle w:val="ListBullet"/>
        <w:spacing w:after="40"/>
      </w:pPr>
      <w:r>
        <w:t>Payment Date</w:t>
      </w:r>
    </w:p>
    <w:p>
      <w:r>
        <w:t>A single clinical episode may produce multiple claims. One admission therefore does not necessarily equal one claim; claims remain associated with the originating episode.</w:t>
      </w:r>
    </w:p>
    <w:p>
      <w:pPr>
        <w:pStyle w:val="Heading1"/>
      </w:pPr>
      <w:r>
        <w:t>10. Collections / Financial Outcome</w:t>
      </w:r>
    </w:p>
    <w:p>
      <w:r>
        <w:t>Harbor Ridge distinguishes accounting estimates from realized financial outcomes.</w:t>
      </w:r>
    </w:p>
    <w:p>
      <w:pPr>
        <w:spacing w:before="80" w:after="160"/>
        <w:jc w:val="center"/>
      </w:pPr>
      <w:r>
        <w:rPr>
          <w:rFonts w:ascii="Consolas" w:hAnsi="Consolas"/>
          <w:b/>
          <w:sz w:val="20"/>
        </w:rPr>
        <w:t>BILLED CHARGES</w:t>
        <w:br/>
      </w:r>
      <w:r>
        <w:rPr>
          <w:b/>
        </w:rPr>
        <w:t>↓</w:t>
        <w:br/>
      </w:r>
      <w:r>
        <w:rPr>
          <w:rFonts w:ascii="Consolas" w:hAnsi="Consolas"/>
          <w:b/>
          <w:sz w:val="20"/>
        </w:rPr>
        <w:t>ALLOWED AMOUNT</w:t>
        <w:br/>
      </w:r>
      <w:r>
        <w:rPr>
          <w:b/>
        </w:rPr>
        <w:t>↓</w:t>
        <w:br/>
      </w:r>
      <w:r>
        <w:rPr>
          <w:rFonts w:ascii="Consolas" w:hAnsi="Consolas"/>
          <w:b/>
          <w:sz w:val="20"/>
        </w:rPr>
        <w:t>CLAIMS / ADJUDICATION</w:t>
        <w:br/>
      </w:r>
      <w:r>
        <w:rPr>
          <w:b/>
        </w:rPr>
        <w:t>↓</w:t>
        <w:br/>
      </w:r>
      <w:r>
        <w:rPr>
          <w:rFonts w:ascii="Consolas" w:hAnsi="Consolas"/>
          <w:b/>
          <w:sz w:val="20"/>
        </w:rPr>
        <w:t>PAYMENTS / ADJUSTMENTS</w:t>
        <w:br/>
      </w:r>
      <w:r>
        <w:rPr>
          <w:b/>
        </w:rPr>
        <w:t>↓</w:t>
        <w:br/>
      </w:r>
      <w:r>
        <w:rPr>
          <w:rFonts w:ascii="Consolas" w:hAnsi="Consolas"/>
          <w:b/>
          <w:sz w:val="20"/>
        </w:rPr>
        <w:t>ACTUAL CASH COLLECTED</w:t>
      </w:r>
    </w:p>
    <w:p>
      <w:r>
        <w:t>For retrospective acquisition analysis, ACTUAL_CASH_COLLECTED is preferred over billed charges or expected reimbursement. Recent cohorts should not be compared directly with mature cohorts without accounting for collection lag.</w:t>
      </w:r>
    </w:p>
    <w:p>
      <w:pPr>
        <w:pStyle w:val="Heading1"/>
      </w:pPr>
      <w:r>
        <w:t>11. The Harbor Ridge Golden Thread</w:t>
      </w:r>
    </w:p>
    <w:p>
      <w:r>
        <w:t>The Golden Thread is the identity, attribution, and outcome lineage that connects messy upstream human behavior to structured downstream healthcare operations.</w:t>
      </w:r>
    </w:p>
    <w:p>
      <w:pPr>
        <w:spacing w:before="80" w:after="160"/>
        <w:jc w:val="center"/>
      </w:pPr>
      <w:r>
        <w:rPr>
          <w:rFonts w:ascii="Consolas" w:hAnsi="Consolas"/>
          <w:b/>
          <w:sz w:val="20"/>
        </w:rPr>
        <w:t>TOUCH / REFERRAL EVIDENCE</w:t>
        <w:br/>
      </w:r>
      <w:r>
        <w:rPr>
          <w:b/>
        </w:rPr>
        <w:t>↓</w:t>
        <w:br/>
      </w:r>
      <w:r>
        <w:rPr>
          <w:rFonts w:ascii="Consolas" w:hAnsi="Consolas"/>
          <w:b/>
          <w:sz w:val="20"/>
        </w:rPr>
        <w:t>INQUIRY RECORD(S)</w:t>
        <w:br/>
      </w:r>
      <w:r>
        <w:rPr>
          <w:b/>
        </w:rPr>
        <w:t>↓</w:t>
        <w:br/>
      </w:r>
      <w:r>
        <w:rPr>
          <w:rFonts w:ascii="Consolas" w:hAnsi="Consolas"/>
          <w:b/>
          <w:sz w:val="20"/>
        </w:rPr>
        <w:t>PATIENT OPPORTUNITY: HRO-######</w:t>
        <w:br/>
      </w:r>
      <w:r>
        <w:rPr>
          <w:b/>
        </w:rPr>
        <w:t>↓</w:t>
        <w:br/>
      </w:r>
      <w:r>
        <w:rPr>
          <w:rFonts w:ascii="Consolas" w:hAnsi="Consolas"/>
          <w:b/>
          <w:sz w:val="20"/>
        </w:rPr>
        <w:t>EHR EPISODE(S)</w:t>
        <w:br/>
      </w:r>
      <w:r>
        <w:rPr>
          <w:b/>
        </w:rPr>
        <w:t>↓</w:t>
        <w:br/>
      </w:r>
      <w:r>
        <w:rPr>
          <w:rFonts w:ascii="Consolas" w:hAnsi="Consolas"/>
          <w:b/>
          <w:sz w:val="20"/>
        </w:rPr>
        <w:t>RCM CLAIM(S)</w:t>
        <w:br/>
      </w:r>
      <w:r>
        <w:rPr>
          <w:b/>
        </w:rPr>
        <w:t>↓</w:t>
        <w:br/>
      </w:r>
      <w:r>
        <w:rPr>
          <w:rFonts w:ascii="Consolas" w:hAnsi="Consolas"/>
          <w:b/>
          <w:sz w:val="20"/>
        </w:rPr>
        <w:t>PAYMENT / REMITTANCE</w:t>
        <w:br/>
      </w:r>
      <w:r>
        <w:rPr>
          <w:b/>
        </w:rPr>
        <w:t>↓</w:t>
        <w:br/>
      </w:r>
      <w:r>
        <w:rPr>
          <w:rFonts w:ascii="Consolas" w:hAnsi="Consolas"/>
          <w:b/>
          <w:sz w:val="20"/>
        </w:rPr>
        <w:t>ACTUAL CASH COLLECTED</w:t>
      </w:r>
    </w:p>
    <w:p>
      <w:r>
        <w:t>The relationships are not assumed to be one-to-one. A Patient Opportunity may contain multiple touches and inquiry records; an EHR episode may generate multiple claims; claims may generate multiple payments and adjustments.</w:t>
      </w:r>
    </w:p>
    <w:p>
      <w:pPr>
        <w:jc w:val="center"/>
      </w:pPr>
      <w:r>
        <w:rPr>
          <w:b/>
        </w:rPr>
        <w:t>Which acquisition sources generated financially viable opportunities, admissions, clinical episodes, and ultimately collected revenue?</w:t>
      </w:r>
    </w:p>
    <w:p>
      <w:r>
        <w:t>Harbor Ridge V1 identifies where this thread is intact, missing, or dependent on weaker matching logic.</w:t>
      </w:r>
    </w:p>
    <w:p>
      <w:pPr>
        <w:pStyle w:val="Heading1"/>
      </w:pPr>
      <w:r>
        <w:t>12. Major V1 Failure Points and Degradation Types</w:t>
      </w:r>
    </w:p>
    <w:p>
      <w:r>
        <w:t>Harbor Ridge uses four canonical degradation classes: Observability Loss, Identity Loss, Attribution Loss, and Outcome-Linkage Loss. The six failures below are representative V1 examples of those classes, not an exhaustive production failure catalog.</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ptos" w:hAnsi="Aptos"/>
                <w:b/>
                <w:sz w:val="18"/>
              </w:rPr>
              <w:t>#</w:t>
            </w:r>
          </w:p>
        </w:tc>
        <w:tc>
          <w:tcPr>
            <w:tcW w:type="dxa" w:w="2016"/>
            <w:vAlign w:val="center"/>
            <w:shd w:fill="D9EAF7"/>
          </w:tcPr>
          <w:p>
            <w:pPr>
              <w:spacing w:after="0"/>
            </w:pPr>
            <w:r/>
            <w:r>
              <w:rPr>
                <w:rFonts w:ascii="Aptos" w:hAnsi="Aptos"/>
                <w:b/>
                <w:sz w:val="18"/>
              </w:rPr>
              <w:t>Handoff / Area</w:t>
            </w:r>
          </w:p>
        </w:tc>
        <w:tc>
          <w:tcPr>
            <w:tcW w:type="dxa" w:w="2016"/>
            <w:vAlign w:val="center"/>
            <w:shd w:fill="D9EAF7"/>
          </w:tcPr>
          <w:p>
            <w:pPr>
              <w:spacing w:after="0"/>
            </w:pPr>
            <w:r/>
            <w:r>
              <w:rPr>
                <w:rFonts w:ascii="Aptos" w:hAnsi="Aptos"/>
                <w:b/>
                <w:sz w:val="18"/>
              </w:rPr>
              <w:t>Representative Failure</w:t>
            </w:r>
          </w:p>
        </w:tc>
        <w:tc>
          <w:tcPr>
            <w:tcW w:type="dxa" w:w="2016"/>
            <w:vAlign w:val="center"/>
            <w:shd w:fill="D9EAF7"/>
          </w:tcPr>
          <w:p>
            <w:pPr>
              <w:spacing w:after="0"/>
            </w:pPr>
            <w:r/>
            <w:r>
              <w:rPr>
                <w:rFonts w:ascii="Aptos" w:hAnsi="Aptos"/>
                <w:b/>
                <w:sz w:val="18"/>
              </w:rPr>
              <w:t>Degradation Type</w:t>
            </w:r>
          </w:p>
        </w:tc>
        <w:tc>
          <w:tcPr>
            <w:tcW w:type="dxa" w:w="2016"/>
            <w:vAlign w:val="center"/>
            <w:shd w:fill="D9EAF7"/>
          </w:tcPr>
          <w:p>
            <w:pPr>
              <w:spacing w:after="0"/>
            </w:pPr>
            <w:r/>
            <w:r>
              <w:rPr>
                <w:rFonts w:ascii="Aptos" w:hAnsi="Aptos"/>
                <w:b/>
                <w:sz w:val="18"/>
              </w:rPr>
              <w:t>Executive Consequence</w:t>
            </w:r>
          </w:p>
        </w:tc>
      </w:tr>
      <w:tr>
        <w:tc>
          <w:tcPr>
            <w:tcW w:type="dxa" w:w="2016"/>
            <w:vAlign w:val="center"/>
          </w:tcPr>
          <w:p>
            <w:pPr>
              <w:spacing w:after="0"/>
            </w:pPr>
            <w:r/>
            <w:r>
              <w:rPr>
                <w:rFonts w:ascii="Aptos" w:hAnsi="Aptos"/>
                <w:b w:val="0"/>
                <w:sz w:val="18"/>
              </w:rPr>
              <w:t>1</w:t>
            </w:r>
          </w:p>
        </w:tc>
        <w:tc>
          <w:tcPr>
            <w:tcW w:type="dxa" w:w="2016"/>
            <w:vAlign w:val="center"/>
          </w:tcPr>
          <w:p>
            <w:pPr>
              <w:spacing w:after="0"/>
            </w:pPr>
            <w:r/>
            <w:r>
              <w:rPr>
                <w:rFonts w:ascii="Aptos" w:hAnsi="Aptos"/>
                <w:b w:val="0"/>
                <w:sz w:val="18"/>
              </w:rPr>
              <w:t>Acquisition → Inquiry</w:t>
            </w:r>
          </w:p>
        </w:tc>
        <w:tc>
          <w:tcPr>
            <w:tcW w:type="dxa" w:w="2016"/>
            <w:vAlign w:val="center"/>
          </w:tcPr>
          <w:p>
            <w:pPr>
              <w:spacing w:after="0"/>
            </w:pPr>
            <w:r/>
            <w:r>
              <w:rPr>
                <w:rFonts w:ascii="Aptos" w:hAnsi="Aptos"/>
                <w:b w:val="0"/>
                <w:sz w:val="18"/>
              </w:rPr>
              <w:t>A tracking event or metadata is never captured before CRM creation</w:t>
            </w:r>
          </w:p>
        </w:tc>
        <w:tc>
          <w:tcPr>
            <w:tcW w:type="dxa" w:w="2016"/>
            <w:vAlign w:val="center"/>
          </w:tcPr>
          <w:p>
            <w:pPr>
              <w:spacing w:after="0"/>
            </w:pPr>
            <w:r/>
            <w:r>
              <w:rPr>
                <w:rFonts w:ascii="Aptos" w:hAnsi="Aptos"/>
                <w:b w:val="0"/>
                <w:sz w:val="18"/>
              </w:rPr>
              <w:t>Observability Loss</w:t>
            </w:r>
          </w:p>
        </w:tc>
        <w:tc>
          <w:tcPr>
            <w:tcW w:type="dxa" w:w="2016"/>
            <w:vAlign w:val="center"/>
          </w:tcPr>
          <w:p>
            <w:pPr>
              <w:spacing w:after="0"/>
            </w:pPr>
            <w:r/>
            <w:r>
              <w:rPr>
                <w:rFonts w:ascii="Aptos" w:hAnsi="Aptos"/>
                <w:b w:val="0"/>
                <w:sz w:val="18"/>
              </w:rPr>
              <w:t>Demand or source evidence cannot be observed reliably</w:t>
            </w:r>
          </w:p>
        </w:tc>
      </w:tr>
      <w:tr>
        <w:tc>
          <w:tcPr>
            <w:tcW w:type="dxa" w:w="2016"/>
            <w:vAlign w:val="center"/>
          </w:tcPr>
          <w:p>
            <w:pPr>
              <w:spacing w:after="0"/>
            </w:pPr>
            <w:r/>
            <w:r>
              <w:rPr>
                <w:rFonts w:ascii="Aptos" w:hAnsi="Aptos"/>
                <w:b w:val="0"/>
                <w:sz w:val="18"/>
              </w:rPr>
              <w:t>2</w:t>
            </w:r>
          </w:p>
        </w:tc>
        <w:tc>
          <w:tcPr>
            <w:tcW w:type="dxa" w:w="2016"/>
            <w:vAlign w:val="center"/>
          </w:tcPr>
          <w:p>
            <w:pPr>
              <w:spacing w:after="0"/>
            </w:pPr>
            <w:r/>
            <w:r>
              <w:rPr>
                <w:rFonts w:ascii="Aptos" w:hAnsi="Aptos"/>
                <w:b w:val="0"/>
                <w:sz w:val="18"/>
              </w:rPr>
              <w:t>Inquiry / CRM Identity</w:t>
            </w:r>
          </w:p>
        </w:tc>
        <w:tc>
          <w:tcPr>
            <w:tcW w:type="dxa" w:w="2016"/>
            <w:vAlign w:val="center"/>
          </w:tcPr>
          <w:p>
            <w:pPr>
              <w:spacing w:after="0"/>
            </w:pPr>
            <w:r/>
            <w:r>
              <w:rPr>
                <w:rFonts w:ascii="Aptos" w:hAnsi="Aptos"/>
                <w:b w:val="0"/>
                <w:sz w:val="18"/>
              </w:rPr>
              <w:t>Mom, dad, and patient remain separate unrelated records for one underlying opportunity</w:t>
            </w:r>
          </w:p>
        </w:tc>
        <w:tc>
          <w:tcPr>
            <w:tcW w:type="dxa" w:w="2016"/>
            <w:vAlign w:val="center"/>
          </w:tcPr>
          <w:p>
            <w:pPr>
              <w:spacing w:after="0"/>
            </w:pPr>
            <w:r/>
            <w:r>
              <w:rPr>
                <w:rFonts w:ascii="Aptos" w:hAnsi="Aptos"/>
                <w:b w:val="0"/>
                <w:sz w:val="18"/>
              </w:rPr>
              <w:t>Identity Loss</w:t>
            </w:r>
          </w:p>
        </w:tc>
        <w:tc>
          <w:tcPr>
            <w:tcW w:type="dxa" w:w="2016"/>
            <w:vAlign w:val="center"/>
          </w:tcPr>
          <w:p>
            <w:pPr>
              <w:spacing w:after="0"/>
            </w:pPr>
            <w:r/>
            <w:r>
              <w:rPr>
                <w:rFonts w:ascii="Aptos" w:hAnsi="Aptos"/>
                <w:b w:val="0"/>
                <w:sz w:val="18"/>
              </w:rPr>
              <w:t>One patient opportunity is overstated, fragmented, or double-counted</w:t>
            </w:r>
          </w:p>
        </w:tc>
      </w:tr>
      <w:tr>
        <w:tc>
          <w:tcPr>
            <w:tcW w:type="dxa" w:w="2016"/>
            <w:vAlign w:val="center"/>
          </w:tcPr>
          <w:p>
            <w:pPr>
              <w:spacing w:after="0"/>
            </w:pPr>
            <w:r/>
            <w:r>
              <w:rPr>
                <w:rFonts w:ascii="Aptos" w:hAnsi="Aptos"/>
                <w:b w:val="0"/>
                <w:sz w:val="18"/>
              </w:rPr>
              <w:t>3</w:t>
            </w:r>
          </w:p>
        </w:tc>
        <w:tc>
          <w:tcPr>
            <w:tcW w:type="dxa" w:w="2016"/>
            <w:vAlign w:val="center"/>
          </w:tcPr>
          <w:p>
            <w:pPr>
              <w:spacing w:after="0"/>
            </w:pPr>
            <w:r/>
            <w:r>
              <w:rPr>
                <w:rFonts w:ascii="Aptos" w:hAnsi="Aptos"/>
                <w:b w:val="0"/>
                <w:sz w:val="18"/>
              </w:rPr>
              <w:t>Professional Referral → CRM</w:t>
            </w:r>
          </w:p>
        </w:tc>
        <w:tc>
          <w:tcPr>
            <w:tcW w:type="dxa" w:w="2016"/>
            <w:vAlign w:val="center"/>
          </w:tcPr>
          <w:p>
            <w:pPr>
              <w:spacing w:after="0"/>
            </w:pPr>
            <w:r/>
            <w:r>
              <w:rPr>
                <w:rFonts w:ascii="Aptos" w:hAnsi="Aptos"/>
                <w:b w:val="0"/>
                <w:sz w:val="18"/>
              </w:rPr>
              <w:t>Referring professional is not linked to the Patient Opportunity</w:t>
            </w:r>
          </w:p>
        </w:tc>
        <w:tc>
          <w:tcPr>
            <w:tcW w:type="dxa" w:w="2016"/>
            <w:vAlign w:val="center"/>
          </w:tcPr>
          <w:p>
            <w:pPr>
              <w:spacing w:after="0"/>
            </w:pPr>
            <w:r/>
            <w:r>
              <w:rPr>
                <w:rFonts w:ascii="Aptos" w:hAnsi="Aptos"/>
                <w:b w:val="0"/>
                <w:sz w:val="18"/>
              </w:rPr>
              <w:t>Attribution Loss</w:t>
            </w:r>
          </w:p>
        </w:tc>
        <w:tc>
          <w:tcPr>
            <w:tcW w:type="dxa" w:w="2016"/>
            <w:vAlign w:val="center"/>
          </w:tcPr>
          <w:p>
            <w:pPr>
              <w:spacing w:after="0"/>
            </w:pPr>
            <w:r/>
            <w:r>
              <w:rPr>
                <w:rFonts w:ascii="Aptos" w:hAnsi="Aptos"/>
                <w:b w:val="0"/>
                <w:sz w:val="18"/>
              </w:rPr>
              <w:t>BD contribution is credited to digital, direct, or unknown</w:t>
            </w:r>
          </w:p>
        </w:tc>
      </w:tr>
      <w:tr>
        <w:tc>
          <w:tcPr>
            <w:tcW w:type="dxa" w:w="2016"/>
            <w:vAlign w:val="center"/>
          </w:tcPr>
          <w:p>
            <w:pPr>
              <w:spacing w:after="0"/>
            </w:pPr>
            <w:r/>
            <w:r>
              <w:rPr>
                <w:rFonts w:ascii="Aptos" w:hAnsi="Aptos"/>
                <w:b w:val="0"/>
                <w:sz w:val="18"/>
              </w:rPr>
              <w:t>4</w:t>
            </w:r>
          </w:p>
        </w:tc>
        <w:tc>
          <w:tcPr>
            <w:tcW w:type="dxa" w:w="2016"/>
            <w:vAlign w:val="center"/>
          </w:tcPr>
          <w:p>
            <w:pPr>
              <w:spacing w:after="0"/>
            </w:pPr>
            <w:r/>
            <w:r>
              <w:rPr>
                <w:rFonts w:ascii="Aptos" w:hAnsi="Aptos"/>
                <w:b w:val="0"/>
                <w:sz w:val="18"/>
              </w:rPr>
              <w:t>Digital Acquisition → CRM</w:t>
            </w:r>
          </w:p>
        </w:tc>
        <w:tc>
          <w:tcPr>
            <w:tcW w:type="dxa" w:w="2016"/>
            <w:vAlign w:val="center"/>
          </w:tcPr>
          <w:p>
            <w:pPr>
              <w:spacing w:after="0"/>
            </w:pPr>
            <w:r/>
            <w:r>
              <w:rPr>
                <w:rFonts w:ascii="Aptos" w:hAnsi="Aptos"/>
                <w:b w:val="0"/>
                <w:sz w:val="18"/>
              </w:rPr>
              <w:t>Acquisition metadata is lost or overwritten</w:t>
            </w:r>
          </w:p>
        </w:tc>
        <w:tc>
          <w:tcPr>
            <w:tcW w:type="dxa" w:w="2016"/>
            <w:vAlign w:val="center"/>
          </w:tcPr>
          <w:p>
            <w:pPr>
              <w:spacing w:after="0"/>
            </w:pPr>
            <w:r/>
            <w:r>
              <w:rPr>
                <w:rFonts w:ascii="Aptos" w:hAnsi="Aptos"/>
                <w:b w:val="0"/>
                <w:sz w:val="18"/>
              </w:rPr>
              <w:t>Attribution Loss</w:t>
            </w:r>
          </w:p>
        </w:tc>
        <w:tc>
          <w:tcPr>
            <w:tcW w:type="dxa" w:w="2016"/>
            <w:vAlign w:val="center"/>
          </w:tcPr>
          <w:p>
            <w:pPr>
              <w:spacing w:after="0"/>
            </w:pPr>
            <w:r/>
            <w:r>
              <w:rPr>
                <w:rFonts w:ascii="Aptos" w:hAnsi="Aptos"/>
                <w:b w:val="0"/>
                <w:sz w:val="18"/>
              </w:rPr>
              <w:t>Lead exists but source becomes Unknown / Direct</w:t>
            </w:r>
          </w:p>
        </w:tc>
      </w:tr>
      <w:tr>
        <w:tc>
          <w:tcPr>
            <w:tcW w:type="dxa" w:w="2016"/>
            <w:vAlign w:val="center"/>
          </w:tcPr>
          <w:p>
            <w:pPr>
              <w:spacing w:after="0"/>
            </w:pPr>
            <w:r/>
            <w:r>
              <w:rPr>
                <w:rFonts w:ascii="Aptos" w:hAnsi="Aptos"/>
                <w:b w:val="0"/>
                <w:sz w:val="18"/>
              </w:rPr>
              <w:t>5</w:t>
            </w:r>
          </w:p>
        </w:tc>
        <w:tc>
          <w:tcPr>
            <w:tcW w:type="dxa" w:w="2016"/>
            <w:vAlign w:val="center"/>
          </w:tcPr>
          <w:p>
            <w:pPr>
              <w:spacing w:after="0"/>
            </w:pPr>
            <w:r/>
            <w:r>
              <w:rPr>
                <w:rFonts w:ascii="Aptos" w:hAnsi="Aptos"/>
                <w:b w:val="0"/>
                <w:sz w:val="18"/>
              </w:rPr>
              <w:t>CRM → EHR / EHR → RCM</w:t>
            </w:r>
          </w:p>
        </w:tc>
        <w:tc>
          <w:tcPr>
            <w:tcW w:type="dxa" w:w="2016"/>
            <w:vAlign w:val="center"/>
          </w:tcPr>
          <w:p>
            <w:pPr>
              <w:spacing w:after="0"/>
            </w:pPr>
            <w:r/>
            <w:r>
              <w:rPr>
                <w:rFonts w:ascii="Aptos" w:hAnsi="Aptos"/>
                <w:b w:val="0"/>
                <w:sz w:val="18"/>
              </w:rPr>
              <w:t>Opportunity or episode identity is lost or fragmented</w:t>
            </w:r>
          </w:p>
        </w:tc>
        <w:tc>
          <w:tcPr>
            <w:tcW w:type="dxa" w:w="2016"/>
            <w:vAlign w:val="center"/>
          </w:tcPr>
          <w:p>
            <w:pPr>
              <w:spacing w:after="0"/>
            </w:pPr>
            <w:r/>
            <w:r>
              <w:rPr>
                <w:rFonts w:ascii="Aptos" w:hAnsi="Aptos"/>
                <w:b w:val="0"/>
                <w:sz w:val="18"/>
              </w:rPr>
              <w:t>Outcome-Linkage Loss</w:t>
            </w:r>
          </w:p>
        </w:tc>
        <w:tc>
          <w:tcPr>
            <w:tcW w:type="dxa" w:w="2016"/>
            <w:vAlign w:val="center"/>
          </w:tcPr>
          <w:p>
            <w:pPr>
              <w:spacing w:after="0"/>
            </w:pPr>
            <w:r/>
            <w:r>
              <w:rPr>
                <w:rFonts w:ascii="Aptos" w:hAnsi="Aptos"/>
                <w:b w:val="0"/>
                <w:sz w:val="18"/>
              </w:rPr>
              <w:t>Admission or revenue cannot reliably map to the originating opportunity</w:t>
            </w:r>
          </w:p>
        </w:tc>
      </w:tr>
      <w:tr>
        <w:tc>
          <w:tcPr>
            <w:tcW w:type="dxa" w:w="2016"/>
            <w:vAlign w:val="center"/>
          </w:tcPr>
          <w:p>
            <w:pPr>
              <w:spacing w:after="0"/>
            </w:pPr>
            <w:r/>
            <w:r>
              <w:rPr>
                <w:rFonts w:ascii="Aptos" w:hAnsi="Aptos"/>
                <w:b w:val="0"/>
                <w:sz w:val="18"/>
              </w:rPr>
              <w:t>6</w:t>
            </w:r>
          </w:p>
        </w:tc>
        <w:tc>
          <w:tcPr>
            <w:tcW w:type="dxa" w:w="2016"/>
            <w:vAlign w:val="center"/>
          </w:tcPr>
          <w:p>
            <w:pPr>
              <w:spacing w:after="0"/>
            </w:pPr>
            <w:r/>
            <w:r>
              <w:rPr>
                <w:rFonts w:ascii="Aptos" w:hAnsi="Aptos"/>
                <w:b w:val="0"/>
                <w:sz w:val="18"/>
              </w:rPr>
              <w:t>RCM → Collections</w:t>
            </w:r>
          </w:p>
        </w:tc>
        <w:tc>
          <w:tcPr>
            <w:tcW w:type="dxa" w:w="2016"/>
            <w:vAlign w:val="center"/>
          </w:tcPr>
          <w:p>
            <w:pPr>
              <w:spacing w:after="0"/>
            </w:pPr>
            <w:r/>
            <w:r>
              <w:rPr>
                <w:rFonts w:ascii="Aptos" w:hAnsi="Aptos"/>
                <w:b w:val="0"/>
                <w:sz w:val="18"/>
              </w:rPr>
              <w:t>Payments cannot be associated with the originating claim / episode</w:t>
            </w:r>
          </w:p>
        </w:tc>
        <w:tc>
          <w:tcPr>
            <w:tcW w:type="dxa" w:w="2016"/>
            <w:vAlign w:val="center"/>
          </w:tcPr>
          <w:p>
            <w:pPr>
              <w:spacing w:after="0"/>
            </w:pPr>
            <w:r/>
            <w:r>
              <w:rPr>
                <w:rFonts w:ascii="Aptos" w:hAnsi="Aptos"/>
                <w:b w:val="0"/>
                <w:sz w:val="18"/>
              </w:rPr>
              <w:t>Outcome-Linkage Loss</w:t>
            </w:r>
          </w:p>
        </w:tc>
        <w:tc>
          <w:tcPr>
            <w:tcW w:type="dxa" w:w="2016"/>
            <w:vAlign w:val="center"/>
          </w:tcPr>
          <w:p>
            <w:pPr>
              <w:spacing w:after="0"/>
            </w:pPr>
            <w:r/>
            <w:r>
              <w:rPr>
                <w:rFonts w:ascii="Aptos" w:hAnsi="Aptos"/>
                <w:b w:val="0"/>
                <w:sz w:val="18"/>
              </w:rPr>
              <w:t>Collected cash becomes unattributed to acquisition source</w:t>
            </w:r>
          </w:p>
        </w:tc>
      </w:tr>
    </w:tbl>
    <w:p/>
    <w:p>
      <w:r>
        <w:t>Additional production-level failure scenarios are outside V1 unless required for the synthetic dataset or analysis to function correctly.</w:t>
      </w:r>
    </w:p>
    <w:p>
      <w:pPr>
        <w:pStyle w:val="Heading1"/>
      </w:pPr>
      <w:r>
        <w:t>13. System-of-Record Hierarchy</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8"/>
              </w:rPr>
              <w:t>Business Question</w:t>
            </w:r>
          </w:p>
        </w:tc>
        <w:tc>
          <w:tcPr>
            <w:tcW w:type="dxa" w:w="5040"/>
            <w:vAlign w:val="center"/>
            <w:shd w:fill="D9EAF7"/>
          </w:tcPr>
          <w:p>
            <w:pPr>
              <w:spacing w:after="0"/>
            </w:pPr>
            <w:r/>
            <w:r>
              <w:rPr>
                <w:rFonts w:ascii="Aptos" w:hAnsi="Aptos"/>
                <w:b/>
                <w:sz w:val="18"/>
              </w:rPr>
              <w:t>Preferred System of Record</w:t>
            </w:r>
          </w:p>
        </w:tc>
      </w:tr>
      <w:tr>
        <w:tc>
          <w:tcPr>
            <w:tcW w:type="dxa" w:w="5040"/>
            <w:vAlign w:val="center"/>
          </w:tcPr>
          <w:p>
            <w:pPr>
              <w:spacing w:after="0"/>
            </w:pPr>
            <w:r/>
            <w:r>
              <w:rPr>
                <w:rFonts w:ascii="Aptos" w:hAnsi="Aptos"/>
                <w:b w:val="0"/>
                <w:sz w:val="18"/>
              </w:rPr>
              <w:t>What advertising activity occurred?</w:t>
            </w:r>
          </w:p>
        </w:tc>
        <w:tc>
          <w:tcPr>
            <w:tcW w:type="dxa" w:w="5040"/>
            <w:vAlign w:val="center"/>
          </w:tcPr>
          <w:p>
            <w:pPr>
              <w:spacing w:after="0"/>
            </w:pPr>
            <w:r/>
            <w:r>
              <w:rPr>
                <w:rFonts w:ascii="Aptos" w:hAnsi="Aptos"/>
                <w:b w:val="0"/>
                <w:sz w:val="18"/>
              </w:rPr>
              <w:t>Advertising Platform</w:t>
            </w:r>
          </w:p>
        </w:tc>
      </w:tr>
      <w:tr>
        <w:tc>
          <w:tcPr>
            <w:tcW w:type="dxa" w:w="5040"/>
            <w:vAlign w:val="center"/>
          </w:tcPr>
          <w:p>
            <w:pPr>
              <w:spacing w:after="0"/>
            </w:pPr>
            <w:r/>
            <w:r>
              <w:rPr>
                <w:rFonts w:ascii="Aptos" w:hAnsi="Aptos"/>
                <w:b w:val="0"/>
                <w:sz w:val="18"/>
              </w:rPr>
              <w:t>What organic search activity occurred?</w:t>
            </w:r>
          </w:p>
        </w:tc>
        <w:tc>
          <w:tcPr>
            <w:tcW w:type="dxa" w:w="5040"/>
            <w:vAlign w:val="center"/>
          </w:tcPr>
          <w:p>
            <w:pPr>
              <w:spacing w:after="0"/>
            </w:pPr>
            <w:r/>
            <w:r>
              <w:rPr>
                <w:rFonts w:ascii="Aptos" w:hAnsi="Aptos"/>
                <w:b w:val="0"/>
                <w:sz w:val="18"/>
              </w:rPr>
              <w:t>Google Search Console / Analytics</w:t>
            </w:r>
          </w:p>
        </w:tc>
      </w:tr>
      <w:tr>
        <w:tc>
          <w:tcPr>
            <w:tcW w:type="dxa" w:w="5040"/>
            <w:vAlign w:val="center"/>
          </w:tcPr>
          <w:p>
            <w:pPr>
              <w:spacing w:after="0"/>
            </w:pPr>
            <w:r/>
            <w:r>
              <w:rPr>
                <w:rFonts w:ascii="Aptos" w:hAnsi="Aptos"/>
                <w:b w:val="0"/>
                <w:sz w:val="18"/>
              </w:rPr>
              <w:t>Did a real inquiry enter the business?</w:t>
            </w:r>
          </w:p>
        </w:tc>
        <w:tc>
          <w:tcPr>
            <w:tcW w:type="dxa" w:w="5040"/>
            <w:vAlign w:val="center"/>
          </w:tcPr>
          <w:p>
            <w:pPr>
              <w:spacing w:after="0"/>
            </w:pPr>
            <w:r/>
            <w:r>
              <w:rPr>
                <w:rFonts w:ascii="Aptos" w:hAnsi="Aptos"/>
                <w:b w:val="0"/>
                <w:sz w:val="18"/>
              </w:rPr>
              <w:t>CRM</w:t>
            </w:r>
          </w:p>
        </w:tc>
      </w:tr>
      <w:tr>
        <w:tc>
          <w:tcPr>
            <w:tcW w:type="dxa" w:w="5040"/>
            <w:vAlign w:val="center"/>
          </w:tcPr>
          <w:p>
            <w:pPr>
              <w:spacing w:after="0"/>
            </w:pPr>
            <w:r/>
            <w:r>
              <w:rPr>
                <w:rFonts w:ascii="Aptos" w:hAnsi="Aptos"/>
                <w:b w:val="0"/>
                <w:sz w:val="18"/>
              </w:rPr>
              <w:t>Which inquiries belong to the same Patient Opportunity?</w:t>
            </w:r>
          </w:p>
        </w:tc>
        <w:tc>
          <w:tcPr>
            <w:tcW w:type="dxa" w:w="5040"/>
            <w:vAlign w:val="center"/>
          </w:tcPr>
          <w:p>
            <w:pPr>
              <w:spacing w:after="0"/>
            </w:pPr>
            <w:r/>
            <w:r>
              <w:rPr>
                <w:rFonts w:ascii="Aptos" w:hAnsi="Aptos"/>
                <w:b w:val="0"/>
                <w:sz w:val="18"/>
              </w:rPr>
              <w:t>CRM identity-resolution record</w:t>
            </w:r>
          </w:p>
        </w:tc>
      </w:tr>
      <w:tr>
        <w:tc>
          <w:tcPr>
            <w:tcW w:type="dxa" w:w="5040"/>
            <w:vAlign w:val="center"/>
          </w:tcPr>
          <w:p>
            <w:pPr>
              <w:spacing w:after="0"/>
            </w:pPr>
            <w:r/>
            <w:r>
              <w:rPr>
                <w:rFonts w:ascii="Aptos" w:hAnsi="Aptos"/>
                <w:b w:val="0"/>
                <w:sz w:val="18"/>
              </w:rPr>
              <w:t>Was a VOB performed?</w:t>
            </w:r>
          </w:p>
        </w:tc>
        <w:tc>
          <w:tcPr>
            <w:tcW w:type="dxa" w:w="5040"/>
            <w:vAlign w:val="center"/>
          </w:tcPr>
          <w:p>
            <w:pPr>
              <w:spacing w:after="0"/>
            </w:pPr>
            <w:r/>
            <w:r>
              <w:rPr>
                <w:rFonts w:ascii="Aptos" w:hAnsi="Aptos"/>
                <w:b w:val="0"/>
                <w:sz w:val="18"/>
              </w:rPr>
              <w:t>CRM / Admissions Workflow</w:t>
            </w:r>
          </w:p>
        </w:tc>
      </w:tr>
      <w:tr>
        <w:tc>
          <w:tcPr>
            <w:tcW w:type="dxa" w:w="5040"/>
            <w:vAlign w:val="center"/>
          </w:tcPr>
          <w:p>
            <w:pPr>
              <w:spacing w:after="0"/>
            </w:pPr>
            <w:r/>
            <w:r>
              <w:rPr>
                <w:rFonts w:ascii="Aptos" w:hAnsi="Aptos"/>
                <w:b w:val="0"/>
                <w:sz w:val="18"/>
              </w:rPr>
              <w:t>Who referred the opportunity?</w:t>
            </w:r>
          </w:p>
        </w:tc>
        <w:tc>
          <w:tcPr>
            <w:tcW w:type="dxa" w:w="5040"/>
            <w:vAlign w:val="center"/>
          </w:tcPr>
          <w:p>
            <w:pPr>
              <w:spacing w:after="0"/>
            </w:pPr>
            <w:r/>
            <w:r>
              <w:rPr>
                <w:rFonts w:ascii="Aptos" w:hAnsi="Aptos"/>
                <w:b w:val="0"/>
                <w:sz w:val="18"/>
              </w:rPr>
              <w:t>CRM Professional Referral Record</w:t>
            </w:r>
          </w:p>
        </w:tc>
      </w:tr>
      <w:tr>
        <w:tc>
          <w:tcPr>
            <w:tcW w:type="dxa" w:w="5040"/>
            <w:vAlign w:val="center"/>
          </w:tcPr>
          <w:p>
            <w:pPr>
              <w:spacing w:after="0"/>
            </w:pPr>
            <w:r/>
            <w:r>
              <w:rPr>
                <w:rFonts w:ascii="Aptos" w:hAnsi="Aptos"/>
                <w:b w:val="0"/>
                <w:sz w:val="18"/>
              </w:rPr>
              <w:t>Did the patient admit?</w:t>
            </w:r>
          </w:p>
        </w:tc>
        <w:tc>
          <w:tcPr>
            <w:tcW w:type="dxa" w:w="5040"/>
            <w:vAlign w:val="center"/>
          </w:tcPr>
          <w:p>
            <w:pPr>
              <w:spacing w:after="0"/>
            </w:pPr>
            <w:r/>
            <w:r>
              <w:rPr>
                <w:rFonts w:ascii="Aptos" w:hAnsi="Aptos"/>
                <w:b w:val="0"/>
                <w:sz w:val="18"/>
              </w:rPr>
              <w:t>EHR</w:t>
            </w:r>
          </w:p>
        </w:tc>
      </w:tr>
      <w:tr>
        <w:tc>
          <w:tcPr>
            <w:tcW w:type="dxa" w:w="5040"/>
            <w:vAlign w:val="center"/>
          </w:tcPr>
          <w:p>
            <w:pPr>
              <w:spacing w:after="0"/>
            </w:pPr>
            <w:r/>
            <w:r>
              <w:rPr>
                <w:rFonts w:ascii="Aptos" w:hAnsi="Aptos"/>
                <w:b w:val="0"/>
                <w:sz w:val="18"/>
              </w:rPr>
              <w:t>What level of care did the patient receive?</w:t>
            </w:r>
          </w:p>
        </w:tc>
        <w:tc>
          <w:tcPr>
            <w:tcW w:type="dxa" w:w="5040"/>
            <w:vAlign w:val="center"/>
          </w:tcPr>
          <w:p>
            <w:pPr>
              <w:spacing w:after="0"/>
            </w:pPr>
            <w:r/>
            <w:r>
              <w:rPr>
                <w:rFonts w:ascii="Aptos" w:hAnsi="Aptos"/>
                <w:b w:val="0"/>
                <w:sz w:val="18"/>
              </w:rPr>
              <w:t>EHR</w:t>
            </w:r>
          </w:p>
        </w:tc>
      </w:tr>
      <w:tr>
        <w:tc>
          <w:tcPr>
            <w:tcW w:type="dxa" w:w="5040"/>
            <w:vAlign w:val="center"/>
          </w:tcPr>
          <w:p>
            <w:pPr>
              <w:spacing w:after="0"/>
            </w:pPr>
            <w:r/>
            <w:r>
              <w:rPr>
                <w:rFonts w:ascii="Aptos" w:hAnsi="Aptos"/>
                <w:b w:val="0"/>
                <w:sz w:val="18"/>
              </w:rPr>
              <w:t>What was billed?</w:t>
            </w:r>
          </w:p>
        </w:tc>
        <w:tc>
          <w:tcPr>
            <w:tcW w:type="dxa" w:w="5040"/>
            <w:vAlign w:val="center"/>
          </w:tcPr>
          <w:p>
            <w:pPr>
              <w:spacing w:after="0"/>
            </w:pPr>
            <w:r/>
            <w:r>
              <w:rPr>
                <w:rFonts w:ascii="Aptos" w:hAnsi="Aptos"/>
                <w:b w:val="0"/>
                <w:sz w:val="18"/>
              </w:rPr>
              <w:t>RCM</w:t>
            </w:r>
          </w:p>
        </w:tc>
      </w:tr>
      <w:tr>
        <w:tc>
          <w:tcPr>
            <w:tcW w:type="dxa" w:w="5040"/>
            <w:vAlign w:val="center"/>
          </w:tcPr>
          <w:p>
            <w:pPr>
              <w:spacing w:after="0"/>
            </w:pPr>
            <w:r/>
            <w:r>
              <w:rPr>
                <w:rFonts w:ascii="Aptos" w:hAnsi="Aptos"/>
                <w:b w:val="0"/>
                <w:sz w:val="18"/>
              </w:rPr>
              <w:t>What was paid?</w:t>
            </w:r>
          </w:p>
        </w:tc>
        <w:tc>
          <w:tcPr>
            <w:tcW w:type="dxa" w:w="5040"/>
            <w:vAlign w:val="center"/>
          </w:tcPr>
          <w:p>
            <w:pPr>
              <w:spacing w:after="0"/>
            </w:pPr>
            <w:r/>
            <w:r>
              <w:rPr>
                <w:rFonts w:ascii="Aptos" w:hAnsi="Aptos"/>
                <w:b w:val="0"/>
                <w:sz w:val="18"/>
              </w:rPr>
              <w:t>RCM / Remittance</w:t>
            </w:r>
          </w:p>
        </w:tc>
      </w:tr>
      <w:tr>
        <w:tc>
          <w:tcPr>
            <w:tcW w:type="dxa" w:w="5040"/>
            <w:vAlign w:val="center"/>
          </w:tcPr>
          <w:p>
            <w:pPr>
              <w:spacing w:after="0"/>
            </w:pPr>
            <w:r/>
            <w:r>
              <w:rPr>
                <w:rFonts w:ascii="Aptos" w:hAnsi="Aptos"/>
                <w:b w:val="0"/>
                <w:sz w:val="18"/>
              </w:rPr>
              <w:t>What cash was actually collected?</w:t>
            </w:r>
          </w:p>
        </w:tc>
        <w:tc>
          <w:tcPr>
            <w:tcW w:type="dxa" w:w="5040"/>
            <w:vAlign w:val="center"/>
          </w:tcPr>
          <w:p>
            <w:pPr>
              <w:spacing w:after="0"/>
            </w:pPr>
            <w:r/>
            <w:r>
              <w:rPr>
                <w:rFonts w:ascii="Aptos" w:hAnsi="Aptos"/>
                <w:b w:val="0"/>
                <w:sz w:val="18"/>
              </w:rPr>
              <w:t>Financial / Collections Record</w:t>
            </w:r>
          </w:p>
        </w:tc>
      </w:tr>
    </w:tbl>
    <w:p/>
    <w:p>
      <w:r>
        <w:t>The system closest to the actual operational event is preferred over a downstream estimate or upstream proxy.</w:t>
      </w:r>
    </w:p>
    <w:p>
      <w:pPr>
        <w:pStyle w:val="Heading2"/>
      </w:pPr>
      <w:r>
        <w:t>13.1 Evidence Provenance and Trust</w:t>
      </w:r>
    </w:p>
    <w:p>
      <w:r>
        <w:t>System ownership and evidence confidence are separate dimensions. A field can reside in the correct system of record and still differ in reliability depending on how it was produced.</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8"/>
              </w:rPr>
              <w:t>Evidence Class</w:t>
            </w:r>
          </w:p>
        </w:tc>
        <w:tc>
          <w:tcPr>
            <w:tcW w:type="dxa" w:w="5040"/>
            <w:vAlign w:val="center"/>
            <w:shd w:fill="D9EAF7"/>
          </w:tcPr>
          <w:p>
            <w:pPr>
              <w:spacing w:after="0"/>
            </w:pPr>
            <w:r/>
            <w:r>
              <w:rPr>
                <w:rFonts w:ascii="Aptos" w:hAnsi="Aptos"/>
                <w:b/>
                <w:sz w:val="18"/>
              </w:rPr>
              <w:t>V1 Interpretation</w:t>
            </w:r>
          </w:p>
        </w:tc>
      </w:tr>
      <w:tr>
        <w:tc>
          <w:tcPr>
            <w:tcW w:type="dxa" w:w="5040"/>
            <w:vAlign w:val="center"/>
          </w:tcPr>
          <w:p>
            <w:pPr>
              <w:spacing w:after="0"/>
            </w:pPr>
            <w:r/>
            <w:r>
              <w:rPr>
                <w:rFonts w:ascii="Aptos" w:hAnsi="Aptos"/>
                <w:b w:val="0"/>
                <w:sz w:val="18"/>
              </w:rPr>
              <w:t>System-observed</w:t>
            </w:r>
          </w:p>
        </w:tc>
        <w:tc>
          <w:tcPr>
            <w:tcW w:type="dxa" w:w="5040"/>
            <w:vAlign w:val="center"/>
          </w:tcPr>
          <w:p>
            <w:pPr>
              <w:spacing w:after="0"/>
            </w:pPr>
            <w:r/>
            <w:r>
              <w:rPr>
                <w:rFonts w:ascii="Aptos" w:hAnsi="Aptos"/>
                <w:b w:val="0"/>
                <w:sz w:val="18"/>
              </w:rPr>
              <w:t>Mechanically recorded event or system timestamp; generally strongest for proving that an event occurred.</w:t>
            </w:r>
          </w:p>
        </w:tc>
      </w:tr>
      <w:tr>
        <w:tc>
          <w:tcPr>
            <w:tcW w:type="dxa" w:w="5040"/>
            <w:vAlign w:val="center"/>
          </w:tcPr>
          <w:p>
            <w:pPr>
              <w:spacing w:after="0"/>
            </w:pPr>
            <w:r/>
            <w:r>
              <w:rPr>
                <w:rFonts w:ascii="Aptos" w:hAnsi="Aptos"/>
                <w:b w:val="0"/>
                <w:sz w:val="18"/>
              </w:rPr>
              <w:t>Human-entered</w:t>
            </w:r>
          </w:p>
        </w:tc>
        <w:tc>
          <w:tcPr>
            <w:tcW w:type="dxa" w:w="5040"/>
            <w:vAlign w:val="center"/>
          </w:tcPr>
          <w:p>
            <w:pPr>
              <w:spacing w:after="0"/>
            </w:pPr>
            <w:r/>
            <w:r>
              <w:rPr>
                <w:rFonts w:ascii="Aptos" w:hAnsi="Aptos"/>
                <w:b w:val="0"/>
                <w:sz w:val="18"/>
              </w:rPr>
              <w:t>Operationally valid but subject to workflow, interpretation, omission, and data-entry error.</w:t>
            </w:r>
          </w:p>
        </w:tc>
      </w:tr>
      <w:tr>
        <w:tc>
          <w:tcPr>
            <w:tcW w:type="dxa" w:w="5040"/>
            <w:vAlign w:val="center"/>
          </w:tcPr>
          <w:p>
            <w:pPr>
              <w:spacing w:after="0"/>
            </w:pPr>
            <w:r/>
            <w:r>
              <w:rPr>
                <w:rFonts w:ascii="Aptos" w:hAnsi="Aptos"/>
                <w:b w:val="0"/>
                <w:sz w:val="18"/>
              </w:rPr>
              <w:t>AI-derived / Inferred</w:t>
            </w:r>
          </w:p>
        </w:tc>
        <w:tc>
          <w:tcPr>
            <w:tcW w:type="dxa" w:w="5040"/>
            <w:vAlign w:val="center"/>
          </w:tcPr>
          <w:p>
            <w:pPr>
              <w:spacing w:after="0"/>
            </w:pPr>
            <w:r/>
            <w:r>
              <w:rPr>
                <w:rFonts w:ascii="Aptos" w:hAnsi="Aptos"/>
                <w:b w:val="0"/>
                <w:sz w:val="18"/>
              </w:rPr>
              <w:t>Analytical interpretation or match suggestion; useful for reasoning but never treated as source truth.</w:t>
            </w:r>
          </w:p>
        </w:tc>
      </w:tr>
    </w:tbl>
    <w:p/>
    <w:p>
      <w:r>
        <w:t>Harbor Ridge also preserves the distinction between hard-gate dispositions and softer behavioral or judgment-based classifications. Detailed evidence-provenance and trust-tier rules remain documented in docs/source-system-architecture-notes.md; this map carries forward the governing principle without duplicating that full framework.</w:t>
      </w:r>
    </w:p>
    <w:p>
      <w:pPr>
        <w:pStyle w:val="Heading1"/>
      </w:pPr>
      <w:r>
        <w:t>14. Analytical Layer</w:t>
      </w:r>
    </w:p>
    <w:p>
      <w:r>
        <w:t>Harbor Ridge V1 will normalize selected source-system data into an analytical dataset. The analytical layer is not itself a source system.</w:t>
      </w:r>
    </w:p>
    <w:p>
      <w:pPr>
        <w:pStyle w:val="ListBullet"/>
        <w:spacing w:after="40"/>
      </w:pPr>
      <w:r>
        <w:t>Which acquisition channels generate viable VOBs?</w:t>
      </w:r>
    </w:p>
    <w:p>
      <w:pPr>
        <w:pStyle w:val="ListBullet"/>
        <w:spacing w:after="40"/>
      </w:pPr>
      <w:r>
        <w:t>Which campaigns generate admissions rather than platform conversions?</w:t>
      </w:r>
    </w:p>
    <w:p>
      <w:pPr>
        <w:pStyle w:val="ListBullet"/>
        <w:spacing w:after="40"/>
      </w:pPr>
      <w:r>
        <w:t>Which professional accounts generate legitimate opportunities?</w:t>
      </w:r>
    </w:p>
    <w:p>
      <w:pPr>
        <w:pStyle w:val="ListBullet"/>
        <w:spacing w:after="40"/>
      </w:pPr>
      <w:r>
        <w:t>Where are duplicate inquiries fragmenting a Patient Opportunity?</w:t>
      </w:r>
    </w:p>
    <w:p>
      <w:pPr>
        <w:pStyle w:val="ListBullet"/>
        <w:spacing w:after="40"/>
      </w:pPr>
      <w:r>
        <w:t>Where are inquiries being lost between marketing and admissions?</w:t>
      </w:r>
    </w:p>
    <w:p>
      <w:pPr>
        <w:pStyle w:val="ListBullet"/>
        <w:spacing w:after="40"/>
      </w:pPr>
      <w:r>
        <w:t>Where are admissions being lost between VOB and physical intake?</w:t>
      </w:r>
    </w:p>
    <w:p>
      <w:pPr>
        <w:pStyle w:val="ListBullet"/>
        <w:spacing w:after="40"/>
      </w:pPr>
      <w:r>
        <w:t>Which clinical episodes generate mature collected revenue?</w:t>
      </w:r>
    </w:p>
    <w:p>
      <w:pPr>
        <w:pStyle w:val="ListBullet"/>
        <w:spacing w:after="40"/>
      </w:pPr>
      <w:r>
        <w:t>Where has the Golden Thread degraded, and by which degradation class?</w:t>
      </w:r>
    </w:p>
    <w:p>
      <w:pPr>
        <w:pStyle w:val="ListBullet"/>
        <w:spacing w:after="40"/>
      </w:pPr>
      <w:r>
        <w:t>Which operational bottleneck best explains a change in census or financial performance?</w:t>
      </w:r>
    </w:p>
    <w:p>
      <w:r>
        <w:t>The AI layer reasons over normalized evidence rather than replacing the underlying source systems or promoting inferred evidence to source truth.</w:t>
      </w:r>
    </w:p>
    <w:p>
      <w:pPr>
        <w:pStyle w:val="Heading1"/>
      </w:pPr>
      <w:r>
        <w:t>15. V1 Scope Boundary</w:t>
      </w:r>
    </w:p>
    <w:p>
      <w:r>
        <w:t>Harbor Ridge V1 is an executive decision-support portfolio project. It is not intended to reproduce:</w:t>
      </w:r>
    </w:p>
    <w:p>
      <w:pPr>
        <w:pStyle w:val="ListBullet"/>
        <w:spacing w:after="40"/>
      </w:pPr>
      <w:r>
        <w:t>A production EHR</w:t>
      </w:r>
    </w:p>
    <w:p>
      <w:pPr>
        <w:pStyle w:val="ListBullet"/>
        <w:spacing w:after="40"/>
      </w:pPr>
      <w:r>
        <w:t>A production CRM</w:t>
      </w:r>
    </w:p>
    <w:p>
      <w:pPr>
        <w:pStyle w:val="ListBullet"/>
        <w:spacing w:after="40"/>
      </w:pPr>
      <w:r>
        <w:t>A medical billing clearinghouse</w:t>
      </w:r>
    </w:p>
    <w:p>
      <w:pPr>
        <w:pStyle w:val="ListBullet"/>
        <w:spacing w:after="40"/>
      </w:pPr>
      <w:r>
        <w:t>A complete healthcare data warehouse</w:t>
      </w:r>
    </w:p>
    <w:p>
      <w:pPr>
        <w:pStyle w:val="ListBullet"/>
        <w:spacing w:after="40"/>
      </w:pPr>
      <w:r>
        <w:t>A production patient identity-resolution engine</w:t>
      </w:r>
    </w:p>
    <w:p>
      <w:pPr>
        <w:pStyle w:val="ListBullet"/>
        <w:spacing w:after="40"/>
      </w:pPr>
      <w:r>
        <w:t>A production HIPAA infrastructure</w:t>
      </w:r>
    </w:p>
    <w:p>
      <w:pPr>
        <w:pStyle w:val="ListBullet"/>
        <w:spacing w:after="40"/>
      </w:pPr>
      <w:r>
        <w:t>A full clinical decision-support system</w:t>
      </w:r>
    </w:p>
    <w:p>
      <w:r>
        <w:t>V1 contains only enough architecture and synthetic data to demonstrate:</w:t>
      </w:r>
    </w:p>
    <w:p>
      <w:pPr>
        <w:pStyle w:val="ListNumber"/>
        <w:spacing w:after="40"/>
      </w:pPr>
      <w:r>
        <w:t>Source-system lineage</w:t>
      </w:r>
    </w:p>
    <w:p>
      <w:pPr>
        <w:pStyle w:val="ListNumber"/>
        <w:spacing w:after="40"/>
      </w:pPr>
      <w:r>
        <w:t>Acquisition attribution</w:t>
      </w:r>
    </w:p>
    <w:p>
      <w:pPr>
        <w:pStyle w:val="ListNumber"/>
        <w:spacing w:after="40"/>
      </w:pPr>
      <w:r>
        <w:t>Patient-opportunity identity resolution</w:t>
      </w:r>
    </w:p>
    <w:p>
      <w:pPr>
        <w:pStyle w:val="ListNumber"/>
        <w:spacing w:after="40"/>
      </w:pPr>
      <w:r>
        <w:t>Funnel reconstruction</w:t>
      </w:r>
    </w:p>
    <w:p>
      <w:pPr>
        <w:pStyle w:val="ListNumber"/>
        <w:spacing w:after="40"/>
      </w:pPr>
      <w:r>
        <w:t>Data-quality degradation detection</w:t>
      </w:r>
    </w:p>
    <w:p>
      <w:pPr>
        <w:pStyle w:val="ListNumber"/>
        <w:spacing w:after="40"/>
      </w:pPr>
      <w:r>
        <w:t>Operational diagnosis</w:t>
      </w:r>
    </w:p>
    <w:p>
      <w:pPr>
        <w:pStyle w:val="ListNumber"/>
        <w:spacing w:after="40"/>
      </w:pPr>
      <w:r>
        <w:t>Revenue attribution</w:t>
      </w:r>
    </w:p>
    <w:p>
      <w:pPr>
        <w:pStyle w:val="ListNumber"/>
        <w:spacing w:after="40"/>
      </w:pPr>
      <w:r>
        <w:t>AI-assisted executive reasoning</w:t>
      </w:r>
    </w:p>
    <w:p>
      <w:r>
        <w:t>Anything beyond these requirements is deferred unless necessary for the V1 demonstration.</w:t>
      </w:r>
    </w:p>
    <w:p>
      <w:pPr>
        <w:pStyle w:val="Heading1"/>
      </w:pPr>
      <w:r>
        <w:t>16. Definition of Success</w:t>
      </w:r>
    </w:p>
    <w:p>
      <w:r>
        <w:t>The Source-System Map is successful when a human reviewer or LLM can understand:</w:t>
      </w:r>
    </w:p>
    <w:p>
      <w:pPr>
        <w:spacing w:after="40"/>
      </w:pPr>
      <w:r>
        <w:t>1.  Where Harbor Ridge data originates.</w:t>
      </w:r>
    </w:p>
    <w:p>
      <w:pPr>
        <w:spacing w:after="40"/>
      </w:pPr>
      <w:r>
        <w:t>2.  How one or more inquiries resolve to a Patient Opportunity.</w:t>
      </w:r>
    </w:p>
    <w:p>
      <w:pPr>
        <w:spacing w:after="40"/>
      </w:pPr>
      <w:r>
        <w:t>3.  How acquisition evidence and arrival mechanism can coexist.</w:t>
      </w:r>
    </w:p>
    <w:p>
      <w:pPr>
        <w:spacing w:after="40"/>
      </w:pPr>
      <w:r>
        <w:t>4.  How an opportunity becomes an admission.</w:t>
      </w:r>
    </w:p>
    <w:p>
      <w:pPr>
        <w:spacing w:after="40"/>
      </w:pPr>
      <w:r>
        <w:t>5.  How an admission becomes a clinical episode.</w:t>
      </w:r>
    </w:p>
    <w:p>
      <w:pPr>
        <w:spacing w:after="40"/>
      </w:pPr>
      <w:r>
        <w:t>6.  How an episode becomes one or more claims.</w:t>
      </w:r>
    </w:p>
    <w:p>
      <w:pPr>
        <w:spacing w:after="40"/>
      </w:pPr>
      <w:r>
        <w:t>7.  How claims become collected cash.</w:t>
      </w:r>
    </w:p>
    <w:p>
      <w:pPr>
        <w:spacing w:after="40"/>
      </w:pPr>
      <w:r>
        <w:t>8.  Which identifiers connect those systems.</w:t>
      </w:r>
    </w:p>
    <w:p>
      <w:pPr>
        <w:spacing w:after="40"/>
      </w:pPr>
      <w:r>
        <w:t>9.  How Observability, Identity, Attribution, and Outcome-Linkage Loss differ.</w:t>
      </w:r>
    </w:p>
    <w:p>
      <w:pPr>
        <w:spacing w:after="40"/>
      </w:pPr>
      <w:r>
        <w:t>10.  Which system should be trusted for each major business question.</w:t>
      </w:r>
    </w:p>
    <w:p>
      <w:pPr>
        <w:spacing w:after="40"/>
      </w:pPr>
      <w:r>
        <w:t>11.  How evidence provenance affects confidence.</w:t>
      </w:r>
    </w:p>
    <w:p>
      <w:pPr>
        <w:spacing w:after="40"/>
      </w:pPr>
      <w:r>
        <w:t>12.  How the resulting evidence supports executive decision-making.</w:t>
      </w:r>
    </w:p>
    <w:p>
      <w:r>
        <w:t>Once these relationships are sufficiently represented, the Source-System Map is considered complete for Harbor Ridge V1.</w:t>
      </w:r>
    </w:p>
    <w:sectPr w:rsidR="00FC693F" w:rsidRPr="0006063C" w:rsidSect="00034616">
      <w:headerReference w:type="default" r:id="rId9"/>
      <w:footerReference w:type="default" r:id="rId10"/>
      <w:pgSz w:w="12240" w:h="15840"/>
      <w:pgMar w:top="936"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Healthcare Executive Operating System  |  Harbor Ridge V1</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HEOS  •  Harbor Ridge V1  •  Source-System Map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Ridge V1 Source-System Map</dc:title>
  <dc:subject>Healthcare Executive Operating System (HEOS)</dc:subject>
  <dc:creator>python-docx</dc:creator>
  <cp:keywords/>
  <dc:description>Final approved Harbor Ridge V1 Source-System Map.</dc:description>
  <cp:lastModifiedBy/>
  <cp:revision>1</cp:revision>
  <dcterms:created xsi:type="dcterms:W3CDTF">2013-12-23T23:15:00Z</dcterms:created>
  <dcterms:modified xsi:type="dcterms:W3CDTF">2013-12-23T23:15:00Z</dcterms:modified>
  <cp:category/>
</cp:coreProperties>
</file>