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HEOS Evidence Engine — Product Development Roadmap</w:t>
      </w:r>
    </w:p>
    <w:p>
      <w:pPr>
        <w:spacing w:after="100"/>
      </w:pPr>
      <w:r>
        <w:rPr>
          <w:i/>
          <w:iCs/>
          <w:sz w:val="26"/>
          <w:szCs w:val="26"/>
        </w:rPr>
        <w:t xml:space="preserve">From Validated Portfolio Prototype to Organizational Capability</w:t>
      </w:r>
    </w:p>
    <w:p>
      <w:pPr>
        <w:spacing w:after="280"/>
      </w:pPr>
      <w:r>
        <w:rPr>
          <w:b/>
          <w:bCs/>
          <w:sz w:val="22"/>
          <w:szCs w:val="22"/>
        </w:rPr>
        <w:t xml:space="preserve">STATUS: ACCUMULATING / NON-GATING  —  Working Document, Not Yet Frozen</w:t>
      </w:r>
    </w:p>
    <w:p>
      <w:pPr>
        <w:spacing w:after="200"/>
        <w:jc w:val="left"/>
      </w:pPr>
      <w:r>
        <w:rPr>
          <w:i w:val="false"/>
          <w:iCs w:val="false"/>
        </w:rPr>
        <w:t xml:space="preserve">This document plays a role analogous to a "Suggestions for Future Research" section in academic work, in product-development terms. Its purpose is to capture what building, testing, integrating, deploying, and auditing HEOS V1 reveals, and to translate those lessons into a disciplined account of what would need to happen if the HEOS Evidence Engine were adapted from this portfolio prototype into a useful capability inside a real healthcare organization.</w:t>
      </w:r>
    </w:p>
    <w:p>
      <w:pPr>
        <w:spacing w:after="200"/>
        <w:jc w:val="left"/>
      </w:pPr>
      <w:r>
        <w:rPr>
          <w:b/>
          <w:bCs/>
          <w:i w:val="false"/>
          <w:iCs w:val="false"/>
        </w:rPr>
        <w:t xml:space="preserve">Governing lifecycle: </w:t>
      </w:r>
      <w:r>
        <w:rPr>
          <w:i w:val="false"/>
          <w:iCs w:val="false"/>
        </w:rPr>
        <w:t xml:space="preserve">C → H → V1 PASS/FREEZE → PUBLIC LAUNCH → Product Development Roadmap final synthesis/freeze → PROJECT CLOSEOUT. This document's own final freeze — not Public Launch — is the project's last substantive act.</w:t>
      </w:r>
    </w:p>
    <w:p>
      <w:pPr>
        <w:pStyle w:val="Heading1"/>
        <w:spacing w:after="180" w:before="360"/>
      </w:pPr>
      <w:r>
        <w:t xml:space="preserve">Governance</w:t>
      </w:r>
    </w:p>
    <w:p>
      <w:pPr>
        <w:pStyle w:val="ListParagraph"/>
        <w:numPr>
          <w:ilvl w:val="0"/>
          <w:numId w:val="2"/>
        </w:numPr>
        <w:spacing w:after="120"/>
      </w:pPr>
      <w:r>
        <w:t xml:space="preserve">Status: </w:t>
      </w:r>
      <w:r>
        <w:rPr>
          <w:b/>
          <w:bCs/>
        </w:rPr>
        <w:t xml:space="preserve">ACCUMULATING / NON-GATING</w:t>
      </w:r>
      <w:r>
        <w:t xml:space="preserve">. This is a living working document throughout the remainder of Workstreams C and H.</w:t>
      </w:r>
    </w:p>
    <w:p>
      <w:pPr>
        <w:pStyle w:val="ListParagraph"/>
        <w:numPr>
          <w:ilvl w:val="0"/>
          <w:numId w:val="2"/>
        </w:numPr>
        <w:spacing w:after="120"/>
      </w:pPr>
      <w:r>
        <w:t xml:space="preserve">This document does not affect C1, C2, or C3 acceptance, does not affect Workstream H acceptance, and does not affect the Public Launch decision. It is not part of the launch-critical chain.</w:t>
      </w:r>
    </w:p>
    <w:p>
      <w:pPr>
        <w:pStyle w:val="ListParagraph"/>
        <w:numPr>
          <w:ilvl w:val="0"/>
          <w:numId w:val="2"/>
        </w:numPr>
        <w:spacing w:after="120"/>
      </w:pPr>
      <w:r>
        <w:t xml:space="preserve">Captured ideas are candidates, not commitments. Nothing recorded here is authorized work.</w:t>
      </w:r>
    </w:p>
    <w:p>
      <w:pPr>
        <w:pStyle w:val="ListParagraph"/>
        <w:numPr>
          <w:ilvl w:val="0"/>
          <w:numId w:val="2"/>
        </w:numPr>
        <w:spacing w:after="120"/>
      </w:pPr>
      <w:r>
        <w:t xml:space="preserve">Inclusion in this document does not mean an item belongs in a future version. That judgment is explicitly deferred.</w:t>
      </w:r>
    </w:p>
    <w:p>
      <w:pPr>
        <w:pStyle w:val="ListParagraph"/>
        <w:numPr>
          <w:ilvl w:val="0"/>
          <w:numId w:val="2"/>
        </w:numPr>
        <w:spacing w:after="120"/>
      </w:pPr>
      <w:r>
        <w:t xml:space="preserve">Final prioritization, reconciliation, and freeze occur only after V1 has passed Workstream H, been frozen, and been publicly launched.</w:t>
      </w:r>
    </w:p>
    <w:p>
      <w:pPr>
        <w:pStyle w:val="ListParagraph"/>
        <w:numPr>
          <w:ilvl w:val="0"/>
          <w:numId w:val="2"/>
        </w:numPr>
        <w:spacing w:after="120"/>
      </w:pPr>
      <w:r>
        <w:t xml:space="preserve">This document must distinguish demonstrated V1 capability from proposed future capability at all times. Section 1 is reference only.</w:t>
      </w:r>
    </w:p>
    <w:p>
      <w:pPr>
        <w:pStyle w:val="ListParagraph"/>
        <w:numPr>
          <w:ilvl w:val="0"/>
          <w:numId w:val="2"/>
        </w:numPr>
        <w:spacing w:after="120"/>
      </w:pPr>
      <w:r>
        <w:t xml:space="preserve">Nothing in this document may retroactively strengthen any claim about what V1 demonstrated. Where this document references a V1 result, it restates the already-frozen record without reinterpretation.</w:t>
      </w:r>
    </w:p>
    <w:p>
      <w:pPr>
        <w:pStyle w:val="ListParagraph"/>
        <w:numPr>
          <w:ilvl w:val="0"/>
          <w:numId w:val="2"/>
        </w:numPr>
        <w:spacing w:after="120"/>
      </w:pPr>
      <w:r>
        <w:t xml:space="preserve">Operating rule: capturing an idea takes minutes, not hours. Investigation belongs to the current workstream only when required to complete that workstream. Otherwise, capture the question or idea here and continue V1 execution.</w:t>
      </w:r>
    </w:p>
    <w:p>
      <w:pPr>
        <w:pStyle w:val="Heading1"/>
        <w:spacing w:after="180" w:before="360"/>
      </w:pPr>
      <w:r>
        <w:t xml:space="preserve">How Entries Are Added</w:t>
      </w:r>
    </w:p>
    <w:p>
      <w:pPr>
        <w:spacing w:after="200"/>
        <w:jc w:val="left"/>
      </w:pPr>
      <w:r>
        <w:rPr>
          <w:i w:val="false"/>
          <w:iCs w:val="false"/>
        </w:rPr>
        <w:t xml:space="preserve">This document is designed to accumulate without requiring rewrites. To add an entry: go to the appropriate numbered section below, and append one line in this format:</w:t>
      </w:r>
    </w:p>
    <w:p>
      <w:pPr>
        <w:spacing w:after="200"/>
        <w:jc w:val="left"/>
      </w:pPr>
      <w:r>
        <w:rPr>
          <w:i/>
          <w:iCs/>
        </w:rPr>
        <w:t xml:space="preserve">[Prefix-#]  One or two sentences stating the observation, gap, candidate, question, or idea.  (Source: where this came from — a specific page, decision, or workstream event)</w:t>
      </w:r>
    </w:p>
    <w:p>
      <w:pPr>
        <w:spacing w:after="200"/>
        <w:jc w:val="left"/>
      </w:pPr>
      <w:r>
        <w:rPr>
          <w:i w:val="false"/>
          <w:iCs w:val="false"/>
        </w:rPr>
        <w:t xml:space="preserve">Prefixes by section: V1-# (What V1 Demonstrated), L-# (Limitations/Gaps), P-# (Pilot Candidates), D-# (Discovery Questions), F-# (Longer-Term Capabilities), S-# (Speculative Ideas). Number sequentially within each prefix as entries are added. Do not renumber existing entries when adding new ones. Do not delete an entry to "clean up" the document before the final synthesis — removal is a synthesis-stage decision, not a working-document one.</w:t>
      </w:r>
    </w:p>
    <w:p>
      <w:pPr>
        <w:pStyle w:val="Heading1"/>
        <w:spacing w:after="180" w:before="360"/>
      </w:pPr>
      <w:r>
        <w:t xml:space="preserve">1. What V1 Actually Demonstrated</w:t>
      </w:r>
    </w:p>
    <w:p>
      <w:pPr>
        <w:spacing w:after="200"/>
        <w:jc w:val="left"/>
      </w:pPr>
      <w:r>
        <w:rPr>
          <w:i w:val="false"/>
          <w:iCs w:val="false"/>
        </w:rPr>
        <w:t xml:space="preserve">Reference only. This section restates the already-frozen record without reinterpretation and adds no new claim. It exists so later entries in this document have a fixed, correct baseline to build from.</w:t>
      </w:r>
    </w:p>
    <w:p>
      <w:pPr>
        <w:spacing w:after="160"/>
      </w:pPr>
      <w:r>
        <w:rPr>
          <w:b/>
          <w:bCs/>
        </w:rPr>
        <w:t xml:space="preserve">V1-1  </w:t>
      </w:r>
      <w:r>
        <w:t xml:space="preserve">One real, functioning AI healthcare growth analysis and evaluation system, built on the Claude API and evaluated against frozen Ground Truth.</w:t>
      </w:r>
      <w:r>
        <w:rPr>
          <w:i/>
          <w:iCs/>
          <w:sz w:val="19"/>
          <w:szCs w:val="19"/>
        </w:rPr>
        <w:t xml:space="preserve">  (Source: Roadmap Rev. 17, §2, §12)</w:t>
      </w:r>
    </w:p>
    <w:p>
      <w:pPr>
        <w:spacing w:after="160"/>
      </w:pPr>
      <w:r>
        <w:rPr>
          <w:b/>
          <w:bCs/>
        </w:rPr>
        <w:t xml:space="preserve">V1-2  </w:t>
      </w:r>
      <w:r>
        <w:t xml:space="preserve">A blind evaluation produced a governing result: Scenario 1 MISS, Scenario 2 MISS, Healthy Baseline CLEAN.</w:t>
      </w:r>
      <w:r>
        <w:rPr>
          <w:i/>
          <w:iCs/>
          <w:sz w:val="19"/>
          <w:szCs w:val="19"/>
        </w:rPr>
        <w:t xml:space="preserve">  (Source: Roadmap Rev. 17 §12; Whitepaper)</w:t>
      </w:r>
    </w:p>
    <w:p>
      <w:pPr>
        <w:spacing w:after="160"/>
      </w:pPr>
      <w:r>
        <w:rPr>
          <w:b/>
          <w:bCs/>
        </w:rPr>
        <w:t xml:space="preserve">V1-3  </w:t>
      </w:r>
      <w:r>
        <w:t xml:space="preserve">The evaluation surfaced an Observed Finding of approximately $251K in estimated additional collection opportunity under a stated counterfactual — not recovered, saved, generated, or realized revenue.</w:t>
      </w:r>
      <w:r>
        <w:rPr>
          <w:i/>
          <w:iCs/>
          <w:sz w:val="19"/>
          <w:szCs w:val="19"/>
        </w:rPr>
        <w:t xml:space="preserve">  (Source: Whitepaper; AI Summary)</w:t>
      </w:r>
    </w:p>
    <w:p>
      <w:pPr>
        <w:spacing w:after="160"/>
      </w:pPr>
      <w:r>
        <w:rPr>
          <w:b/>
          <w:bCs/>
        </w:rPr>
        <w:t xml:space="preserve">V1-4  </w:t>
      </w:r>
      <w:r>
        <w:t xml:space="preserve">A protected evidence taxonomy — Observed Finding, Benchmark Result, Control Result — was established and applied consistently across the whitepaper, AI Summary, and roadmap.</w:t>
      </w:r>
      <w:r>
        <w:rPr>
          <w:i/>
          <w:iCs/>
          <w:sz w:val="19"/>
          <w:szCs w:val="19"/>
        </w:rPr>
        <w:t xml:space="preserve">  (Source: Roadmap Rev. 17 §12)</w:t>
      </w:r>
    </w:p>
    <w:p>
      <w:pPr>
        <w:spacing w:after="160"/>
      </w:pPr>
      <w:r>
        <w:rPr>
          <w:b/>
          <w:bCs/>
        </w:rPr>
        <w:t xml:space="preserve">V1-5  </w:t>
      </w:r>
      <w:r>
        <w:t xml:space="preserve">The process (understand the organization, build evidence architecture around it, evaluate honestly against criteria fixed before results were known) is what was demonstrated to transfer. Harbor Ridge itself is not portable.</w:t>
      </w:r>
      <w:r>
        <w:rPr>
          <w:i/>
          <w:iCs/>
          <w:sz w:val="19"/>
          <w:szCs w:val="19"/>
        </w:rPr>
        <w:t xml:space="preserve">  (Source: Whitepaper, "What Transfers")</w:t>
      </w:r>
    </w:p>
    <w:p>
      <w:pPr>
        <w:pStyle w:val="Heading1"/>
        <w:spacing w:after="180" w:before="360"/>
      </w:pPr>
      <w:r>
        <w:t xml:space="preserve">2. Limitations or Gaps Revealed by V1</w:t>
      </w:r>
    </w:p>
    <w:p>
      <w:pPr>
        <w:spacing w:after="160"/>
      </w:pPr>
      <w:r>
        <w:rPr>
          <w:b/>
          <w:bCs/>
        </w:rPr>
        <w:t xml:space="preserve">L-1  </w:t>
      </w:r>
      <w:r>
        <w:t xml:space="preserve">Harbor Ridge is a constructed synthetic environment; results describe Evidence Engine performance within that controlled environment only.</w:t>
      </w:r>
      <w:r>
        <w:rPr>
          <w:i/>
          <w:iCs/>
          <w:sz w:val="19"/>
          <w:szCs w:val="19"/>
        </w:rPr>
        <w:t xml:space="preserve">  (Source: Whitepaper, Limitations)</w:t>
      </w:r>
    </w:p>
    <w:p>
      <w:pPr>
        <w:spacing w:after="160"/>
      </w:pPr>
      <w:r>
        <w:rPr>
          <w:b/>
          <w:bCs/>
        </w:rPr>
        <w:t xml:space="preserve">L-2  </w:t>
      </w:r>
      <w:r>
        <w:t xml:space="preserve">Reliable autonomous discovery of hidden, localized problems has not yet been demonstrated.</w:t>
      </w:r>
      <w:r>
        <w:rPr>
          <w:i/>
          <w:iCs/>
          <w:sz w:val="19"/>
          <w:szCs w:val="19"/>
        </w:rPr>
        <w:t xml:space="preserve">  (Source: Whitepaper, Limitations)</w:t>
      </w:r>
    </w:p>
    <w:p>
      <w:pPr>
        <w:spacing w:after="160"/>
      </w:pPr>
      <w:r>
        <w:rPr>
          <w:b/>
          <w:bCs/>
        </w:rPr>
        <w:t xml:space="preserve">L-3  </w:t>
      </w:r>
      <w:r>
        <w:t xml:space="preserve">One clean control result does not establish general reliability across other conditions.</w:t>
      </w:r>
      <w:r>
        <w:rPr>
          <w:i/>
          <w:iCs/>
          <w:sz w:val="19"/>
          <w:szCs w:val="19"/>
        </w:rPr>
        <w:t xml:space="preserve">  (Source: Whitepaper, Limitations)</w:t>
      </w:r>
    </w:p>
    <w:p>
      <w:pPr>
        <w:spacing w:after="160"/>
      </w:pPr>
      <w:r>
        <w:rPr>
          <w:b/>
          <w:bCs/>
        </w:rPr>
        <w:t xml:space="preserve">L-4  </w:t>
      </w:r>
      <w:r>
        <w:t xml:space="preserve">The specific cause of the two benchmark misses remains unsettled — signal structure and discovery procedure both remain possible explanations.</w:t>
      </w:r>
      <w:r>
        <w:rPr>
          <w:i/>
          <w:iCs/>
          <w:sz w:val="19"/>
          <w:szCs w:val="19"/>
        </w:rPr>
        <w:t xml:space="preserve">  (Source: Whitepaper, Limitations; V0.2 closing diagnostic)</w:t>
      </w:r>
    </w:p>
    <w:p>
      <w:pPr>
        <w:spacing w:after="160"/>
      </w:pPr>
      <w:r>
        <w:rPr>
          <w:b/>
          <w:bCs/>
        </w:rPr>
        <w:t xml:space="preserve">L-5  </w:t>
      </w:r>
      <w:r>
        <w:t xml:space="preserve">Integration work that appears mechanical (e.g., placing a finished file into an already-reserved slot) can conceal genuine, unestimated architecture questions once real files are involved.</w:t>
      </w:r>
      <w:r>
        <w:rPr>
          <w:i/>
          <w:iCs/>
          <w:sz w:val="19"/>
          <w:szCs w:val="19"/>
        </w:rPr>
        <w:t xml:space="preserve">  (Source: Roadmap Rev. 17 §6, discovered during the Workstream G → C transition)</w:t>
      </w:r>
    </w:p>
    <w:p>
      <w:pPr>
        <w:pStyle w:val="Heading1"/>
        <w:spacing w:after="180" w:before="360"/>
      </w:pPr>
      <w:r>
        <w:t xml:space="preserve">3. Candidate Capabilities for an Organizational Pilot</w:t>
      </w:r>
    </w:p>
    <w:p>
      <w:pPr>
        <w:spacing w:after="200"/>
        <w:jc w:val="left"/>
      </w:pPr>
      <w:r>
        <w:rPr>
          <w:i w:val="false"/>
          <w:iCs w:val="false"/>
        </w:rPr>
        <w:t xml:space="preserve">Candidates only. Neither item below was selected for the bounded V1 C1 demonstration; both remain future-development candidates, not committed scope.</w:t>
      </w:r>
    </w:p>
    <w:p>
      <w:pPr>
        <w:spacing w:after="160"/>
      </w:pPr>
      <w:r>
        <w:rPr>
          <w:b/>
          <w:bCs/>
        </w:rPr>
        <w:t xml:space="preserve">P-1  </w:t>
      </w:r>
      <w:r>
        <w:t xml:space="preserve">Marketing ↔ Admissions Connection workflow — joining marketing-source and admissions-outcome data for the same record into a single connected view, directly operationalizing the whitepaper's opening thesis.</w:t>
      </w:r>
      <w:r>
        <w:rPr>
          <w:i/>
          <w:iCs/>
          <w:sz w:val="19"/>
          <w:szCs w:val="19"/>
        </w:rPr>
        <w:t xml:space="preserve">  (Source: C1 candidate review; not selected for V1 C1)</w:t>
      </w:r>
    </w:p>
    <w:p>
      <w:pPr>
        <w:spacing w:after="160"/>
      </w:pPr>
      <w:r>
        <w:rPr>
          <w:b/>
          <w:bCs/>
        </w:rPr>
        <w:t xml:space="preserve">P-2  </w:t>
      </w:r>
      <w:r>
        <w:t xml:space="preserve">Realization-Rate Gap monitoring/alerting — recalculating the realization-rate gap on an ongoing basis using the same method behind the V1 Observed Finding, and flagging when it exceeds a threshold.</w:t>
      </w:r>
      <w:r>
        <w:rPr>
          <w:i/>
          <w:iCs/>
          <w:sz w:val="19"/>
          <w:szCs w:val="19"/>
        </w:rPr>
        <w:t xml:space="preserve">  (Source: C1 candidate review; not selected for V1 C1)</w:t>
      </w:r>
    </w:p>
    <w:p>
      <w:pPr>
        <w:pStyle w:val="Heading1"/>
        <w:spacing w:after="180" w:before="360"/>
      </w:pPr>
      <w:r>
        <w:t xml:space="preserve">4. Questions Requiring Discovery With a Real Healthcare Organization</w:t>
      </w:r>
    </w:p>
    <w:p>
      <w:pPr>
        <w:spacing w:after="160"/>
      </w:pPr>
      <w:r>
        <w:rPr>
          <w:b/>
          <w:bCs/>
        </w:rPr>
        <w:t xml:space="preserve">D-1  </w:t>
      </w:r>
      <w:r>
        <w:t xml:space="preserve">What would the equivalent evidence architecture look like for a specific real organization's actual operating reality, given that Harbor Ridge's own schema is explicitly not portable?</w:t>
      </w:r>
      <w:r>
        <w:rPr>
          <w:i/>
          <w:iCs/>
          <w:sz w:val="19"/>
          <w:szCs w:val="19"/>
        </w:rPr>
        <w:t xml:space="preserve">  (Source: Whitepaper, "What Transfers")</w:t>
      </w:r>
    </w:p>
    <w:p>
      <w:pPr>
        <w:spacing w:after="160"/>
      </w:pPr>
      <w:r>
        <w:rPr>
          <w:b/>
          <w:bCs/>
        </w:rPr>
        <w:t xml:space="preserve">D-2  </w:t>
      </w:r>
      <w:r>
        <w:t xml:space="preserve">What data a real organization actually has available, in which systems, under what access constraints — a question the "understand the organization before the technology" principle implies but cannot answer without engaging an actual organization.</w:t>
      </w:r>
      <w:r>
        <w:rPr>
          <w:i/>
          <w:iCs/>
          <w:sz w:val="19"/>
          <w:szCs w:val="19"/>
        </w:rPr>
        <w:t xml:space="preserve">  (Source: Whitepaper, "Reality Before Technology"; Executive Considerations)</w:t>
      </w:r>
    </w:p>
    <w:p>
      <w:pPr>
        <w:pStyle w:val="Heading1"/>
        <w:spacing w:after="180" w:before="360"/>
      </w:pPr>
      <w:r>
        <w:t xml:space="preserve">5. Longer-Term Production Capabilities (Speculative)</w:t>
      </w:r>
    </w:p>
    <w:p>
      <w:pPr>
        <w:spacing w:after="200"/>
        <w:jc w:val="left"/>
      </w:pPr>
      <w:r>
        <w:rPr>
          <w:i w:val="false"/>
          <w:iCs w:val="false"/>
        </w:rPr>
        <w:t xml:space="preserve">Direction only, not specified capability or committed scope.</w:t>
      </w:r>
    </w:p>
    <w:p>
      <w:pPr>
        <w:spacing w:after="160"/>
      </w:pPr>
      <w:r>
        <w:rPr>
          <w:b/>
          <w:bCs/>
        </w:rPr>
        <w:t xml:space="preserve">F-1  </w:t>
      </w:r>
      <w:r>
        <w:t xml:space="preserve">A standing attribution capability — connected evidence that lets leadership see where growth is breaking down and measure what changes over time — is a plausible longer-term direction, consistent with the whitepaper's Executive Considerations page.</w:t>
      </w:r>
      <w:r>
        <w:rPr>
          <w:i/>
          <w:iCs/>
          <w:sz w:val="19"/>
          <w:szCs w:val="19"/>
        </w:rPr>
        <w:t xml:space="preserve">  (Source: Whitepaper, Executive Considerations)</w:t>
      </w:r>
    </w:p>
    <w:p>
      <w:pPr>
        <w:spacing w:after="160"/>
      </w:pPr>
      <w:r>
        <w:rPr>
          <w:b/>
          <w:bCs/>
        </w:rPr>
        <w:t xml:space="preserve">F-2  </w:t>
      </w:r>
      <w:r>
        <w:t xml:space="preserve">If adapted for use with real, non-synthetic healthcare data, the system would need data security, privacy, and compliance review appropriate to real patient and financial data. This follows directly from V1's exclusive use of synthetic data, but has not itself been examined.</w:t>
      </w:r>
      <w:r>
        <w:rPr>
          <w:i/>
          <w:iCs/>
          <w:sz w:val="19"/>
          <w:szCs w:val="19"/>
        </w:rPr>
        <w:t xml:space="preserve">  (Source: Inferred directly from the synthetic-data boundary already established in Roadmap Rev. 17 and the Whitepaper; not yet a specified requirement)</w:t>
      </w:r>
    </w:p>
    <w:p>
      <w:pPr>
        <w:pStyle w:val="Heading1"/>
        <w:spacing w:after="180" w:before="360"/>
      </w:pPr>
      <w:r>
        <w:t xml:space="preserve">6. Speculative Ideas — Not Yet Requirements</w:t>
      </w:r>
    </w:p>
    <w:p>
      <w:pPr>
        <w:pStyle w:val="Heading2"/>
        <w:spacing w:after="140" w:before="280"/>
      </w:pPr>
      <w:r>
        <w:t xml:space="preserve">Already-Deferred Items, Carried Forward for Context</w:t>
      </w:r>
    </w:p>
    <w:p>
      <w:pPr>
        <w:spacing w:after="200"/>
        <w:jc w:val="left"/>
      </w:pPr>
      <w:r>
        <w:rPr>
          <w:i w:val="false"/>
          <w:iCs w:val="false"/>
        </w:rPr>
        <w:t xml:space="preserve">These carry their own already-established governing status — deferred by priority, not abandoned — distinct from the newly-speculative items below.</w:t>
      </w:r>
    </w:p>
    <w:p>
      <w:pPr>
        <w:spacing w:after="160"/>
      </w:pPr>
      <w:r>
        <w:rPr>
          <w:b/>
          <w:bCs/>
        </w:rPr>
        <w:t xml:space="preserve">S-1  </w:t>
      </w:r>
      <w:r>
        <w:t xml:space="preserve">V0.3 analytical refinement remains deferred by priority, not abandoned.</w:t>
      </w:r>
      <w:r>
        <w:rPr>
          <w:i/>
          <w:iCs/>
          <w:sz w:val="19"/>
          <w:szCs w:val="19"/>
        </w:rPr>
        <w:t xml:space="preserve">  (Source: Roadmap Rev. 17 §3, §12)</w:t>
      </w:r>
    </w:p>
    <w:p>
      <w:pPr>
        <w:spacing w:after="160"/>
      </w:pPr>
      <w:r>
        <w:rPr>
          <w:b/>
          <w:bCs/>
        </w:rPr>
        <w:t xml:space="preserve">S-2  </w:t>
      </w:r>
      <w:r>
        <w:t xml:space="preserve">Additional Harbor Ridge datasets or scenarios, and multiple-selectable-demo-dataset functionality, remain deferred beyond V1.</w:t>
      </w:r>
      <w:r>
        <w:rPr>
          <w:i/>
          <w:iCs/>
          <w:sz w:val="19"/>
          <w:szCs w:val="19"/>
        </w:rPr>
        <w:t xml:space="preserve">  (Source: Roadmap Rev. 17 §3, §11)</w:t>
      </w:r>
    </w:p>
    <w:p>
      <w:pPr>
        <w:pStyle w:val="Heading2"/>
        <w:spacing w:after="140" w:before="280"/>
      </w:pPr>
      <w:r>
        <w:t xml:space="preserve">New Speculative Ideas</w:t>
      </w:r>
    </w:p>
    <w:p>
      <w:pPr>
        <w:spacing w:after="160"/>
      </w:pPr>
      <w:r>
        <w:rPr>
          <w:b/>
          <w:bCs/>
        </w:rPr>
        <w:t xml:space="preserve">S-3  </w:t>
      </w:r>
      <w:r>
        <w:t xml:space="preserve">Whether a future evaluation cycle could help settle the unresolved cause of the V0.2 benchmark misses (signal structure vs. discovery procedure) is speculative and untested.</w:t>
      </w:r>
      <w:r>
        <w:rPr>
          <w:i/>
          <w:iCs/>
          <w:sz w:val="19"/>
          <w:szCs w:val="19"/>
        </w:rPr>
        <w:t xml:space="preserve">  (Source: V0.2 closing diagnostic; already-deferred V0.3 status)</w:t>
      </w:r>
    </w:p>
    <w:p>
      <w:pPr>
        <w:spacing w:after="160"/>
      </w:pPr>
      <w:r>
        <w:rPr>
          <w:b/>
          <w:bCs/>
        </w:rPr>
        <w:t xml:space="preserve">S-4  </w:t>
      </w:r>
      <w:r>
        <w:t xml:space="preserve">Whether other departmental evidence pairs beyond Marketing ↔ Admissions (e.g., clinical ↔ financial) could benefit from a similar connection pattern is speculative; no specific pair has been evaluated or proposed with evidence.</w:t>
      </w:r>
      <w:r>
        <w:rPr>
          <w:i/>
          <w:iCs/>
          <w:sz w:val="19"/>
          <w:szCs w:val="19"/>
        </w:rPr>
        <w:t xml:space="preserve">  (Source: Analogical extension of P-1; not yet examined)</w:t>
      </w:r>
    </w:p>
    <w:p>
      <w:pPr>
        <w:pStyle w:val="Heading1"/>
        <w:spacing w:after="180" w:before="360"/>
      </w:pPr>
      <w:r>
        <w:t xml:space="preserve">Final Synthesis (Not Yet Performed)</w:t>
      </w:r>
    </w:p>
    <w:p>
      <w:pPr>
        <w:spacing w:after="200"/>
        <w:jc w:val="left"/>
      </w:pPr>
      <w:r>
        <w:rPr>
          <w:i w:val="false"/>
          <w:iCs w:val="false"/>
        </w:rPr>
        <w:t xml:space="preserve">This document remains open and non-gating for the remainder of Workstreams C and H. After Workstream H passes, V1 is frozen, and Public Launch is complete, this document undergoes its final synthesis, reconciliation, prioritization, and freeze — the project's last substantive act, distinct from and after Public Launch. That synthesis will decide which of the items above, if any, warrant further development; nothing in this working version should be read as having made that decision already.</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2026-09-28T20:33:21.144Z</dcterms:created>
  <dcterms:modified xsi:type="dcterms:W3CDTF">2026-09-28T20:33:21.148Z</dcterms:modified>
</cp:coreProperties>
</file>

<file path=docProps/custom.xml><?xml version="1.0" encoding="utf-8"?>
<Properties xmlns="http://schemas.openxmlformats.org/officeDocument/2006/custom-properties" xmlns:vt="http://schemas.openxmlformats.org/officeDocument/2006/docPropsVTypes"/>
</file>