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73AC2" w14:textId="1E79CFBD" w:rsidR="0056299A" w:rsidRPr="00CF6ED0" w:rsidRDefault="009D33F2" w:rsidP="00330BE8">
      <w:pPr>
        <w:rPr>
          <w:rFonts w:ascii="Arial" w:hAnsi="Arial" w:cs="Arial"/>
        </w:rPr>
      </w:pPr>
      <w:bookmarkStart w:id="0" w:name="OLE_LINK1"/>
      <w:bookmarkStart w:id="1" w:name="OLE_LINK2"/>
      <w:r w:rsidRPr="00CF6ED0">
        <w:rPr>
          <w:rFonts w:ascii="Arial" w:hAnsi="Arial" w:cs="Arial"/>
          <w:color w:val="A6A6A6" w:themeColor="background1" w:themeShade="A6"/>
          <w:sz w:val="20"/>
        </w:rPr>
        <w:t>Rating</w:t>
      </w:r>
      <w:r w:rsidR="00330BE8" w:rsidRPr="00CF6ED0">
        <w:rPr>
          <w:rFonts w:ascii="Arial" w:hAnsi="Arial" w:cs="Arial"/>
        </w:rPr>
        <w:tab/>
      </w:r>
      <w:r w:rsidR="00330BE8" w:rsidRPr="00CF6ED0">
        <w:rPr>
          <w:rFonts w:ascii="Arial" w:hAnsi="Arial" w:cs="Arial"/>
        </w:rPr>
        <w:tab/>
      </w:r>
      <w:r w:rsidR="00F713EA">
        <w:rPr>
          <w:rFonts w:ascii="Arial" w:hAnsi="Arial" w:cs="Arial"/>
        </w:rPr>
        <w:tab/>
      </w:r>
      <w:r w:rsidR="00330BE8" w:rsidRPr="00CF6ED0">
        <w:rPr>
          <w:rFonts w:ascii="Arial" w:hAnsi="Arial" w:cs="Arial"/>
        </w:rPr>
        <w:tab/>
      </w:r>
      <w:r w:rsidR="00330BE8" w:rsidRPr="00CF6ED0">
        <w:rPr>
          <w:rFonts w:ascii="Arial" w:hAnsi="Arial" w:cs="Arial"/>
          <w:color w:val="A6A6A6" w:themeColor="background1" w:themeShade="A6"/>
          <w:sz w:val="20"/>
        </w:rPr>
        <w:t>Company</w:t>
      </w:r>
      <w:r w:rsidRPr="00CF6ED0">
        <w:rPr>
          <w:rFonts w:ascii="Arial" w:hAnsi="Arial" w:cs="Arial"/>
        </w:rPr>
        <w:tab/>
      </w:r>
      <w:r w:rsidR="00330BE8" w:rsidRPr="00CF6ED0">
        <w:rPr>
          <w:rFonts w:ascii="Arial" w:hAnsi="Arial" w:cs="Arial"/>
        </w:rPr>
        <w:tab/>
      </w:r>
      <w:r w:rsidR="00330BE8" w:rsidRPr="00CF6ED0">
        <w:rPr>
          <w:rFonts w:ascii="Arial" w:hAnsi="Arial" w:cs="Arial"/>
        </w:rPr>
        <w:tab/>
      </w:r>
      <w:r w:rsidR="00330BE8" w:rsidRPr="00CF6ED0">
        <w:rPr>
          <w:rFonts w:ascii="Arial" w:hAnsi="Arial" w:cs="Arial"/>
        </w:rPr>
        <w:tab/>
      </w:r>
      <w:r w:rsidR="00CF6ED0" w:rsidRPr="00CF6ED0">
        <w:rPr>
          <w:rFonts w:ascii="Arial" w:hAnsi="Arial" w:cs="Arial"/>
        </w:rPr>
        <w:tab/>
      </w:r>
      <w:r w:rsidR="00CF6ED0">
        <w:rPr>
          <w:rFonts w:ascii="Arial" w:hAnsi="Arial" w:cs="Arial"/>
        </w:rPr>
        <w:t xml:space="preserve">     </w:t>
      </w:r>
      <w:r w:rsidR="00330BE8" w:rsidRPr="00CF6ED0">
        <w:rPr>
          <w:rFonts w:ascii="Arial" w:hAnsi="Arial" w:cs="Arial"/>
          <w:color w:val="A6A6A6" w:themeColor="background1" w:themeShade="A6"/>
          <w:sz w:val="20"/>
        </w:rPr>
        <w:t>Date</w:t>
      </w:r>
      <w:r w:rsidR="00330BE8" w:rsidRPr="00CF6ED0">
        <w:rPr>
          <w:rFonts w:ascii="Arial" w:hAnsi="Arial" w:cs="Arial"/>
        </w:rPr>
        <w:tab/>
      </w:r>
    </w:p>
    <w:p w14:paraId="0DE6761F" w14:textId="4F238EAE" w:rsidR="00CF6ED0" w:rsidRPr="00CF6ED0" w:rsidRDefault="005A40E1">
      <w:pPr>
        <w:rPr>
          <w:rFonts w:ascii="Arial" w:hAnsi="Arial" w:cs="Arial"/>
        </w:rPr>
      </w:pPr>
      <w:r>
        <w:rPr>
          <w:rFonts w:ascii="Arial" w:hAnsi="Arial" w:cs="Arial"/>
          <w:b/>
          <w:color w:val="FF0000"/>
          <w:sz w:val="40"/>
        </w:rPr>
        <w:t>SELL</w:t>
      </w:r>
      <w:r w:rsidR="00330BE8" w:rsidRPr="00CF6ED0">
        <w:rPr>
          <w:rFonts w:ascii="Arial" w:hAnsi="Arial" w:cs="Arial"/>
          <w:b/>
          <w:sz w:val="40"/>
        </w:rPr>
        <w:tab/>
      </w:r>
      <w:r w:rsidR="00F713EA">
        <w:rPr>
          <w:rFonts w:ascii="Arial" w:hAnsi="Arial" w:cs="Arial"/>
          <w:b/>
          <w:sz w:val="40"/>
        </w:rPr>
        <w:tab/>
      </w:r>
      <w:r w:rsidR="00F713EA">
        <w:rPr>
          <w:rFonts w:ascii="Arial" w:hAnsi="Arial" w:cs="Arial"/>
          <w:b/>
          <w:sz w:val="32"/>
        </w:rPr>
        <w:t>Airbnb</w:t>
      </w:r>
      <w:r w:rsidR="00330BE8" w:rsidRPr="00CF6ED0">
        <w:rPr>
          <w:rFonts w:ascii="Arial" w:hAnsi="Arial" w:cs="Arial"/>
          <w:b/>
          <w:sz w:val="32"/>
        </w:rPr>
        <w:t>, Inc. (</w:t>
      </w:r>
      <w:r w:rsidR="00F713EA">
        <w:rPr>
          <w:rFonts w:ascii="Arial" w:hAnsi="Arial" w:cs="Arial"/>
          <w:b/>
          <w:sz w:val="32"/>
        </w:rPr>
        <w:t>ABNB</w:t>
      </w:r>
      <w:r w:rsidR="00330BE8" w:rsidRPr="00CF6ED0">
        <w:rPr>
          <w:rFonts w:ascii="Arial" w:hAnsi="Arial" w:cs="Arial"/>
          <w:b/>
          <w:sz w:val="32"/>
        </w:rPr>
        <w:t>)</w:t>
      </w:r>
      <w:r w:rsidR="00330BE8" w:rsidRPr="00CF6ED0">
        <w:rPr>
          <w:rFonts w:ascii="Arial" w:hAnsi="Arial" w:cs="Arial"/>
          <w:b/>
          <w:sz w:val="32"/>
        </w:rPr>
        <w:tab/>
      </w:r>
      <w:r w:rsidR="00F713EA">
        <w:rPr>
          <w:rFonts w:ascii="Arial" w:hAnsi="Arial" w:cs="Arial"/>
          <w:b/>
          <w:sz w:val="32"/>
        </w:rPr>
        <w:tab/>
      </w:r>
      <w:r w:rsidR="00F713EA">
        <w:rPr>
          <w:rFonts w:ascii="Arial" w:hAnsi="Arial" w:cs="Arial"/>
          <w:b/>
          <w:sz w:val="32"/>
        </w:rPr>
        <w:tab/>
      </w:r>
      <w:r w:rsidR="00F713EA">
        <w:rPr>
          <w:rFonts w:ascii="Arial" w:hAnsi="Arial" w:cs="Arial"/>
        </w:rPr>
        <w:t>26</w:t>
      </w:r>
      <w:r w:rsidR="00330BE8" w:rsidRPr="00CF6ED0">
        <w:rPr>
          <w:rFonts w:ascii="Arial" w:hAnsi="Arial" w:cs="Arial"/>
        </w:rPr>
        <w:t xml:space="preserve"> Ju</w:t>
      </w:r>
      <w:r w:rsidR="00F713EA">
        <w:rPr>
          <w:rFonts w:ascii="Arial" w:hAnsi="Arial" w:cs="Arial"/>
        </w:rPr>
        <w:t>ly</w:t>
      </w:r>
      <w:r w:rsidR="00330BE8" w:rsidRPr="00CF6ED0">
        <w:rPr>
          <w:rFonts w:ascii="Arial" w:hAnsi="Arial" w:cs="Arial"/>
        </w:rPr>
        <w:t xml:space="preserve"> 2024</w:t>
      </w:r>
    </w:p>
    <w:p w14:paraId="6F58C9E9" w14:textId="102014D5" w:rsidR="009D33F2" w:rsidRPr="00CF6ED0" w:rsidRDefault="009D33F2">
      <w:pPr>
        <w:rPr>
          <w:rFonts w:ascii="Arial" w:hAnsi="Arial" w:cs="Arial"/>
        </w:rPr>
      </w:pPr>
      <w:r w:rsidRPr="00CF6ED0">
        <w:rPr>
          <w:rFonts w:ascii="Arial" w:hAnsi="Arial" w:cs="Arial"/>
          <w:color w:val="A6A6A6" w:themeColor="background1" w:themeShade="A6"/>
          <w:sz w:val="20"/>
        </w:rPr>
        <w:t>Industry</w:t>
      </w:r>
      <w:r w:rsidR="00330BE8" w:rsidRPr="00CF6ED0">
        <w:rPr>
          <w:rFonts w:ascii="Arial" w:hAnsi="Arial" w:cs="Arial"/>
          <w:color w:val="A6A6A6" w:themeColor="background1" w:themeShade="A6"/>
        </w:rPr>
        <w:tab/>
      </w:r>
      <w:r w:rsidR="00CF6ED0">
        <w:rPr>
          <w:rFonts w:ascii="Arial" w:hAnsi="Arial" w:cs="Arial"/>
          <w:color w:val="A6A6A6" w:themeColor="background1" w:themeShade="A6"/>
        </w:rPr>
        <w:tab/>
      </w:r>
      <w:r w:rsidR="00CF6ED0">
        <w:rPr>
          <w:rFonts w:ascii="Arial" w:hAnsi="Arial" w:cs="Arial"/>
          <w:color w:val="A6A6A6" w:themeColor="background1" w:themeShade="A6"/>
        </w:rPr>
        <w:tab/>
      </w:r>
      <w:r w:rsidR="00F713EA">
        <w:rPr>
          <w:rFonts w:ascii="Arial" w:hAnsi="Arial" w:cs="Arial"/>
          <w:color w:val="A6A6A6" w:themeColor="background1" w:themeShade="A6"/>
        </w:rPr>
        <w:tab/>
      </w:r>
      <w:r w:rsidR="00330BE8" w:rsidRPr="00CF6ED0">
        <w:rPr>
          <w:rFonts w:ascii="Arial" w:hAnsi="Arial" w:cs="Arial"/>
          <w:color w:val="A6A6A6" w:themeColor="background1" w:themeShade="A6"/>
          <w:sz w:val="20"/>
        </w:rPr>
        <w:t>Analyst</w:t>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sidRPr="00CF6ED0">
        <w:rPr>
          <w:rFonts w:ascii="Arial" w:hAnsi="Arial" w:cs="Arial"/>
          <w:color w:val="A6A6A6" w:themeColor="background1" w:themeShade="A6"/>
        </w:rPr>
        <w:tab/>
      </w:r>
      <w:r w:rsidR="00CF6ED0">
        <w:rPr>
          <w:rFonts w:ascii="Arial" w:hAnsi="Arial" w:cs="Arial"/>
          <w:color w:val="A6A6A6" w:themeColor="background1" w:themeShade="A6"/>
        </w:rPr>
        <w:t xml:space="preserve"> </w:t>
      </w:r>
      <w:r w:rsidR="00CF6ED0" w:rsidRPr="00CF6ED0">
        <w:rPr>
          <w:rFonts w:ascii="Arial" w:hAnsi="Arial" w:cs="Arial"/>
          <w:color w:val="A6A6A6" w:themeColor="background1" w:themeShade="A6"/>
          <w:sz w:val="20"/>
        </w:rPr>
        <w:t>Basic Information</w:t>
      </w:r>
    </w:p>
    <w:p w14:paraId="496BCB57" w14:textId="137EA691" w:rsidR="009D33F2" w:rsidRPr="00CF6ED0" w:rsidRDefault="00F713EA">
      <w:pPr>
        <w:rPr>
          <w:rFonts w:ascii="Arial" w:hAnsi="Arial" w:cs="Arial"/>
        </w:rPr>
      </w:pPr>
      <w:r>
        <w:rPr>
          <w:rFonts w:ascii="Arial" w:hAnsi="Arial" w:cs="Arial"/>
        </w:rPr>
        <w:t>Travel and Hospitality</w:t>
      </w:r>
      <w:r w:rsidR="00330BE8" w:rsidRPr="00CF6ED0">
        <w:rPr>
          <w:rFonts w:ascii="Arial" w:hAnsi="Arial" w:cs="Arial"/>
        </w:rPr>
        <w:tab/>
      </w:r>
      <w:r w:rsidR="00330BE8" w:rsidRPr="00CF6ED0">
        <w:rPr>
          <w:rFonts w:ascii="Arial" w:hAnsi="Arial" w:cs="Arial"/>
        </w:rPr>
        <w:tab/>
        <w:t>Hongjia CUI</w:t>
      </w:r>
      <w:r w:rsidR="00D51C1C">
        <w:rPr>
          <w:rFonts w:ascii="Arial" w:hAnsi="Arial" w:cs="Arial"/>
        </w:rPr>
        <w:tab/>
      </w:r>
      <w:r w:rsidR="00D51C1C">
        <w:rPr>
          <w:rFonts w:ascii="Arial" w:hAnsi="Arial" w:cs="Arial"/>
        </w:rPr>
        <w:tab/>
      </w:r>
      <w:r w:rsidR="00D51C1C">
        <w:rPr>
          <w:rFonts w:ascii="Arial" w:hAnsi="Arial" w:cs="Arial"/>
        </w:rPr>
        <w:tab/>
        <w:t>Target Price: 110.23 (-21.3%)</w:t>
      </w:r>
    </w:p>
    <w:p w14:paraId="3DC73BEC" w14:textId="1D2CB269" w:rsidR="009D33F2" w:rsidRPr="00CF6ED0" w:rsidRDefault="009D33F2">
      <w:pPr>
        <w:rPr>
          <w:rFonts w:ascii="Arial" w:hAnsi="Arial" w:cs="Arial"/>
        </w:rPr>
      </w:pPr>
    </w:p>
    <w:p w14:paraId="412C02CF" w14:textId="52A1580F" w:rsidR="009D33F2" w:rsidRPr="00CF6ED0" w:rsidRDefault="009D33F2">
      <w:pPr>
        <w:rPr>
          <w:rFonts w:ascii="Arial" w:hAnsi="Arial" w:cs="Arial"/>
        </w:rPr>
      </w:pPr>
    </w:p>
    <w:p w14:paraId="540FCDE0" w14:textId="2525A501" w:rsidR="00CF6ED0" w:rsidRPr="00852F83" w:rsidRDefault="00CF6ED0">
      <w:pPr>
        <w:rPr>
          <w:rFonts w:ascii="Arial" w:hAnsi="Arial" w:cs="Arial"/>
          <w:b/>
          <w:sz w:val="24"/>
        </w:rPr>
      </w:pPr>
      <w:r w:rsidRPr="00852F83">
        <w:rPr>
          <w:rFonts w:ascii="Arial" w:hAnsi="Arial" w:cs="Arial"/>
          <w:b/>
          <w:sz w:val="24"/>
        </w:rPr>
        <w:t>Business Overview</w:t>
      </w:r>
    </w:p>
    <w:p w14:paraId="4EBCD21B" w14:textId="0ADB6FA4" w:rsidR="006202B1" w:rsidRPr="006202B1" w:rsidRDefault="006202B1" w:rsidP="009D33F2">
      <w:pPr>
        <w:rPr>
          <w:rFonts w:ascii="Arial" w:hAnsi="Arial" w:cs="Arial"/>
          <w:color w:val="000000" w:themeColor="text1"/>
          <w:shd w:val="clear" w:color="auto" w:fill="FFFFFF"/>
        </w:rPr>
      </w:pPr>
      <w:r w:rsidRPr="006202B1">
        <w:rPr>
          <w:rFonts w:ascii="Arial" w:hAnsi="Arial" w:cs="Arial"/>
          <w:color w:val="000000" w:themeColor="text1"/>
          <w:shd w:val="clear" w:color="auto" w:fill="FFFFFF"/>
        </w:rPr>
        <w:t>Airbnb, Inc. engages in the management and operation of an online marketplace. Its marketplace model connects hosts and guests online or through mobile devices to book spaces.</w:t>
      </w:r>
    </w:p>
    <w:p w14:paraId="3D07049D" w14:textId="5C74507F" w:rsidR="006202B1" w:rsidRDefault="006202B1" w:rsidP="009D33F2">
      <w:pPr>
        <w:rPr>
          <w:rFonts w:ascii="Arial" w:hAnsi="Arial" w:cs="Arial"/>
          <w:color w:val="000000" w:themeColor="text1"/>
          <w:shd w:val="clear" w:color="auto" w:fill="FFFFFF"/>
        </w:rPr>
      </w:pPr>
      <w:r w:rsidRPr="006202B1">
        <w:rPr>
          <w:rFonts w:ascii="Arial" w:hAnsi="Arial" w:cs="Arial"/>
          <w:color w:val="000000" w:themeColor="text1"/>
          <w:shd w:val="clear" w:color="auto" w:fill="FFFFFF"/>
        </w:rPr>
        <w:t>The business reflects typical travel behavior patterns over the course of the calendar year</w:t>
      </w:r>
      <w:r>
        <w:rPr>
          <w:rFonts w:ascii="Arial" w:hAnsi="Arial" w:cs="Arial"/>
          <w:color w:val="000000" w:themeColor="text1"/>
          <w:shd w:val="clear" w:color="auto" w:fill="FFFFFF"/>
        </w:rPr>
        <w:t xml:space="preserve">. First three quarters typically have higher </w:t>
      </w:r>
      <w:r w:rsidRPr="006202B1">
        <w:rPr>
          <w:rFonts w:ascii="Arial" w:hAnsi="Arial" w:cs="Arial"/>
          <w:b/>
          <w:color w:val="000000" w:themeColor="text1"/>
          <w:shd w:val="clear" w:color="auto" w:fill="FFFFFF"/>
        </w:rPr>
        <w:t>Nights and Experiences Booked</w:t>
      </w:r>
      <w:r>
        <w:rPr>
          <w:rFonts w:ascii="Arial" w:hAnsi="Arial" w:cs="Arial"/>
          <w:color w:val="000000" w:themeColor="text1"/>
          <w:shd w:val="clear" w:color="auto" w:fill="FFFFFF"/>
        </w:rPr>
        <w:t xml:space="preserve"> than the fourth quarter, and the third quarter for North America and EMEA is the peak travel quarter in general.</w:t>
      </w:r>
    </w:p>
    <w:p w14:paraId="45B95057" w14:textId="1ABD440E" w:rsidR="006202B1" w:rsidRDefault="006202B1" w:rsidP="009D33F2">
      <w:pPr>
        <w:rPr>
          <w:rFonts w:ascii="Arial" w:hAnsi="Arial" w:cs="Arial"/>
          <w:color w:val="000000" w:themeColor="text1"/>
          <w:shd w:val="clear" w:color="auto" w:fill="FFFFFF"/>
        </w:rPr>
      </w:pPr>
      <w:r w:rsidRPr="006202B1">
        <w:rPr>
          <w:rFonts w:ascii="Arial" w:hAnsi="Arial" w:cs="Arial"/>
          <w:b/>
          <w:color w:val="000000" w:themeColor="text1"/>
          <w:shd w:val="clear" w:color="auto" w:fill="FFFFFF"/>
        </w:rPr>
        <w:t>Gross Booking Value</w:t>
      </w:r>
      <w:r w:rsidR="0070519E">
        <w:rPr>
          <w:rFonts w:ascii="Arial" w:hAnsi="Arial" w:cs="Arial"/>
          <w:color w:val="000000" w:themeColor="text1"/>
          <w:shd w:val="clear" w:color="auto" w:fill="FFFFFF"/>
        </w:rPr>
        <w:t xml:space="preserve"> will reach highest in the first two quarter with comparatively lower check-ins. In Q3</w:t>
      </w:r>
      <w:r>
        <w:rPr>
          <w:rFonts w:ascii="Arial" w:hAnsi="Arial" w:cs="Arial"/>
          <w:color w:val="000000" w:themeColor="text1"/>
          <w:shd w:val="clear" w:color="auto" w:fill="FFFFFF"/>
        </w:rPr>
        <w:t xml:space="preserve">, revenue and EBITDA will reach the highest due to the most check-ins </w:t>
      </w:r>
      <w:r w:rsidR="0070519E">
        <w:rPr>
          <w:rFonts w:ascii="Arial" w:hAnsi="Arial" w:cs="Arial"/>
          <w:color w:val="000000" w:themeColor="text1"/>
          <w:shd w:val="clear" w:color="auto" w:fill="FFFFFF"/>
        </w:rPr>
        <w:t>of the year.</w:t>
      </w:r>
    </w:p>
    <w:p w14:paraId="63544082" w14:textId="77777777" w:rsidR="00520CC5" w:rsidRDefault="00267560" w:rsidP="009D33F2">
      <w:pPr>
        <w:rPr>
          <w:rFonts w:ascii="Arial" w:hAnsi="Arial" w:cs="Arial"/>
          <w:color w:val="000000" w:themeColor="text1"/>
          <w:shd w:val="clear" w:color="auto" w:fill="FFFFFF"/>
        </w:rPr>
      </w:pPr>
      <w:r>
        <w:rPr>
          <w:noProof/>
        </w:rPr>
        <w:drawing>
          <wp:anchor distT="0" distB="0" distL="114300" distR="114300" simplePos="0" relativeHeight="251670528" behindDoc="0" locked="0" layoutInCell="1" allowOverlap="1" wp14:anchorId="3C0D7B9E" wp14:editId="1567F329">
            <wp:simplePos x="0" y="0"/>
            <wp:positionH relativeFrom="column">
              <wp:posOffset>381000</wp:posOffset>
            </wp:positionH>
            <wp:positionV relativeFrom="paragraph">
              <wp:posOffset>640715</wp:posOffset>
            </wp:positionV>
            <wp:extent cx="5464175" cy="3059430"/>
            <wp:effectExtent l="0" t="0" r="3175" b="9525"/>
            <wp:wrapTopAndBottom/>
            <wp:docPr id="12" name="Chart 12">
              <a:extLst xmlns:a="http://schemas.openxmlformats.org/drawingml/2006/main">
                <a:ext uri="{FF2B5EF4-FFF2-40B4-BE49-F238E27FC236}">
                  <a16:creationId xmlns:a16="http://schemas.microsoft.com/office/drawing/2014/main" id="{D46676B8-05FF-4FCA-AA68-ADD3D64DA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70519E">
        <w:rPr>
          <w:rFonts w:ascii="Arial" w:hAnsi="Arial" w:cs="Arial"/>
          <w:color w:val="000000" w:themeColor="text1"/>
          <w:shd w:val="clear" w:color="auto" w:fill="FFFFFF"/>
        </w:rPr>
        <w:t>After the pandemic, the war in Ukraine, and macroeconomic headwinds, such as high inflation both happened in the U.S. and Europe, Airbnb still can generate an increase on revenue growth in terms of year-on-year level</w:t>
      </w:r>
      <w:r>
        <w:rPr>
          <w:rFonts w:ascii="Arial" w:hAnsi="Arial" w:cs="Arial"/>
          <w:color w:val="000000" w:themeColor="text1"/>
          <w:shd w:val="clear" w:color="auto" w:fill="FFFFFF"/>
        </w:rPr>
        <w:t>, and it is still growing.</w:t>
      </w:r>
    </w:p>
    <w:p w14:paraId="21498036" w14:textId="4B3774DC" w:rsidR="00EE4C2A" w:rsidRPr="00712342" w:rsidRDefault="00520CC5" w:rsidP="009D33F2">
      <w:pPr>
        <w:rPr>
          <w:rFonts w:ascii="Arial" w:hAnsi="Arial" w:cs="Arial"/>
          <w:color w:val="000000" w:themeColor="text1"/>
          <w:shd w:val="clear" w:color="auto" w:fill="FFFFFF"/>
        </w:rPr>
      </w:pPr>
      <w:r w:rsidRPr="00520CC5">
        <w:rPr>
          <w:rFonts w:ascii="Arial" w:hAnsi="Arial" w:cs="Arial"/>
          <w:color w:val="000000" w:themeColor="text1"/>
          <w:shd w:val="clear" w:color="auto" w:fill="FFFFFF"/>
        </w:rPr>
        <w:t>Airbnb has segmented its market into four key regions since the 2020 fiscal report: North America, EMEA (Europe, Middle East, and Africa), Latin America, and Asia Pacific.</w:t>
      </w:r>
      <w:r>
        <w:rPr>
          <w:rFonts w:ascii="Arial" w:hAnsi="Arial" w:cs="Arial"/>
          <w:color w:val="000000" w:themeColor="text1"/>
          <w:shd w:val="clear" w:color="auto" w:fill="FFFFFF"/>
        </w:rPr>
        <w:t xml:space="preserve"> Nearly a half revenue generated from North American segment, however, recently EMEA market is growing pretty faster, approximately is going to achieve 40% of total revenue. The rest two equally separates the rest. Additionally, the revenue projection in the North America seems </w:t>
      </w:r>
      <w:r w:rsidR="00712342">
        <w:rPr>
          <w:noProof/>
        </w:rPr>
        <w:lastRenderedPageBreak/>
        <w:drawing>
          <wp:anchor distT="0" distB="0" distL="114300" distR="114300" simplePos="0" relativeHeight="251671552" behindDoc="0" locked="0" layoutInCell="1" allowOverlap="1" wp14:anchorId="14161934" wp14:editId="5929C7A6">
            <wp:simplePos x="0" y="0"/>
            <wp:positionH relativeFrom="column">
              <wp:posOffset>2886075</wp:posOffset>
            </wp:positionH>
            <wp:positionV relativeFrom="paragraph">
              <wp:posOffset>0</wp:posOffset>
            </wp:positionV>
            <wp:extent cx="3829050" cy="2297430"/>
            <wp:effectExtent l="0" t="0" r="0" b="7620"/>
            <wp:wrapSquare wrapText="bothSides"/>
            <wp:docPr id="13" name="Chart 13">
              <a:extLst xmlns:a="http://schemas.openxmlformats.org/drawingml/2006/main">
                <a:ext uri="{FF2B5EF4-FFF2-40B4-BE49-F238E27FC236}">
                  <a16:creationId xmlns:a16="http://schemas.microsoft.com/office/drawing/2014/main" id="{C75034F1-80A7-46F6-8173-0C95360D4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ascii="Arial" w:hAnsi="Arial" w:cs="Arial"/>
          <w:color w:val="000000" w:themeColor="text1"/>
          <w:shd w:val="clear" w:color="auto" w:fill="FFFFFF"/>
        </w:rPr>
        <w:t xml:space="preserve">soften, and it will be continuously strong in the Europe segment because of the Olympic Games launching in France, and events like European Cup will boost the volume of travel continuously. Airbnb is focusing </w:t>
      </w:r>
      <w:r w:rsidR="00712342">
        <w:rPr>
          <w:rFonts w:ascii="Arial" w:hAnsi="Arial" w:cs="Arial"/>
          <w:color w:val="000000" w:themeColor="text1"/>
          <w:shd w:val="clear" w:color="auto" w:fill="FFFFFF"/>
        </w:rPr>
        <w:t>more on expanding potential market in the Latin America, actually they performed well in Brazil and Mexico last year, so they have confidence in the future market expansion. Asia Pacific is lagged due to the slow recovering, and they took out the China supply, but maintained the outbound business.</w:t>
      </w:r>
    </w:p>
    <w:p w14:paraId="70DDE3C5" w14:textId="5EE5B61A" w:rsidR="00CD3A88" w:rsidRPr="00CD3A88" w:rsidRDefault="00852F83" w:rsidP="00CD3A88">
      <w:pPr>
        <w:rPr>
          <w:rFonts w:ascii="Arial" w:hAnsi="Arial" w:cs="Arial"/>
          <w:b/>
          <w:sz w:val="24"/>
        </w:rPr>
      </w:pPr>
      <w:r w:rsidRPr="00852F83">
        <w:rPr>
          <w:rFonts w:ascii="Arial" w:hAnsi="Arial" w:cs="Arial"/>
          <w:b/>
          <w:sz w:val="24"/>
        </w:rPr>
        <w:t>Industry Overview</w:t>
      </w:r>
    </w:p>
    <w:p w14:paraId="67B38E65" w14:textId="14C49B79" w:rsidR="00852F83" w:rsidRDefault="009D1D29" w:rsidP="009D33F2">
      <w:pPr>
        <w:rPr>
          <w:rFonts w:ascii="Arial" w:hAnsi="Arial" w:cs="Arial"/>
        </w:rPr>
      </w:pPr>
      <w:r>
        <w:rPr>
          <w:noProof/>
        </w:rPr>
        <w:drawing>
          <wp:anchor distT="0" distB="0" distL="114300" distR="114300" simplePos="0" relativeHeight="251672576" behindDoc="0" locked="0" layoutInCell="1" allowOverlap="1" wp14:anchorId="78C1E41D" wp14:editId="2550AA41">
            <wp:simplePos x="0" y="0"/>
            <wp:positionH relativeFrom="column">
              <wp:posOffset>3114675</wp:posOffset>
            </wp:positionH>
            <wp:positionV relativeFrom="paragraph">
              <wp:posOffset>11430</wp:posOffset>
            </wp:positionV>
            <wp:extent cx="3581400" cy="2266950"/>
            <wp:effectExtent l="0" t="0" r="0" b="0"/>
            <wp:wrapSquare wrapText="bothSides"/>
            <wp:docPr id="14" name="Chart 14">
              <a:extLst xmlns:a="http://schemas.openxmlformats.org/drawingml/2006/main">
                <a:ext uri="{FF2B5EF4-FFF2-40B4-BE49-F238E27FC236}">
                  <a16:creationId xmlns:a16="http://schemas.microsoft.com/office/drawing/2014/main" id="{C2C7AF9A-A29D-4A06-869B-47DD6D933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CD3A88" w:rsidRPr="00CD3A88">
        <w:rPr>
          <w:rFonts w:ascii="Arial" w:hAnsi="Arial" w:cs="Arial"/>
        </w:rPr>
        <w:t xml:space="preserve">The </w:t>
      </w:r>
      <w:r>
        <w:rPr>
          <w:rFonts w:ascii="Arial" w:hAnsi="Arial" w:cs="Arial"/>
        </w:rPr>
        <w:t xml:space="preserve">travel and hospitality </w:t>
      </w:r>
      <w:proofErr w:type="gramStart"/>
      <w:r>
        <w:rPr>
          <w:rFonts w:ascii="Arial" w:hAnsi="Arial" w:cs="Arial"/>
        </w:rPr>
        <w:t>is</w:t>
      </w:r>
      <w:proofErr w:type="gramEnd"/>
      <w:r>
        <w:rPr>
          <w:rFonts w:ascii="Arial" w:hAnsi="Arial" w:cs="Arial"/>
        </w:rPr>
        <w:t xml:space="preserve"> a high competitive industry. Despite the traditional OTAs (online travel agencies), such as Booking Holdings, Expedia Group, Airbnb is still facing intensive competition directly from traditional hotel chains, such as Marriott, Hilton. Even those listing and regional internet search engines, such as Google and Baidu, are also potential competitors, which present travel search results and promotions of its own travel meta-search services.</w:t>
      </w:r>
    </w:p>
    <w:p w14:paraId="7FFF0A0E" w14:textId="1395BF60" w:rsidR="009D1D29" w:rsidRDefault="000C0604" w:rsidP="0012333C">
      <w:pPr>
        <w:rPr>
          <w:rFonts w:ascii="Arial" w:hAnsi="Arial" w:cs="Arial"/>
        </w:rPr>
      </w:pPr>
      <w:r>
        <w:rPr>
          <w:rFonts w:ascii="Arial" w:hAnsi="Arial" w:cs="Arial"/>
        </w:rPr>
        <w:t>Airbnb reached nearly 11% of total market share in 2023, and it seems flat due to intensive competition.</w:t>
      </w:r>
    </w:p>
    <w:p w14:paraId="3A963E78" w14:textId="5D82FB21" w:rsidR="009D1D29" w:rsidRDefault="00373B00" w:rsidP="0012333C">
      <w:pPr>
        <w:rPr>
          <w:rFonts w:ascii="Arial" w:hAnsi="Arial" w:cs="Arial"/>
        </w:rPr>
      </w:pPr>
      <w:r w:rsidRPr="000C0604">
        <w:rPr>
          <w:rFonts w:ascii="Arial" w:hAnsi="Arial" w:cs="Arial"/>
          <w:noProof/>
          <w:color w:val="000000"/>
          <w:sz w:val="16"/>
          <w:szCs w:val="18"/>
          <w:bdr w:val="none" w:sz="0" w:space="0" w:color="auto" w:frame="1"/>
        </w:rPr>
        <w:drawing>
          <wp:anchor distT="0" distB="0" distL="114300" distR="114300" simplePos="0" relativeHeight="251673600" behindDoc="0" locked="0" layoutInCell="1" allowOverlap="1" wp14:anchorId="26669E09" wp14:editId="371DEDFF">
            <wp:simplePos x="0" y="0"/>
            <wp:positionH relativeFrom="column">
              <wp:posOffset>3113405</wp:posOffset>
            </wp:positionH>
            <wp:positionV relativeFrom="paragraph">
              <wp:posOffset>67310</wp:posOffset>
            </wp:positionV>
            <wp:extent cx="3582670" cy="2000250"/>
            <wp:effectExtent l="0" t="0" r="0" b="0"/>
            <wp:wrapSquare wrapText="bothSides"/>
            <wp:docPr id="16" name="Picture 16" descr="https://lh7-rt.googleusercontent.com/docsz/AD_4nXfDbaxiBYUaq_GPw3tfTciLQf1o2DxU06KXLpSEOLeoOH7b-0384d5e_4Xv2t0k3QvR4xPk5ag1qASjKGyXMd3Bh6sNAuHqzTv2VYQFGzl54_CvErMibxj6Q7SW3EZwqaQmV50Azn-Y7TWxjCv7Ver8df23?key=QbmQeSffONJCsBscPTdK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DbaxiBYUaq_GPw3tfTciLQf1o2DxU06KXLpSEOLeoOH7b-0384d5e_4Xv2t0k3QvR4xPk5ag1qASjKGyXMd3Bh6sNAuHqzTv2VYQFGzl54_CvErMibxj6Q7SW3EZwqaQmV50Azn-Y7TWxjCv7Ver8df23?key=QbmQeSffONJCsBscPTdKY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267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604" w:rsidRPr="000C0604">
        <w:rPr>
          <w:rFonts w:ascii="Arial" w:hAnsi="Arial" w:cs="Arial"/>
        </w:rPr>
        <w:t xml:space="preserve">As we approach the end of this year, having endured </w:t>
      </w:r>
      <w:r>
        <w:rPr>
          <w:rFonts w:ascii="Arial" w:hAnsi="Arial" w:cs="Arial"/>
        </w:rPr>
        <w:t>first two</w:t>
      </w:r>
      <w:r w:rsidR="000C0604" w:rsidRPr="000C0604">
        <w:rPr>
          <w:rFonts w:ascii="Arial" w:hAnsi="Arial" w:cs="Arial"/>
        </w:rPr>
        <w:t xml:space="preserve"> years of pandemic-induced disruptions and lockdowns, the global vacation rental market, which faced a significant decline in 2020, is finally stabilizing. The volatility that characterized leisure travel over the past three years is giving way to a new era of stability in 2024. </w:t>
      </w:r>
      <w:r>
        <w:rPr>
          <w:rFonts w:ascii="Arial" w:hAnsi="Arial" w:cs="Arial"/>
        </w:rPr>
        <w:t xml:space="preserve">And the global vacation rental market is growing as 4.2% CAGR from 2024 to 2030. </w:t>
      </w:r>
      <w:r w:rsidR="000C0604" w:rsidRPr="000C0604">
        <w:rPr>
          <w:rFonts w:ascii="Arial" w:hAnsi="Arial" w:cs="Arial"/>
        </w:rPr>
        <w:t>This year is shaping up to be the first truly normal year since the pandemic, with consistent levels of leisure travel contrasting sharply with the uncertainty and fluctuations seen in previous years.</w:t>
      </w:r>
    </w:p>
    <w:p w14:paraId="04E915F5" w14:textId="0B0191F0" w:rsidR="00373B00" w:rsidRDefault="00373B00" w:rsidP="0012333C">
      <w:pPr>
        <w:rPr>
          <w:rFonts w:ascii="Arial" w:hAnsi="Arial" w:cs="Arial"/>
        </w:rPr>
      </w:pPr>
    </w:p>
    <w:p w14:paraId="56486586" w14:textId="77777777" w:rsidR="00373B00" w:rsidRPr="00373B00" w:rsidRDefault="00373B00" w:rsidP="0012333C">
      <w:pPr>
        <w:rPr>
          <w:rFonts w:ascii="Arial" w:hAnsi="Arial" w:cs="Arial"/>
        </w:rPr>
      </w:pPr>
    </w:p>
    <w:p w14:paraId="56F9BCBA" w14:textId="4E2B69CA" w:rsidR="0012333C" w:rsidRPr="00EE4C2A" w:rsidRDefault="005015B0" w:rsidP="0012333C">
      <w:pPr>
        <w:rPr>
          <w:rFonts w:ascii="Arial" w:hAnsi="Arial" w:cs="Arial"/>
          <w:b/>
          <w:sz w:val="24"/>
        </w:rPr>
      </w:pPr>
      <w:r>
        <w:rPr>
          <w:rFonts w:ascii="Arial" w:hAnsi="Arial" w:cs="Arial"/>
          <w:b/>
          <w:sz w:val="24"/>
        </w:rPr>
        <w:lastRenderedPageBreak/>
        <w:t>Key driver</w:t>
      </w:r>
      <w:r w:rsidR="0012333C" w:rsidRPr="0012333C">
        <w:rPr>
          <w:rFonts w:ascii="Arial" w:hAnsi="Arial" w:cs="Arial"/>
          <w:b/>
          <w:sz w:val="24"/>
        </w:rPr>
        <w:t xml:space="preserve"> #1:</w:t>
      </w:r>
      <w:r w:rsidR="00373B00">
        <w:rPr>
          <w:rFonts w:ascii="Arial" w:hAnsi="Arial" w:cs="Arial"/>
          <w:b/>
          <w:sz w:val="24"/>
        </w:rPr>
        <w:t xml:space="preserve"> Robust </w:t>
      </w:r>
      <w:r>
        <w:rPr>
          <w:rFonts w:ascii="Arial" w:hAnsi="Arial" w:cs="Arial"/>
          <w:b/>
          <w:sz w:val="24"/>
        </w:rPr>
        <w:t>supply of listings</w:t>
      </w:r>
      <w:r w:rsidR="00373B00">
        <w:rPr>
          <w:rFonts w:ascii="Arial" w:hAnsi="Arial" w:cs="Arial"/>
          <w:b/>
          <w:sz w:val="24"/>
        </w:rPr>
        <w:t xml:space="preserve"> will drive revenue up </w:t>
      </w:r>
    </w:p>
    <w:p w14:paraId="5E1B2083" w14:textId="77777777" w:rsidR="00373B00" w:rsidRDefault="00373B00" w:rsidP="009D33F2">
      <w:pPr>
        <w:rPr>
          <w:rFonts w:ascii="Arial" w:hAnsi="Arial" w:cs="Arial"/>
        </w:rPr>
      </w:pPr>
      <w:r w:rsidRPr="00373B00">
        <w:rPr>
          <w:rFonts w:ascii="Arial" w:hAnsi="Arial" w:cs="Arial"/>
        </w:rPr>
        <w:t xml:space="preserve">In 2024, Airbnb is poised to capitalize on a resurgence in the global vacation rental market, demonstrating robust growth and resilience post-pandemic. With hosting becoming increasingly mainstream, Airbnb has focused on enhancing the quality of its listings. Excluding the impact of removals, </w:t>
      </w:r>
      <w:r w:rsidRPr="005015B0">
        <w:rPr>
          <w:rFonts w:ascii="Arial" w:hAnsi="Arial" w:cs="Arial"/>
          <w:b/>
        </w:rPr>
        <w:t>active accommodation listings have grown by 17% year-over-year</w:t>
      </w:r>
      <w:r w:rsidRPr="00373B00">
        <w:rPr>
          <w:rFonts w:ascii="Arial" w:hAnsi="Arial" w:cs="Arial"/>
        </w:rPr>
        <w:t xml:space="preserve">, with </w:t>
      </w:r>
      <w:r w:rsidRPr="005015B0">
        <w:rPr>
          <w:rFonts w:ascii="Arial" w:hAnsi="Arial" w:cs="Arial"/>
          <w:b/>
        </w:rPr>
        <w:t>supply and demand growth rates remaining aligned.</w:t>
      </w:r>
      <w:r w:rsidRPr="00373B00">
        <w:rPr>
          <w:rFonts w:ascii="Arial" w:hAnsi="Arial" w:cs="Arial"/>
        </w:rPr>
        <w:t xml:space="preserve"> This </w:t>
      </w:r>
      <w:r w:rsidRPr="005015B0">
        <w:rPr>
          <w:rFonts w:ascii="Arial" w:hAnsi="Arial" w:cs="Arial"/>
          <w:b/>
        </w:rPr>
        <w:t>double-digit supply growth across all regions</w:t>
      </w:r>
      <w:r w:rsidRPr="00373B00">
        <w:rPr>
          <w:rFonts w:ascii="Arial" w:hAnsi="Arial" w:cs="Arial"/>
        </w:rPr>
        <w:t xml:space="preserve"> underscores Airbnb's ability to scale its platform effectively, meeting the renewed demand for travel and positioning itself as a strong investment opportunity in the leisure travel sector.</w:t>
      </w:r>
    </w:p>
    <w:p w14:paraId="4DE3D15B" w14:textId="485FDF0D" w:rsidR="002A6B9F" w:rsidRPr="00EE4C2A" w:rsidRDefault="005015B0" w:rsidP="002A6B9F">
      <w:pPr>
        <w:rPr>
          <w:rFonts w:ascii="Arial" w:hAnsi="Arial" w:cs="Arial"/>
          <w:b/>
          <w:sz w:val="24"/>
        </w:rPr>
      </w:pPr>
      <w:r>
        <w:rPr>
          <w:rFonts w:ascii="Arial" w:hAnsi="Arial" w:cs="Arial"/>
          <w:b/>
          <w:sz w:val="24"/>
        </w:rPr>
        <w:t>Key driver</w:t>
      </w:r>
      <w:r w:rsidR="002A6B9F" w:rsidRPr="0012333C">
        <w:rPr>
          <w:rFonts w:ascii="Arial" w:hAnsi="Arial" w:cs="Arial"/>
          <w:b/>
          <w:sz w:val="24"/>
        </w:rPr>
        <w:t xml:space="preserve"> #</w:t>
      </w:r>
      <w:r w:rsidR="002A6B9F">
        <w:rPr>
          <w:rFonts w:ascii="Arial" w:hAnsi="Arial" w:cs="Arial"/>
          <w:b/>
          <w:sz w:val="24"/>
        </w:rPr>
        <w:t>2</w:t>
      </w:r>
      <w:r w:rsidR="002A6B9F" w:rsidRPr="0012333C">
        <w:rPr>
          <w:rFonts w:ascii="Arial" w:hAnsi="Arial" w:cs="Arial"/>
          <w:b/>
          <w:sz w:val="24"/>
        </w:rPr>
        <w:t xml:space="preserve">: </w:t>
      </w:r>
      <w:r w:rsidR="00BD6712">
        <w:rPr>
          <w:rFonts w:ascii="Arial" w:hAnsi="Arial" w:cs="Arial" w:hint="eastAsia"/>
          <w:b/>
          <w:sz w:val="24"/>
          <w:lang w:eastAsia="zh-CN"/>
        </w:rPr>
        <w:t>Optimization of core business</w:t>
      </w:r>
    </w:p>
    <w:p w14:paraId="14175B41" w14:textId="5EDEB5A8" w:rsidR="00BD6712" w:rsidRDefault="00BD6712" w:rsidP="009D33F2">
      <w:pPr>
        <w:rPr>
          <w:rFonts w:ascii="Arial" w:hAnsi="Arial" w:cs="Arial"/>
          <w:lang w:eastAsia="zh-CN"/>
        </w:rPr>
      </w:pPr>
      <w:r>
        <w:rPr>
          <w:rFonts w:ascii="Arial" w:hAnsi="Arial" w:cs="Arial" w:hint="eastAsia"/>
          <w:lang w:eastAsia="zh-CN"/>
        </w:rPr>
        <w:t>Honest</w:t>
      </w:r>
      <w:r w:rsidR="005015B0">
        <w:rPr>
          <w:rFonts w:ascii="Arial" w:hAnsi="Arial" w:cs="Arial"/>
        </w:rPr>
        <w:t xml:space="preserve">ly speaking, </w:t>
      </w:r>
      <w:r>
        <w:rPr>
          <w:rFonts w:ascii="Arial" w:hAnsi="Arial" w:cs="Arial" w:hint="eastAsia"/>
          <w:lang w:eastAsia="zh-CN"/>
        </w:rPr>
        <w:t xml:space="preserve">Airbnb focus on its core business every year </w:t>
      </w:r>
      <w:r>
        <w:rPr>
          <w:rFonts w:ascii="Arial" w:hAnsi="Arial" w:cs="Arial"/>
          <w:lang w:eastAsia="zh-CN"/>
        </w:rPr>
        <w:t>to</w:t>
      </w:r>
      <w:r>
        <w:rPr>
          <w:rFonts w:ascii="Arial" w:hAnsi="Arial" w:cs="Arial" w:hint="eastAsia"/>
          <w:lang w:eastAsia="zh-CN"/>
        </w:rPr>
        <w:t xml:space="preserve"> provide a better user experience, they have launched a lot of new features, such as Guest favorite, which can simulate the rebooking rates; total price display; AI-filter; comparable price tool.</w:t>
      </w:r>
    </w:p>
    <w:p w14:paraId="0190ADC4" w14:textId="505070C9" w:rsidR="002A6B9F" w:rsidRDefault="00BD6712" w:rsidP="009D33F2">
      <w:pPr>
        <w:rPr>
          <w:rFonts w:ascii="Arial" w:hAnsi="Arial" w:cs="Arial"/>
        </w:rPr>
      </w:pPr>
      <w:r>
        <w:rPr>
          <w:rFonts w:ascii="Arial" w:hAnsi="Arial" w:cs="Arial" w:hint="eastAsia"/>
          <w:lang w:eastAsia="zh-CN"/>
        </w:rPr>
        <w:t>The optimization led</w:t>
      </w:r>
      <w:r w:rsidR="005015B0">
        <w:rPr>
          <w:rFonts w:ascii="Arial" w:hAnsi="Arial" w:cs="Arial"/>
        </w:rPr>
        <w:t xml:space="preserve"> </w:t>
      </w:r>
      <w:r w:rsidR="005015B0" w:rsidRPr="005015B0">
        <w:rPr>
          <w:rFonts w:ascii="Arial" w:hAnsi="Arial" w:cs="Arial"/>
        </w:rPr>
        <w:t xml:space="preserve">U.S. app downloads </w:t>
      </w:r>
      <w:r>
        <w:rPr>
          <w:rFonts w:ascii="Arial" w:hAnsi="Arial" w:cs="Arial" w:hint="eastAsia"/>
          <w:lang w:eastAsia="zh-CN"/>
        </w:rPr>
        <w:t xml:space="preserve">increase </w:t>
      </w:r>
      <w:r w:rsidR="005015B0" w:rsidRPr="005015B0">
        <w:rPr>
          <w:rFonts w:ascii="Arial" w:hAnsi="Arial" w:cs="Arial"/>
        </w:rPr>
        <w:t xml:space="preserve">from 49% of bookings to 54% of bookings, </w:t>
      </w:r>
      <w:r w:rsidR="005015B0" w:rsidRPr="00DE0233">
        <w:rPr>
          <w:rFonts w:ascii="Arial" w:hAnsi="Arial" w:cs="Arial"/>
          <w:b/>
        </w:rPr>
        <w:t>grown 60% from last year</w:t>
      </w:r>
      <w:r w:rsidR="00DE0233">
        <w:rPr>
          <w:rFonts w:ascii="Arial" w:hAnsi="Arial" w:cs="Arial"/>
        </w:rPr>
        <w:t>, n</w:t>
      </w:r>
      <w:r w:rsidR="00DE0233" w:rsidRPr="00DE0233">
        <w:rPr>
          <w:rFonts w:ascii="Arial" w:hAnsi="Arial" w:cs="Arial"/>
        </w:rPr>
        <w:t>otably, the conversion rate on Airbnb's native application is significantly higher than on its mobile website</w:t>
      </w:r>
      <w:r w:rsidR="005015B0" w:rsidRPr="005015B0">
        <w:rPr>
          <w:rFonts w:ascii="Arial" w:hAnsi="Arial" w:cs="Arial"/>
        </w:rPr>
        <w:t>.</w:t>
      </w:r>
      <w:r w:rsidR="005015B0">
        <w:rPr>
          <w:rFonts w:ascii="Arial" w:hAnsi="Arial" w:cs="Arial"/>
        </w:rPr>
        <w:t xml:space="preserve"> </w:t>
      </w:r>
      <w:r w:rsidR="005015B0" w:rsidRPr="005015B0">
        <w:rPr>
          <w:rFonts w:ascii="Arial" w:hAnsi="Arial" w:cs="Arial"/>
        </w:rPr>
        <w:t xml:space="preserve">This surge is attributed to </w:t>
      </w:r>
      <w:r w:rsidR="005015B0">
        <w:rPr>
          <w:rFonts w:ascii="Arial" w:hAnsi="Arial" w:cs="Arial"/>
        </w:rPr>
        <w:t>the nat</w:t>
      </w:r>
      <w:r w:rsidR="00DE0233">
        <w:rPr>
          <w:rFonts w:ascii="Arial" w:hAnsi="Arial" w:cs="Arial"/>
        </w:rPr>
        <w:t>ural growth after COVID-19 and people start to do the revenge travel.</w:t>
      </w:r>
    </w:p>
    <w:p w14:paraId="10A63D3C" w14:textId="524694AE" w:rsidR="00DE0233" w:rsidRPr="00EE4C2A" w:rsidRDefault="00DE0233" w:rsidP="00DE0233">
      <w:pPr>
        <w:rPr>
          <w:rFonts w:ascii="Arial" w:hAnsi="Arial" w:cs="Arial"/>
          <w:b/>
          <w:sz w:val="24"/>
        </w:rPr>
      </w:pPr>
      <w:r>
        <w:rPr>
          <w:rFonts w:ascii="Arial" w:hAnsi="Arial" w:cs="Arial"/>
          <w:b/>
          <w:sz w:val="24"/>
        </w:rPr>
        <w:t>Key driver</w:t>
      </w:r>
      <w:r w:rsidRPr="0012333C">
        <w:rPr>
          <w:rFonts w:ascii="Arial" w:hAnsi="Arial" w:cs="Arial"/>
          <w:b/>
          <w:sz w:val="24"/>
        </w:rPr>
        <w:t xml:space="preserve"> #</w:t>
      </w:r>
      <w:r>
        <w:rPr>
          <w:rFonts w:ascii="Arial" w:hAnsi="Arial" w:cs="Arial"/>
          <w:b/>
          <w:sz w:val="24"/>
        </w:rPr>
        <w:t>3</w:t>
      </w:r>
      <w:r w:rsidRPr="0012333C">
        <w:rPr>
          <w:rFonts w:ascii="Arial" w:hAnsi="Arial" w:cs="Arial"/>
          <w:b/>
          <w:sz w:val="24"/>
        </w:rPr>
        <w:t xml:space="preserve">: </w:t>
      </w:r>
      <w:r>
        <w:rPr>
          <w:rFonts w:ascii="Arial" w:hAnsi="Arial" w:cs="Arial"/>
          <w:b/>
          <w:sz w:val="24"/>
        </w:rPr>
        <w:t>Potential market expansion</w:t>
      </w:r>
    </w:p>
    <w:p w14:paraId="22E1649E" w14:textId="792F7064" w:rsidR="00DE0233" w:rsidRDefault="00DE0233" w:rsidP="009D33F2">
      <w:pPr>
        <w:rPr>
          <w:rFonts w:ascii="Arial" w:hAnsi="Arial" w:cs="Arial"/>
        </w:rPr>
      </w:pPr>
      <w:r w:rsidRPr="00DE0233">
        <w:rPr>
          <w:rFonts w:ascii="Arial" w:hAnsi="Arial" w:cs="Arial"/>
        </w:rPr>
        <w:t>Five core regions</w:t>
      </w:r>
      <w:r>
        <w:rPr>
          <w:rFonts w:ascii="Arial" w:hAnsi="Arial" w:cs="Arial"/>
        </w:rPr>
        <w:t>, U.S., Canada, Australia, France and U.K.,</w:t>
      </w:r>
      <w:r w:rsidRPr="00DE0233">
        <w:rPr>
          <w:rFonts w:ascii="Arial" w:hAnsi="Arial" w:cs="Arial"/>
        </w:rPr>
        <w:t xml:space="preserve"> have driven the majority of Airbnb's revenue, generating figures that are an order of magnitude higher than those from other markets. In contrast, market penetration in regions like Latin America </w:t>
      </w:r>
      <w:r>
        <w:rPr>
          <w:rFonts w:ascii="Arial" w:hAnsi="Arial" w:cs="Arial"/>
        </w:rPr>
        <w:t xml:space="preserve">and other countries in EMEA </w:t>
      </w:r>
      <w:r w:rsidRPr="00DE0233">
        <w:rPr>
          <w:rFonts w:ascii="Arial" w:hAnsi="Arial" w:cs="Arial"/>
        </w:rPr>
        <w:t>remains significantly lower.</w:t>
      </w:r>
      <w:r>
        <w:rPr>
          <w:rFonts w:ascii="Arial" w:hAnsi="Arial" w:cs="Arial"/>
        </w:rPr>
        <w:t xml:space="preserve"> It would be a chance if they find out another fast-growing market which is comparably undervalued before.</w:t>
      </w:r>
    </w:p>
    <w:p w14:paraId="30EC912A" w14:textId="77777777" w:rsidR="00DE0233" w:rsidRDefault="00DE0233" w:rsidP="009D33F2">
      <w:pPr>
        <w:rPr>
          <w:rFonts w:ascii="Arial" w:hAnsi="Arial" w:cs="Arial"/>
        </w:rPr>
      </w:pPr>
    </w:p>
    <w:p w14:paraId="3CA54D02" w14:textId="71A2B8C1" w:rsidR="002A6B9F" w:rsidRDefault="002A6B9F" w:rsidP="009D33F2">
      <w:pPr>
        <w:rPr>
          <w:rFonts w:ascii="Arial" w:hAnsi="Arial" w:cs="Arial"/>
        </w:rPr>
      </w:pPr>
      <w:r w:rsidRPr="002A6B9F">
        <w:rPr>
          <w:rFonts w:ascii="Arial" w:hAnsi="Arial" w:cs="Arial"/>
          <w:b/>
          <w:sz w:val="24"/>
        </w:rPr>
        <w:t>Risk #</w:t>
      </w:r>
      <w:r>
        <w:rPr>
          <w:rFonts w:ascii="Arial" w:hAnsi="Arial" w:cs="Arial"/>
          <w:b/>
          <w:sz w:val="24"/>
        </w:rPr>
        <w:t xml:space="preserve">1: </w:t>
      </w:r>
      <w:r w:rsidR="00DE0233">
        <w:rPr>
          <w:rFonts w:ascii="Arial" w:hAnsi="Arial" w:cs="Arial"/>
          <w:b/>
          <w:sz w:val="24"/>
        </w:rPr>
        <w:t>Any decline or disruption or economic downturn could materially adversely affect the business</w:t>
      </w:r>
      <w:r>
        <w:rPr>
          <w:rFonts w:ascii="Arial" w:hAnsi="Arial" w:cs="Arial"/>
        </w:rPr>
        <w:t xml:space="preserve"> </w:t>
      </w:r>
    </w:p>
    <w:p w14:paraId="28BF3550" w14:textId="77777777" w:rsidR="008B0702" w:rsidRDefault="008B0702" w:rsidP="009D33F2">
      <w:pPr>
        <w:rPr>
          <w:rFonts w:ascii="Arial" w:hAnsi="Arial" w:cs="Arial"/>
        </w:rPr>
      </w:pPr>
      <w:r w:rsidRPr="008B0702">
        <w:rPr>
          <w:rFonts w:ascii="Arial" w:hAnsi="Arial" w:cs="Arial"/>
        </w:rPr>
        <w:t xml:space="preserve">Any decline or disruption in the travel and hospitality industries, such as an economic downturn influenced by inflation or other macroeconomic pressures in the U.S. and global economy, could significantly and adversely impact Airbnb's business, operational results, and financial condition. These factors could lead to reduced consumer spending on travel, lower booking rates, and increased operational costs, ultimately affecting the company's revenue and profitability. </w:t>
      </w:r>
    </w:p>
    <w:p w14:paraId="1F14F093" w14:textId="6FDE444B" w:rsidR="002A6B9F" w:rsidRDefault="002A6B9F" w:rsidP="009D33F2">
      <w:pPr>
        <w:rPr>
          <w:rFonts w:ascii="Arial" w:hAnsi="Arial" w:cs="Arial"/>
        </w:rPr>
      </w:pPr>
      <w:r w:rsidRPr="002A6B9F">
        <w:rPr>
          <w:rFonts w:ascii="Arial" w:hAnsi="Arial" w:cs="Arial"/>
          <w:b/>
          <w:sz w:val="24"/>
        </w:rPr>
        <w:t>Risk #2:</w:t>
      </w:r>
      <w:r>
        <w:rPr>
          <w:rFonts w:ascii="Arial" w:hAnsi="Arial" w:cs="Arial"/>
          <w:b/>
          <w:sz w:val="24"/>
        </w:rPr>
        <w:t xml:space="preserve"> </w:t>
      </w:r>
      <w:r w:rsidR="008B0702">
        <w:rPr>
          <w:rFonts w:ascii="Arial" w:hAnsi="Arial" w:cs="Arial"/>
          <w:b/>
          <w:sz w:val="24"/>
        </w:rPr>
        <w:t>Airbnb are subject to laws, regulations and rules, especially to taxation</w:t>
      </w:r>
    </w:p>
    <w:p w14:paraId="40C6B884" w14:textId="22A182C9" w:rsidR="008B0702" w:rsidRDefault="008B0702" w:rsidP="009D33F2">
      <w:pPr>
        <w:rPr>
          <w:rFonts w:ascii="Arial" w:hAnsi="Arial" w:cs="Arial"/>
        </w:rPr>
      </w:pPr>
      <w:r w:rsidRPr="008B0702">
        <w:rPr>
          <w:rFonts w:ascii="Arial" w:hAnsi="Arial" w:cs="Arial"/>
        </w:rPr>
        <w:t xml:space="preserve">On December 13, 2023, without admitting any liability, Airbnb Ireland signed an agreement with the Italian Revenue Agency in settlement of the 2017-2021 audit periods for an aggregate payment of $621 million. </w:t>
      </w:r>
    </w:p>
    <w:p w14:paraId="292322E7" w14:textId="77777777" w:rsidR="008B0702" w:rsidRDefault="008B0702" w:rsidP="009D33F2">
      <w:pPr>
        <w:rPr>
          <w:rFonts w:ascii="Arial" w:hAnsi="Arial" w:cs="Arial"/>
        </w:rPr>
      </w:pPr>
    </w:p>
    <w:p w14:paraId="448ABA18" w14:textId="77777777" w:rsidR="008B0702" w:rsidRDefault="008B0702">
      <w:pPr>
        <w:rPr>
          <w:rFonts w:ascii="Arial" w:hAnsi="Arial" w:cs="Arial"/>
          <w:b/>
          <w:sz w:val="24"/>
        </w:rPr>
      </w:pPr>
      <w:r>
        <w:rPr>
          <w:rFonts w:ascii="Arial" w:hAnsi="Arial" w:cs="Arial"/>
          <w:b/>
          <w:sz w:val="24"/>
        </w:rPr>
        <w:br w:type="page"/>
      </w:r>
    </w:p>
    <w:p w14:paraId="23A54CCC" w14:textId="2E45BDAF" w:rsidR="00B73152" w:rsidRDefault="00B73152" w:rsidP="009D33F2">
      <w:pPr>
        <w:rPr>
          <w:rFonts w:ascii="Arial" w:hAnsi="Arial" w:cs="Arial"/>
        </w:rPr>
      </w:pPr>
      <w:r w:rsidRPr="00AD3C2A">
        <w:rPr>
          <w:rFonts w:ascii="Arial" w:hAnsi="Arial" w:cs="Arial"/>
          <w:b/>
          <w:sz w:val="24"/>
        </w:rPr>
        <w:lastRenderedPageBreak/>
        <w:t>Valuation</w:t>
      </w:r>
    </w:p>
    <w:p w14:paraId="6C510B96" w14:textId="0A475188" w:rsidR="00B73152" w:rsidRDefault="0061256C" w:rsidP="009D33F2">
      <w:pPr>
        <w:rPr>
          <w:rFonts w:ascii="Arial" w:hAnsi="Arial" w:cs="Arial"/>
        </w:rPr>
      </w:pPr>
      <w:r w:rsidRPr="0061256C">
        <w:rPr>
          <w:rFonts w:ascii="Arial" w:hAnsi="Arial" w:cs="Arial"/>
        </w:rPr>
        <w:drawing>
          <wp:inline distT="0" distB="0" distL="0" distR="0" wp14:anchorId="6D0F7777" wp14:editId="0566FEC1">
            <wp:extent cx="3534268" cy="199100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268" cy="1991003"/>
                    </a:xfrm>
                    <a:prstGeom prst="rect">
                      <a:avLst/>
                    </a:prstGeom>
                  </pic:spPr>
                </pic:pic>
              </a:graphicData>
            </a:graphic>
          </wp:inline>
        </w:drawing>
      </w:r>
    </w:p>
    <w:p w14:paraId="721C7C90" w14:textId="033E995B" w:rsidR="00AD3C2A" w:rsidRDefault="00AD3C2A" w:rsidP="009D33F2">
      <w:pPr>
        <w:rPr>
          <w:rFonts w:ascii="Arial" w:hAnsi="Arial" w:cs="Arial"/>
        </w:rPr>
      </w:pPr>
    </w:p>
    <w:p w14:paraId="5740CECE" w14:textId="265BF895" w:rsidR="002A6B9F" w:rsidRDefault="002A6B9F" w:rsidP="009D33F2">
      <w:pPr>
        <w:rPr>
          <w:rFonts w:ascii="Arial" w:hAnsi="Arial" w:cs="Arial"/>
        </w:rPr>
      </w:pPr>
    </w:p>
    <w:p w14:paraId="65C7DFD8" w14:textId="34259D28" w:rsidR="0012333C" w:rsidRDefault="0012333C" w:rsidP="009D33F2">
      <w:pPr>
        <w:rPr>
          <w:rFonts w:ascii="Arial" w:hAnsi="Arial" w:cs="Arial"/>
        </w:rPr>
      </w:pPr>
      <w:bookmarkStart w:id="2" w:name="_GoBack"/>
      <w:bookmarkEnd w:id="2"/>
    </w:p>
    <w:p w14:paraId="10FBB719" w14:textId="2E57378F" w:rsidR="0012333C" w:rsidRDefault="0012333C" w:rsidP="009D33F2">
      <w:pPr>
        <w:rPr>
          <w:rFonts w:ascii="Arial" w:hAnsi="Arial" w:cs="Arial"/>
        </w:rPr>
      </w:pPr>
    </w:p>
    <w:bookmarkEnd w:id="0"/>
    <w:bookmarkEnd w:id="1"/>
    <w:p w14:paraId="1937D0EC" w14:textId="4D9E3E54" w:rsidR="0012333C" w:rsidRPr="00CF6ED0" w:rsidRDefault="0012333C" w:rsidP="009D33F2">
      <w:pPr>
        <w:rPr>
          <w:rFonts w:ascii="Arial" w:hAnsi="Arial" w:cs="Arial"/>
        </w:rPr>
      </w:pPr>
    </w:p>
    <w:sectPr w:rsidR="0012333C" w:rsidRPr="00CF6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08F72" w14:textId="77777777" w:rsidR="00A72D74" w:rsidRDefault="00A72D74" w:rsidP="009D33F2">
      <w:pPr>
        <w:spacing w:after="0" w:line="240" w:lineRule="auto"/>
      </w:pPr>
      <w:r>
        <w:separator/>
      </w:r>
    </w:p>
  </w:endnote>
  <w:endnote w:type="continuationSeparator" w:id="0">
    <w:p w14:paraId="5C868314" w14:textId="77777777" w:rsidR="00A72D74" w:rsidRDefault="00A72D74" w:rsidP="009D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46E04" w14:textId="77777777" w:rsidR="00A72D74" w:rsidRDefault="00A72D74" w:rsidP="009D33F2">
      <w:pPr>
        <w:spacing w:after="0" w:line="240" w:lineRule="auto"/>
      </w:pPr>
      <w:r>
        <w:separator/>
      </w:r>
    </w:p>
  </w:footnote>
  <w:footnote w:type="continuationSeparator" w:id="0">
    <w:p w14:paraId="145AEB63" w14:textId="77777777" w:rsidR="00A72D74" w:rsidRDefault="00A72D74" w:rsidP="009D33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1577AD"/>
    <w:rsid w:val="000C0604"/>
    <w:rsid w:val="000D1828"/>
    <w:rsid w:val="0012333C"/>
    <w:rsid w:val="001577AD"/>
    <w:rsid w:val="001F1E87"/>
    <w:rsid w:val="00267560"/>
    <w:rsid w:val="002A6B9F"/>
    <w:rsid w:val="00330BE8"/>
    <w:rsid w:val="00373B00"/>
    <w:rsid w:val="004F3040"/>
    <w:rsid w:val="005015B0"/>
    <w:rsid w:val="00507615"/>
    <w:rsid w:val="00520CC5"/>
    <w:rsid w:val="0056299A"/>
    <w:rsid w:val="005A40E1"/>
    <w:rsid w:val="005F6F9E"/>
    <w:rsid w:val="0061256C"/>
    <w:rsid w:val="006202B1"/>
    <w:rsid w:val="0070519E"/>
    <w:rsid w:val="00712342"/>
    <w:rsid w:val="00852F83"/>
    <w:rsid w:val="008B0702"/>
    <w:rsid w:val="0090345A"/>
    <w:rsid w:val="009921B2"/>
    <w:rsid w:val="009D1D29"/>
    <w:rsid w:val="009D33F2"/>
    <w:rsid w:val="009E4746"/>
    <w:rsid w:val="00A72D74"/>
    <w:rsid w:val="00AD3C2A"/>
    <w:rsid w:val="00B55CA5"/>
    <w:rsid w:val="00B73152"/>
    <w:rsid w:val="00BD6712"/>
    <w:rsid w:val="00CD3A88"/>
    <w:rsid w:val="00CF6ED0"/>
    <w:rsid w:val="00D51C1C"/>
    <w:rsid w:val="00DE0233"/>
    <w:rsid w:val="00E20395"/>
    <w:rsid w:val="00E26F76"/>
    <w:rsid w:val="00E939F5"/>
    <w:rsid w:val="00EE4C2A"/>
    <w:rsid w:val="00F713EA"/>
    <w:rsid w:val="00F83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EEFE6"/>
  <w15:chartTrackingRefBased/>
  <w15:docId w15:val="{D2B84D39-DB8E-46F7-B0FF-717756B4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3F2"/>
  </w:style>
  <w:style w:type="paragraph" w:styleId="Footer">
    <w:name w:val="footer"/>
    <w:basedOn w:val="Normal"/>
    <w:link w:val="FooterChar"/>
    <w:uiPriority w:val="99"/>
    <w:unhideWhenUsed/>
    <w:rsid w:val="009D3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3F2"/>
  </w:style>
  <w:style w:type="paragraph" w:styleId="NormalWeb">
    <w:name w:val="Normal (Web)"/>
    <w:basedOn w:val="Normal"/>
    <w:uiPriority w:val="99"/>
    <w:unhideWhenUsed/>
    <w:rsid w:val="00CF6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1937">
      <w:bodyDiv w:val="1"/>
      <w:marLeft w:val="0"/>
      <w:marRight w:val="0"/>
      <w:marTop w:val="0"/>
      <w:marBottom w:val="0"/>
      <w:divBdr>
        <w:top w:val="none" w:sz="0" w:space="0" w:color="auto"/>
        <w:left w:val="none" w:sz="0" w:space="0" w:color="auto"/>
        <w:bottom w:val="none" w:sz="0" w:space="0" w:color="auto"/>
        <w:right w:val="none" w:sz="0" w:space="0" w:color="auto"/>
      </w:divBdr>
    </w:div>
    <w:div w:id="663897775">
      <w:bodyDiv w:val="1"/>
      <w:marLeft w:val="0"/>
      <w:marRight w:val="0"/>
      <w:marTop w:val="0"/>
      <w:marBottom w:val="0"/>
      <w:divBdr>
        <w:top w:val="none" w:sz="0" w:space="0" w:color="auto"/>
        <w:left w:val="none" w:sz="0" w:space="0" w:color="auto"/>
        <w:bottom w:val="none" w:sz="0" w:space="0" w:color="auto"/>
        <w:right w:val="none" w:sz="0" w:space="0" w:color="auto"/>
      </w:divBdr>
    </w:div>
    <w:div w:id="728110914">
      <w:bodyDiv w:val="1"/>
      <w:marLeft w:val="0"/>
      <w:marRight w:val="0"/>
      <w:marTop w:val="0"/>
      <w:marBottom w:val="0"/>
      <w:divBdr>
        <w:top w:val="none" w:sz="0" w:space="0" w:color="auto"/>
        <w:left w:val="none" w:sz="0" w:space="0" w:color="auto"/>
        <w:bottom w:val="none" w:sz="0" w:space="0" w:color="auto"/>
        <w:right w:val="none" w:sz="0" w:space="0" w:color="auto"/>
      </w:divBdr>
    </w:div>
    <w:div w:id="1358849998">
      <w:bodyDiv w:val="1"/>
      <w:marLeft w:val="0"/>
      <w:marRight w:val="0"/>
      <w:marTop w:val="0"/>
      <w:marBottom w:val="0"/>
      <w:divBdr>
        <w:top w:val="none" w:sz="0" w:space="0" w:color="auto"/>
        <w:left w:val="none" w:sz="0" w:space="0" w:color="auto"/>
        <w:bottom w:val="none" w:sz="0" w:space="0" w:color="auto"/>
        <w:right w:val="none" w:sz="0" w:space="0" w:color="auto"/>
      </w:divBdr>
    </w:div>
    <w:div w:id="15406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cui1\Downloads\Abnb%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cui1\Downloads\Abnb%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cui1\Downloads\Abnb%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MOD!$B$14</c:f>
              <c:strCache>
                <c:ptCount val="1"/>
                <c:pt idx="0">
                  <c:v>Total revenue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trendline>
            <c:spPr>
              <a:ln w="9525" cap="rnd">
                <a:solidFill>
                  <a:schemeClr val="accent1"/>
                </a:solidFill>
              </a:ln>
              <a:effectLst/>
            </c:spPr>
            <c:trendlineType val="linear"/>
            <c:dispRSqr val="0"/>
            <c:dispEq val="0"/>
          </c:trendline>
          <c:cat>
            <c:strRef>
              <c:f>(MOD!$J$2:$M$2,MOD!$O$2:$R$2,MOD!$T$2:$W$2,MOD!$Y$2:$AB$2,MOD!$AD$2)</c:f>
              <c:strCache>
                <c:ptCount val="17"/>
                <c:pt idx="0">
                  <c:v>Q1 20</c:v>
                </c:pt>
                <c:pt idx="1">
                  <c:v>Q2 20</c:v>
                </c:pt>
                <c:pt idx="2">
                  <c:v>Q3 20</c:v>
                </c:pt>
                <c:pt idx="3">
                  <c:v>Q4 20</c:v>
                </c:pt>
                <c:pt idx="4">
                  <c:v>Q1 21</c:v>
                </c:pt>
                <c:pt idx="5">
                  <c:v>Q2 21</c:v>
                </c:pt>
                <c:pt idx="6">
                  <c:v>Q3 21</c:v>
                </c:pt>
                <c:pt idx="7">
                  <c:v>Q4 21</c:v>
                </c:pt>
                <c:pt idx="8">
                  <c:v>Q1 22</c:v>
                </c:pt>
                <c:pt idx="9">
                  <c:v>Q2 22</c:v>
                </c:pt>
                <c:pt idx="10">
                  <c:v>Q3 22</c:v>
                </c:pt>
                <c:pt idx="11">
                  <c:v>Q4 22</c:v>
                </c:pt>
                <c:pt idx="12">
                  <c:v>Q1 23</c:v>
                </c:pt>
                <c:pt idx="13">
                  <c:v>Q2 23</c:v>
                </c:pt>
                <c:pt idx="14">
                  <c:v>Q3 23</c:v>
                </c:pt>
                <c:pt idx="15">
                  <c:v>Q4 23</c:v>
                </c:pt>
                <c:pt idx="16">
                  <c:v>Q1 24</c:v>
                </c:pt>
              </c:strCache>
            </c:strRef>
          </c:cat>
          <c:val>
            <c:numRef>
              <c:f>(MOD!$J$14:$M$14,MOD!$O$14:$R$14,MOD!$T$14:$W$14,MOD!$Y$14:$AB$14,MOD!$AD$14)</c:f>
              <c:numCache>
                <c:formatCode>#,##0_);\(#,##0\)</c:formatCode>
                <c:ptCount val="17"/>
                <c:pt idx="0">
                  <c:v>841.83</c:v>
                </c:pt>
                <c:pt idx="1">
                  <c:v>334.774</c:v>
                </c:pt>
                <c:pt idx="2">
                  <c:v>1342.3309999999999</c:v>
                </c:pt>
                <c:pt idx="3">
                  <c:v>859.26400000000001</c:v>
                </c:pt>
                <c:pt idx="4">
                  <c:v>886.93600000000004</c:v>
                </c:pt>
                <c:pt idx="5">
                  <c:v>1335.1959999999999</c:v>
                </c:pt>
                <c:pt idx="6">
                  <c:v>2237.4319999999998</c:v>
                </c:pt>
                <c:pt idx="7">
                  <c:v>1532.1960000000004</c:v>
                </c:pt>
                <c:pt idx="8">
                  <c:v>1508.9369999999999</c:v>
                </c:pt>
                <c:pt idx="9">
                  <c:v>2104.107</c:v>
                </c:pt>
                <c:pt idx="10">
                  <c:v>2884.41</c:v>
                </c:pt>
                <c:pt idx="11">
                  <c:v>1901.5460000000003</c:v>
                </c:pt>
                <c:pt idx="12">
                  <c:v>1818</c:v>
                </c:pt>
                <c:pt idx="13">
                  <c:v>2484</c:v>
                </c:pt>
                <c:pt idx="14">
                  <c:v>3397</c:v>
                </c:pt>
                <c:pt idx="15">
                  <c:v>2218</c:v>
                </c:pt>
                <c:pt idx="16">
                  <c:v>2142</c:v>
                </c:pt>
              </c:numCache>
            </c:numRef>
          </c:val>
          <c:extLst>
            <c:ext xmlns:c16="http://schemas.microsoft.com/office/drawing/2014/chart" uri="{C3380CC4-5D6E-409C-BE32-E72D297353CC}">
              <c16:uniqueId val="{00000001-E57E-45FF-9043-97B7900ACE8B}"/>
            </c:ext>
          </c:extLst>
        </c:ser>
        <c:ser>
          <c:idx val="1"/>
          <c:order val="1"/>
          <c:tx>
            <c:strRef>
              <c:f>MOD!$B$23</c:f>
              <c:strCache>
                <c:ptCount val="1"/>
                <c:pt idx="0">
                  <c:v>Gross profit</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(MOD!$J$23:$M$23,MOD!$O$23:$R$23,MOD!$T$23:$W$23,MOD!$Y$23:$AB$23,MOD!$AD$23)</c:f>
              <c:numCache>
                <c:formatCode>#,##0_);\(#,##0\)</c:formatCode>
                <c:ptCount val="17"/>
                <c:pt idx="0">
                  <c:v>564.05799999999999</c:v>
                </c:pt>
                <c:pt idx="1">
                  <c:v>173.57599999999999</c:v>
                </c:pt>
                <c:pt idx="2">
                  <c:v>1115.0059999999999</c:v>
                </c:pt>
                <c:pt idx="3">
                  <c:v>649.51699999999983</c:v>
                </c:pt>
                <c:pt idx="4">
                  <c:v>632.42100000000005</c:v>
                </c:pt>
                <c:pt idx="5">
                  <c:v>1040.7689999999998</c:v>
                </c:pt>
                <c:pt idx="6">
                  <c:v>1925.8519999999999</c:v>
                </c:pt>
                <c:pt idx="7">
                  <c:v>1236.7180000000003</c:v>
                </c:pt>
                <c:pt idx="8">
                  <c:v>1146.3139999999999</c:v>
                </c:pt>
                <c:pt idx="9">
                  <c:v>1714</c:v>
                </c:pt>
                <c:pt idx="10">
                  <c:v>2483.261</c:v>
                </c:pt>
                <c:pt idx="11">
                  <c:v>1556.4250000000002</c:v>
                </c:pt>
                <c:pt idx="12">
                  <c:v>1390</c:v>
                </c:pt>
                <c:pt idx="13">
                  <c:v>2052</c:v>
                </c:pt>
                <c:pt idx="14">
                  <c:v>2938</c:v>
                </c:pt>
                <c:pt idx="15">
                  <c:v>1834</c:v>
                </c:pt>
                <c:pt idx="16">
                  <c:v>1662</c:v>
                </c:pt>
              </c:numCache>
            </c:numRef>
          </c:val>
          <c:extLst>
            <c:ext xmlns:c16="http://schemas.microsoft.com/office/drawing/2014/chart" uri="{C3380CC4-5D6E-409C-BE32-E72D297353CC}">
              <c16:uniqueId val="{00000002-E57E-45FF-9043-97B7900ACE8B}"/>
            </c:ext>
          </c:extLst>
        </c:ser>
        <c:ser>
          <c:idx val="2"/>
          <c:order val="2"/>
          <c:tx>
            <c:strRef>
              <c:f>MOD!$B$46</c:f>
              <c:strCache>
                <c:ptCount val="1"/>
                <c:pt idx="0">
                  <c:v>Income from operations</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val>
            <c:numRef>
              <c:f>(MOD!$J$46:$M$46,MOD!$O$46:$R$46,MOD!$T$46:$W$46,MOD!$Y$46:$AB$46,MOD!$AD$46)</c:f>
              <c:numCache>
                <c:formatCode>#,##0_);\(#,##0\)</c:formatCode>
                <c:ptCount val="17"/>
                <c:pt idx="0">
                  <c:v>-325.48899999999992</c:v>
                </c:pt>
                <c:pt idx="1">
                  <c:v>-583.21500000000003</c:v>
                </c:pt>
                <c:pt idx="2">
                  <c:v>418.73699999999985</c:v>
                </c:pt>
                <c:pt idx="3">
                  <c:v>-3100.1799999999989</c:v>
                </c:pt>
                <c:pt idx="4">
                  <c:v>-446.94500000000005</c:v>
                </c:pt>
                <c:pt idx="5">
                  <c:v>-51.27800000000002</c:v>
                </c:pt>
                <c:pt idx="6">
                  <c:v>851.97299999999973</c:v>
                </c:pt>
                <c:pt idx="7">
                  <c:v>75.567000000000235</c:v>
                </c:pt>
                <c:pt idx="8">
                  <c:v>-5.1310000000000855</c:v>
                </c:pt>
                <c:pt idx="9">
                  <c:v>368.82299999999987</c:v>
                </c:pt>
                <c:pt idx="10">
                  <c:v>1203.4809999999998</c:v>
                </c:pt>
                <c:pt idx="11">
                  <c:v>234.82700000000045</c:v>
                </c:pt>
                <c:pt idx="12">
                  <c:v>-5</c:v>
                </c:pt>
                <c:pt idx="13">
                  <c:v>523</c:v>
                </c:pt>
                <c:pt idx="14">
                  <c:v>1496</c:v>
                </c:pt>
                <c:pt idx="15">
                  <c:v>-496</c:v>
                </c:pt>
                <c:pt idx="16">
                  <c:v>101</c:v>
                </c:pt>
              </c:numCache>
            </c:numRef>
          </c:val>
          <c:extLst>
            <c:ext xmlns:c16="http://schemas.microsoft.com/office/drawing/2014/chart" uri="{C3380CC4-5D6E-409C-BE32-E72D297353CC}">
              <c16:uniqueId val="{00000003-E57E-45FF-9043-97B7900ACE8B}"/>
            </c:ext>
          </c:extLst>
        </c:ser>
        <c:dLbls>
          <c:showLegendKey val="0"/>
          <c:showVal val="0"/>
          <c:showCatName val="0"/>
          <c:showSerName val="0"/>
          <c:showPercent val="0"/>
          <c:showBubbleSize val="0"/>
        </c:dLbls>
        <c:gapWidth val="100"/>
        <c:overlap val="-24"/>
        <c:axId val="591587984"/>
        <c:axId val="543556296"/>
      </c:barChart>
      <c:catAx>
        <c:axId val="5915879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43556296"/>
        <c:crosses val="autoZero"/>
        <c:auto val="1"/>
        <c:lblAlgn val="ctr"/>
        <c:lblOffset val="100"/>
        <c:noMultiLvlLbl val="0"/>
      </c:catAx>
      <c:valAx>
        <c:axId val="543556296"/>
        <c:scaling>
          <c:orientation val="minMax"/>
        </c:scaling>
        <c:delete val="0"/>
        <c:axPos val="l"/>
        <c:majorGridlines>
          <c:spPr>
            <a:ln w="9525" cap="flat" cmpd="sng" algn="ctr">
              <a:solidFill>
                <a:schemeClr val="tx1">
                  <a:lumMod val="15000"/>
                  <a:lumOff val="85000"/>
                </a:schemeClr>
              </a:solidFill>
              <a:round/>
            </a:ln>
            <a:effectLst/>
          </c:spPr>
        </c:majorGridlines>
        <c:numFmt formatCode="#,##0_);\(#,##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9158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baseline="0"/>
              <a:t>Revenue</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'Regional breakdown'!$A$4</c:f>
              <c:strCache>
                <c:ptCount val="1"/>
                <c:pt idx="0">
                  <c:v>North America</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('Regional breakdown'!$G$2,'Regional breakdown'!$J$2,'Regional breakdown'!$M$2,'Regional breakdown'!$P$2)</c:f>
              <c:numCache>
                <c:formatCode>General</c:formatCode>
                <c:ptCount val="4"/>
                <c:pt idx="0">
                  <c:v>2020</c:v>
                </c:pt>
                <c:pt idx="1">
                  <c:v>2021</c:v>
                </c:pt>
                <c:pt idx="2">
                  <c:v>2022</c:v>
                </c:pt>
                <c:pt idx="3">
                  <c:v>2023</c:v>
                </c:pt>
              </c:numCache>
            </c:numRef>
          </c:cat>
          <c:val>
            <c:numRef>
              <c:f>('Regional breakdown'!$G$18,'Regional breakdown'!$J$18,'Regional breakdown'!$M$18,'Regional breakdown'!$P$18)</c:f>
              <c:numCache>
                <c:formatCode>_(\$* #,##0.0_);_(\$* \(#,##0.0\);_(\$* "-"_);_(@_)</c:formatCode>
                <c:ptCount val="4"/>
                <c:pt idx="0">
                  <c:v>1772.7</c:v>
                </c:pt>
                <c:pt idx="1">
                  <c:v>3201.1</c:v>
                </c:pt>
                <c:pt idx="2">
                  <c:v>4210</c:v>
                </c:pt>
                <c:pt idx="3">
                  <c:v>4638</c:v>
                </c:pt>
              </c:numCache>
            </c:numRef>
          </c:val>
          <c:smooth val="0"/>
          <c:extLst>
            <c:ext xmlns:c16="http://schemas.microsoft.com/office/drawing/2014/chart" uri="{C3380CC4-5D6E-409C-BE32-E72D297353CC}">
              <c16:uniqueId val="{00000000-1C3D-4F80-8101-ED8F73EB3ADF}"/>
            </c:ext>
          </c:extLst>
        </c:ser>
        <c:ser>
          <c:idx val="1"/>
          <c:order val="1"/>
          <c:tx>
            <c:strRef>
              <c:f>'Regional breakdown'!$A$5</c:f>
              <c:strCache>
                <c:ptCount val="1"/>
                <c:pt idx="0">
                  <c:v>EMEA</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('Regional breakdown'!$G$2,'Regional breakdown'!$J$2,'Regional breakdown'!$M$2,'Regional breakdown'!$P$2)</c:f>
              <c:numCache>
                <c:formatCode>General</c:formatCode>
                <c:ptCount val="4"/>
                <c:pt idx="0">
                  <c:v>2020</c:v>
                </c:pt>
                <c:pt idx="1">
                  <c:v>2021</c:v>
                </c:pt>
                <c:pt idx="2">
                  <c:v>2022</c:v>
                </c:pt>
                <c:pt idx="3">
                  <c:v>2023</c:v>
                </c:pt>
              </c:numCache>
            </c:numRef>
          </c:cat>
          <c:val>
            <c:numRef>
              <c:f>('Regional breakdown'!$G$19,'Regional breakdown'!$J$19,'Regional breakdown'!$M$19,'Regional breakdown'!$P$19)</c:f>
              <c:numCache>
                <c:formatCode>_(#,##0.0_);_(\(#,##0.0\);_("-"_);_(@_)</c:formatCode>
                <c:ptCount val="4"/>
                <c:pt idx="0">
                  <c:v>1023.8</c:v>
                </c:pt>
                <c:pt idx="1">
                  <c:v>1930.8</c:v>
                </c:pt>
                <c:pt idx="2">
                  <c:v>2924</c:v>
                </c:pt>
                <c:pt idx="3">
                  <c:v>3615</c:v>
                </c:pt>
              </c:numCache>
            </c:numRef>
          </c:val>
          <c:smooth val="0"/>
          <c:extLst>
            <c:ext xmlns:c16="http://schemas.microsoft.com/office/drawing/2014/chart" uri="{C3380CC4-5D6E-409C-BE32-E72D297353CC}">
              <c16:uniqueId val="{00000001-1C3D-4F80-8101-ED8F73EB3ADF}"/>
            </c:ext>
          </c:extLst>
        </c:ser>
        <c:ser>
          <c:idx val="2"/>
          <c:order val="2"/>
          <c:tx>
            <c:strRef>
              <c:f>'Regional breakdown'!$A$6</c:f>
              <c:strCache>
                <c:ptCount val="1"/>
                <c:pt idx="0">
                  <c:v>Latin America</c:v>
                </c:pt>
              </c:strCache>
            </c:strRef>
          </c:tx>
          <c:spPr>
            <a:ln w="19050" cap="rnd" cmpd="sng" algn="ctr">
              <a:solidFill>
                <a:schemeClr val="accent3">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('Regional breakdown'!$G$2,'Regional breakdown'!$J$2,'Regional breakdown'!$M$2,'Regional breakdown'!$P$2)</c:f>
              <c:numCache>
                <c:formatCode>General</c:formatCode>
                <c:ptCount val="4"/>
                <c:pt idx="0">
                  <c:v>2020</c:v>
                </c:pt>
                <c:pt idx="1">
                  <c:v>2021</c:v>
                </c:pt>
                <c:pt idx="2">
                  <c:v>2022</c:v>
                </c:pt>
                <c:pt idx="3">
                  <c:v>2023</c:v>
                </c:pt>
              </c:numCache>
            </c:numRef>
          </c:cat>
          <c:val>
            <c:numRef>
              <c:f>('Regional breakdown'!$G$20,'Regional breakdown'!$J$20,'Regional breakdown'!$M$20,'Regional breakdown'!$P$20)</c:f>
              <c:numCache>
                <c:formatCode>General</c:formatCode>
                <c:ptCount val="4"/>
                <c:pt idx="0">
                  <c:v>242</c:v>
                </c:pt>
                <c:pt idx="1">
                  <c:v>431.2</c:v>
                </c:pt>
                <c:pt idx="2">
                  <c:v>643</c:v>
                </c:pt>
                <c:pt idx="3">
                  <c:v>824</c:v>
                </c:pt>
              </c:numCache>
            </c:numRef>
          </c:val>
          <c:smooth val="0"/>
          <c:extLst>
            <c:ext xmlns:c16="http://schemas.microsoft.com/office/drawing/2014/chart" uri="{C3380CC4-5D6E-409C-BE32-E72D297353CC}">
              <c16:uniqueId val="{00000002-1C3D-4F80-8101-ED8F73EB3ADF}"/>
            </c:ext>
          </c:extLst>
        </c:ser>
        <c:ser>
          <c:idx val="3"/>
          <c:order val="3"/>
          <c:tx>
            <c:strRef>
              <c:f>'Regional breakdown'!$A$7</c:f>
              <c:strCache>
                <c:ptCount val="1"/>
                <c:pt idx="0">
                  <c:v>Asia Pacific</c:v>
                </c:pt>
              </c:strCache>
            </c:strRef>
          </c:tx>
          <c:spPr>
            <a:ln w="19050" cap="rnd" cmpd="sng" algn="ctr">
              <a:solidFill>
                <a:schemeClr val="accent4">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('Regional breakdown'!$G$2,'Regional breakdown'!$J$2,'Regional breakdown'!$M$2,'Regional breakdown'!$P$2)</c:f>
              <c:numCache>
                <c:formatCode>General</c:formatCode>
                <c:ptCount val="4"/>
                <c:pt idx="0">
                  <c:v>2020</c:v>
                </c:pt>
                <c:pt idx="1">
                  <c:v>2021</c:v>
                </c:pt>
                <c:pt idx="2">
                  <c:v>2022</c:v>
                </c:pt>
                <c:pt idx="3">
                  <c:v>2023</c:v>
                </c:pt>
              </c:numCache>
            </c:numRef>
          </c:cat>
          <c:val>
            <c:numRef>
              <c:f>('Regional breakdown'!$G$21,'Regional breakdown'!$J$21,'Regional breakdown'!$M$21,'Regional breakdown'!$P$21)</c:f>
              <c:numCache>
                <c:formatCode>General</c:formatCode>
                <c:ptCount val="4"/>
                <c:pt idx="0">
                  <c:v>339.7</c:v>
                </c:pt>
                <c:pt idx="1">
                  <c:v>428.7</c:v>
                </c:pt>
                <c:pt idx="2">
                  <c:v>622</c:v>
                </c:pt>
                <c:pt idx="3">
                  <c:v>840</c:v>
                </c:pt>
              </c:numCache>
            </c:numRef>
          </c:val>
          <c:smooth val="0"/>
          <c:extLst>
            <c:ext xmlns:c16="http://schemas.microsoft.com/office/drawing/2014/chart" uri="{C3380CC4-5D6E-409C-BE32-E72D297353CC}">
              <c16:uniqueId val="{00000003-1C3D-4F80-8101-ED8F73EB3ADF}"/>
            </c:ext>
          </c:extLst>
        </c:ser>
        <c:dLbls>
          <c:dLblPos val="ctr"/>
          <c:showLegendKey val="0"/>
          <c:showVal val="1"/>
          <c:showCatName val="0"/>
          <c:showSerName val="0"/>
          <c:showPercent val="0"/>
          <c:showBubbleSize val="0"/>
        </c:dLbls>
        <c:marker val="1"/>
        <c:smooth val="0"/>
        <c:axId val="643181072"/>
        <c:axId val="643179760"/>
      </c:lineChart>
      <c:catAx>
        <c:axId val="6431810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643179760"/>
        <c:crosses val="autoZero"/>
        <c:auto val="1"/>
        <c:lblAlgn val="ctr"/>
        <c:lblOffset val="100"/>
        <c:noMultiLvlLbl val="0"/>
      </c:catAx>
      <c:valAx>
        <c:axId val="643179760"/>
        <c:scaling>
          <c:orientation val="minMax"/>
        </c:scaling>
        <c:delete val="1"/>
        <c:axPos val="l"/>
        <c:numFmt formatCode="_(\$* #,##0.0_);_(\$* \(#,##0.0\);_(\$* &quot;-&quot;_);_(@_)" sourceLinked="1"/>
        <c:majorTickMark val="none"/>
        <c:minorTickMark val="none"/>
        <c:tickLblPos val="nextTo"/>
        <c:crossAx val="64318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B5DC-407C-AAF4-2AB6F0D738E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B5DC-407C-AAF4-2AB6F0D738E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B5DC-407C-AAF4-2AB6F0D738E8}"/>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B5DC-407C-AAF4-2AB6F0D738E8}"/>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B5DC-407C-AAF4-2AB6F0D738E8}"/>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B5DC-407C-AAF4-2AB6F0D738E8}"/>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B5DC-407C-AAF4-2AB6F0D738E8}"/>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B5DC-407C-AAF4-2AB6F0D738E8}"/>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B5DC-407C-AAF4-2AB6F0D738E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B5DC-407C-AAF4-2AB6F0D738E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B5DC-407C-AAF4-2AB6F0D738E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B5DC-407C-AAF4-2AB6F0D738E8}"/>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B5DC-407C-AAF4-2AB6F0D738E8}"/>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B5DC-407C-AAF4-2AB6F0D738E8}"/>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B5DC-407C-AAF4-2AB6F0D738E8}"/>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B5DC-407C-AAF4-2AB6F0D738E8}"/>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B5DC-407C-AAF4-2AB6F0D738E8}"/>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B5DC-407C-AAF4-2AB6F0D738E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'ABNB Comps &amp; market share'!$D$54:$D$62</c:f>
              <c:strCache>
                <c:ptCount val="9"/>
                <c:pt idx="0">
                  <c:v>ABNB-US</c:v>
                </c:pt>
                <c:pt idx="1">
                  <c:v>BKNG-US</c:v>
                </c:pt>
                <c:pt idx="2">
                  <c:v>EXPE-US</c:v>
                </c:pt>
                <c:pt idx="3">
                  <c:v>TCOM-US</c:v>
                </c:pt>
                <c:pt idx="4">
                  <c:v>TRIP-US</c:v>
                </c:pt>
                <c:pt idx="5">
                  <c:v>MAR-US</c:v>
                </c:pt>
                <c:pt idx="6">
                  <c:v>HLT-US</c:v>
                </c:pt>
                <c:pt idx="7">
                  <c:v>WH-US</c:v>
                </c:pt>
                <c:pt idx="8">
                  <c:v>HTHT-US</c:v>
                </c:pt>
              </c:strCache>
            </c:strRef>
          </c:cat>
          <c:val>
            <c:numRef>
              <c:f>'ABNB Comps &amp; market share'!$G$54:$G$62</c:f>
              <c:numCache>
                <c:formatCode>#,##0</c:formatCode>
                <c:ptCount val="9"/>
                <c:pt idx="0">
                  <c:v>9917</c:v>
                </c:pt>
                <c:pt idx="1">
                  <c:v>21365</c:v>
                </c:pt>
                <c:pt idx="2">
                  <c:v>12839</c:v>
                </c:pt>
                <c:pt idx="3">
                  <c:v>6282.2611619222198</c:v>
                </c:pt>
                <c:pt idx="4">
                  <c:v>1788</c:v>
                </c:pt>
                <c:pt idx="5">
                  <c:v>23713</c:v>
                </c:pt>
                <c:pt idx="6">
                  <c:v>10235</c:v>
                </c:pt>
                <c:pt idx="7">
                  <c:v>1397</c:v>
                </c:pt>
                <c:pt idx="8">
                  <c:v>3088.4843573395201</c:v>
                </c:pt>
              </c:numCache>
            </c:numRef>
          </c:val>
          <c:extLst>
            <c:ext xmlns:c16="http://schemas.microsoft.com/office/drawing/2014/chart" uri="{C3380CC4-5D6E-409C-BE32-E72D297353CC}">
              <c16:uniqueId val="{00000012-B5DC-407C-AAF4-2AB6F0D738E8}"/>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E7F07-D0E6-4D34-859F-F50E7161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Hongjia Cui</dc:creator>
  <cp:keywords/>
  <dc:description/>
  <cp:lastModifiedBy>Hongjia Cui</cp:lastModifiedBy>
  <cp:revision>13</cp:revision>
  <dcterms:created xsi:type="dcterms:W3CDTF">2024-07-19T18:12:00Z</dcterms:created>
  <dcterms:modified xsi:type="dcterms:W3CDTF">2024-08-17T21:53:00Z</dcterms:modified>
</cp:coreProperties>
</file>