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false"/>
        <w:keepLines w:val="false"/>
        <w:spacing w:lineRule="auto" w:line="240" w:before="360" w:after="80"/>
        <w:rPr>
          <w:rFonts w:ascii="DejaVu Math TeX Gyre" w:hAnsi="DejaVu Math TeX Gyre"/>
          <w:sz w:val="20"/>
          <w:szCs w:val="20"/>
        </w:rPr>
      </w:pPr>
      <w:bookmarkStart w:id="0" w:name="_nxy87xcm3yce"/>
      <w:bookmarkEnd w:id="0"/>
      <w:r>
        <w:rPr>
          <w:rFonts w:ascii="DejaVu Math TeX Gyre" w:hAnsi="DejaVu Math TeX Gyre"/>
          <w:b/>
          <w:bCs/>
          <w:sz w:val="20"/>
          <w:szCs w:val="20"/>
        </w:rPr>
        <w:t>Сущность «Скидка клиенту»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DejaVu Math TeX Gyre" w:hAnsi="DejaVu Math TeX Gyre"/>
          <w:sz w:val="20"/>
          <w:szCs w:val="20"/>
        </w:rPr>
      </w:pPr>
      <w:bookmarkStart w:id="1" w:name="_y8a37jrt3lyh"/>
      <w:bookmarkEnd w:id="1"/>
      <w:r>
        <w:rPr>
          <w:rFonts w:ascii="DejaVu Math TeX Gyre" w:hAnsi="DejaVu Math TeX Gyre"/>
          <w:b/>
          <w:bCs/>
          <w:color w:val="000000"/>
          <w:sz w:val="20"/>
          <w:szCs w:val="20"/>
        </w:rPr>
        <w:t>Назначение</w:t>
      </w:r>
    </w:p>
    <w:p>
      <w:pPr>
        <w:pStyle w:val="normal1"/>
        <w:spacing w:lineRule="auto" w:line="240" w:before="240" w:after="240"/>
        <w:rPr>
          <w:rFonts w:ascii="DejaVu Math TeX Gyre" w:hAnsi="DejaVu Math TeX Gyre"/>
          <w:sz w:val="20"/>
          <w:szCs w:val="20"/>
        </w:rPr>
      </w:pPr>
      <w:r>
        <w:rPr>
          <w:rFonts w:ascii="DejaVu Math TeX Gyre" w:hAnsi="DejaVu Math TeX Gyre"/>
          <w:sz w:val="20"/>
          <w:szCs w:val="20"/>
        </w:rPr>
        <w:t>Хранение информации о скидках, предоставляемых конкретным клиентам.</w:t>
        <w:br/>
        <w:t xml:space="preserve"> Используется для персональных предложений, акций, программ лояльности и применения скидок при расчёте стоимости услуг.</w:t>
      </w:r>
    </w:p>
    <w:p>
      <w:pPr>
        <w:pStyle w:val="normal1"/>
        <w:rPr>
          <w:rFonts w:ascii="DejaVu Math TeX Gyre" w:hAnsi="DejaVu Math TeX Gyre"/>
          <w:sz w:val="20"/>
          <w:szCs w:val="20"/>
        </w:rPr>
      </w:pPr>
      <w:r>
        <w:rPr>
          <w:rFonts w:ascii="DejaVu Math TeX Gyre" w:hAnsi="DejaVu Math TeX Gyre"/>
          <w:sz w:val="20"/>
          <w:szCs w:val="20"/>
        </w:rPr>
      </w:r>
    </w:p>
    <w:tbl>
      <w:tblPr>
        <w:tblStyle w:val="Table1"/>
        <w:tblW w:w="10635" w:type="dxa"/>
        <w:jc w:val="left"/>
        <w:tblInd w:w="-81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600"/>
      </w:tblPr>
      <w:tblGrid>
        <w:gridCol w:w="2085"/>
        <w:gridCol w:w="975"/>
        <w:gridCol w:w="1785"/>
        <w:gridCol w:w="1170"/>
        <w:gridCol w:w="1380"/>
        <w:gridCol w:w="1200"/>
        <w:gridCol w:w="2040"/>
      </w:tblGrid>
      <w:tr>
        <w:trPr>
          <w:trHeight w:val="770" w:hRule="atLeast"/>
        </w:trPr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Наименование атрибута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Ключ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Тип данных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Ограничение длины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Обязательность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Значение по умолчанию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Комментарии</w:t>
            </w:r>
          </w:p>
        </w:tc>
      </w:tr>
      <w:tr>
        <w:trPr>
          <w:trHeight w:val="1040" w:hRule="atLeast"/>
        </w:trPr>
        <w:tc>
          <w:tcPr>
            <w:tcW w:w="20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discount_id</w:t>
            </w:r>
          </w:p>
        </w:tc>
        <w:tc>
          <w:tcPr>
            <w:tcW w:w="9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Первичный</w:t>
            </w:r>
          </w:p>
        </w:tc>
        <w:tc>
          <w:tcPr>
            <w:tcW w:w="1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INTEGER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—</w:t>
            </w:r>
          </w:p>
        </w:tc>
        <w:tc>
          <w:tcPr>
            <w:tcW w:w="13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Да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Генерируется автоматически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Уникальный идентификатор скидки</w:t>
            </w:r>
          </w:p>
        </w:tc>
      </w:tr>
      <w:tr>
        <w:trPr>
          <w:trHeight w:val="1040" w:hRule="atLeast"/>
        </w:trPr>
        <w:tc>
          <w:tcPr>
            <w:tcW w:w="20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client_id</w:t>
            </w:r>
          </w:p>
        </w:tc>
        <w:tc>
          <w:tcPr>
            <w:tcW w:w="9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Внешний</w:t>
            </w:r>
          </w:p>
        </w:tc>
        <w:tc>
          <w:tcPr>
            <w:tcW w:w="1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INTEGER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—</w:t>
            </w:r>
          </w:p>
        </w:tc>
        <w:tc>
          <w:tcPr>
            <w:tcW w:w="13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Да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Нет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Внешний ключ на сущность «Клиенты»</w:t>
            </w:r>
          </w:p>
        </w:tc>
      </w:tr>
      <w:tr>
        <w:trPr>
          <w:trHeight w:val="1040" w:hRule="atLeast"/>
        </w:trPr>
        <w:tc>
          <w:tcPr>
            <w:tcW w:w="20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discount_type</w:t>
            </w:r>
          </w:p>
        </w:tc>
        <w:tc>
          <w:tcPr>
            <w:tcW w:w="9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—</w:t>
            </w:r>
          </w:p>
        </w:tc>
        <w:tc>
          <w:tcPr>
            <w:tcW w:w="1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ENUM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—</w:t>
            </w:r>
          </w:p>
        </w:tc>
        <w:tc>
          <w:tcPr>
            <w:tcW w:w="13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Да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'PERCENT'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Тип скидки: PERCENT / FIXED</w:t>
            </w:r>
          </w:p>
        </w:tc>
      </w:tr>
      <w:tr>
        <w:trPr>
          <w:trHeight w:val="1310" w:hRule="atLeast"/>
        </w:trPr>
        <w:tc>
          <w:tcPr>
            <w:tcW w:w="20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discount_value</w:t>
            </w:r>
          </w:p>
        </w:tc>
        <w:tc>
          <w:tcPr>
            <w:tcW w:w="9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—</w:t>
            </w:r>
          </w:p>
        </w:tc>
        <w:tc>
          <w:tcPr>
            <w:tcW w:w="1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DECIMAL(5,2)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—</w:t>
            </w:r>
          </w:p>
        </w:tc>
        <w:tc>
          <w:tcPr>
            <w:tcW w:w="13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Да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0.00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Размер скидки (проценты или фиксированная сумма)</w:t>
            </w:r>
          </w:p>
        </w:tc>
      </w:tr>
      <w:tr>
        <w:trPr>
          <w:trHeight w:val="1040" w:hRule="atLeast"/>
        </w:trPr>
        <w:tc>
          <w:tcPr>
            <w:tcW w:w="20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is_active</w:t>
            </w:r>
          </w:p>
        </w:tc>
        <w:tc>
          <w:tcPr>
            <w:tcW w:w="9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—</w:t>
            </w:r>
          </w:p>
        </w:tc>
        <w:tc>
          <w:tcPr>
            <w:tcW w:w="1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BOOLEAN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—</w:t>
            </w:r>
          </w:p>
        </w:tc>
        <w:tc>
          <w:tcPr>
            <w:tcW w:w="13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Да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TRUE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Признак активности скидки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rFonts w:ascii="DejaVu Math TeX Gyre" w:hAnsi="DejaVu Math TeX Gyre"/>
          <w:sz w:val="20"/>
          <w:szCs w:val="20"/>
        </w:rPr>
      </w:pPr>
      <w:bookmarkStart w:id="2" w:name="_n89xe9ptmzvl"/>
      <w:bookmarkEnd w:id="2"/>
      <w:r>
        <w:rPr>
          <w:rFonts w:ascii="DejaVu Math TeX Gyre" w:hAnsi="DejaVu Math TeX Gyre"/>
          <w:b/>
          <w:bCs/>
          <w:sz w:val="20"/>
          <w:szCs w:val="20"/>
        </w:rPr>
        <w:t>Сущность «Извещение клиента»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DejaVu Math TeX Gyre" w:hAnsi="DejaVu Math TeX Gyre"/>
          <w:sz w:val="20"/>
          <w:szCs w:val="20"/>
        </w:rPr>
      </w:pPr>
      <w:bookmarkStart w:id="3" w:name="_p94x041fl9zx"/>
      <w:bookmarkEnd w:id="3"/>
      <w:r>
        <w:rPr>
          <w:rFonts w:ascii="DejaVu Math TeX Gyre" w:hAnsi="DejaVu Math TeX Gyre"/>
          <w:b/>
          <w:bCs/>
          <w:color w:val="000000"/>
          <w:sz w:val="20"/>
          <w:szCs w:val="20"/>
        </w:rPr>
        <w:t>Назначение</w:t>
      </w:r>
    </w:p>
    <w:p>
      <w:pPr>
        <w:pStyle w:val="normal1"/>
        <w:spacing w:lineRule="auto" w:line="240" w:before="240" w:after="240"/>
        <w:rPr>
          <w:rFonts w:ascii="DejaVu Math TeX Gyre" w:hAnsi="DejaVu Math TeX Gyre"/>
          <w:sz w:val="20"/>
          <w:szCs w:val="20"/>
        </w:rPr>
      </w:pPr>
      <w:r>
        <w:rPr>
          <w:rFonts w:ascii="DejaVu Math TeX Gyre" w:hAnsi="DejaVu Math TeX Gyre"/>
          <w:sz w:val="20"/>
          <w:szCs w:val="20"/>
        </w:rPr>
        <w:t>Хранение информации о сообщениях и уведомлениях, отправляемых клиентам</w:t>
        <w:br/>
        <w:t xml:space="preserve"> (подтверждение записи, напоминания, отмены, информационные сообщения).</w:t>
      </w:r>
    </w:p>
    <w:p>
      <w:pPr>
        <w:pStyle w:val="normal1"/>
        <w:rPr>
          <w:rFonts w:ascii="DejaVu Math TeX Gyre" w:hAnsi="DejaVu Math TeX Gyre"/>
          <w:sz w:val="20"/>
          <w:szCs w:val="20"/>
        </w:rPr>
      </w:pPr>
      <w:r>
        <w:rPr>
          <w:rFonts w:ascii="DejaVu Math TeX Gyre" w:hAnsi="DejaVu Math TeX Gyre"/>
          <w:sz w:val="20"/>
          <w:szCs w:val="20"/>
        </w:rPr>
      </w:r>
    </w:p>
    <w:tbl>
      <w:tblPr>
        <w:tblStyle w:val="Table2"/>
        <w:tblW w:w="10725" w:type="dxa"/>
        <w:jc w:val="left"/>
        <w:tblInd w:w="-87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600"/>
      </w:tblPr>
      <w:tblGrid>
        <w:gridCol w:w="2010"/>
        <w:gridCol w:w="855"/>
        <w:gridCol w:w="1575"/>
        <w:gridCol w:w="1020"/>
        <w:gridCol w:w="1215"/>
        <w:gridCol w:w="2040"/>
        <w:gridCol w:w="2010"/>
      </w:tblGrid>
      <w:tr>
        <w:trPr>
          <w:trHeight w:val="770" w:hRule="atLeast"/>
        </w:trPr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Наименование атрибута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Ключ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Тип данных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Ограничение длины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Обязательность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Значение по умолчанию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Комментарии</w:t>
            </w:r>
          </w:p>
        </w:tc>
      </w:tr>
      <w:tr>
        <w:trPr>
          <w:trHeight w:val="1040" w:hRule="atLeast"/>
        </w:trPr>
        <w:tc>
          <w:tcPr>
            <w:tcW w:w="20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notification_id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Первичный</w:t>
            </w:r>
          </w:p>
        </w:tc>
        <w:tc>
          <w:tcPr>
            <w:tcW w:w="15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INTEGER 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—</w:t>
            </w:r>
          </w:p>
        </w:tc>
        <w:tc>
          <w:tcPr>
            <w:tcW w:w="1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Да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Генерируется автоматически</w:t>
            </w:r>
          </w:p>
        </w:tc>
        <w:tc>
          <w:tcPr>
            <w:tcW w:w="2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Уникальный идентификатор извещения</w:t>
            </w:r>
          </w:p>
        </w:tc>
      </w:tr>
      <w:tr>
        <w:trPr>
          <w:trHeight w:val="1040" w:hRule="atLeast"/>
        </w:trPr>
        <w:tc>
          <w:tcPr>
            <w:tcW w:w="20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client_id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Внешний</w:t>
            </w:r>
          </w:p>
        </w:tc>
        <w:tc>
          <w:tcPr>
            <w:tcW w:w="15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INTEGER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—</w:t>
            </w:r>
          </w:p>
        </w:tc>
        <w:tc>
          <w:tcPr>
            <w:tcW w:w="1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Да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Нет</w:t>
            </w:r>
          </w:p>
        </w:tc>
        <w:tc>
          <w:tcPr>
            <w:tcW w:w="2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Внешний ключ на сущность «Клиенты»</w:t>
            </w:r>
          </w:p>
        </w:tc>
      </w:tr>
      <w:tr>
        <w:trPr>
          <w:trHeight w:val="1310" w:hRule="atLeast"/>
        </w:trPr>
        <w:tc>
          <w:tcPr>
            <w:tcW w:w="20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notification_type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—</w:t>
            </w:r>
          </w:p>
        </w:tc>
        <w:tc>
          <w:tcPr>
            <w:tcW w:w="15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ENUM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—</w:t>
            </w:r>
          </w:p>
        </w:tc>
        <w:tc>
          <w:tcPr>
            <w:tcW w:w="1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Да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'BOOKING_CONFIRMATION'</w:t>
            </w:r>
          </w:p>
        </w:tc>
        <w:tc>
          <w:tcPr>
            <w:tcW w:w="2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Тип извещения (подтверждение, напоминание, отмена)</w:t>
            </w:r>
          </w:p>
        </w:tc>
      </w:tr>
      <w:tr>
        <w:trPr>
          <w:trHeight w:val="1040" w:hRule="atLeast"/>
        </w:trPr>
        <w:tc>
          <w:tcPr>
            <w:tcW w:w="20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channel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—</w:t>
            </w:r>
          </w:p>
        </w:tc>
        <w:tc>
          <w:tcPr>
            <w:tcW w:w="15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ENUM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—</w:t>
            </w:r>
          </w:p>
        </w:tc>
        <w:tc>
          <w:tcPr>
            <w:tcW w:w="1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Да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'SMS'</w:t>
            </w:r>
          </w:p>
        </w:tc>
        <w:tc>
          <w:tcPr>
            <w:tcW w:w="2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Канал отправки (SMS, Telegram, WhatsApp, VK)</w:t>
            </w:r>
          </w:p>
        </w:tc>
      </w:tr>
      <w:tr>
        <w:trPr>
          <w:trHeight w:val="770" w:hRule="atLeast"/>
        </w:trPr>
        <w:tc>
          <w:tcPr>
            <w:tcW w:w="20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message_text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—</w:t>
            </w:r>
          </w:p>
        </w:tc>
        <w:tc>
          <w:tcPr>
            <w:tcW w:w="15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TEXT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—</w:t>
            </w:r>
          </w:p>
        </w:tc>
        <w:tc>
          <w:tcPr>
            <w:tcW w:w="1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Да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—</w:t>
            </w:r>
          </w:p>
        </w:tc>
        <w:tc>
          <w:tcPr>
            <w:tcW w:w="2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Текст извещения</w:t>
            </w:r>
          </w:p>
        </w:tc>
      </w:tr>
      <w:tr>
        <w:trPr>
          <w:trHeight w:val="770" w:hRule="atLeast"/>
        </w:trPr>
        <w:tc>
          <w:tcPr>
            <w:tcW w:w="20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send_date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—</w:t>
            </w:r>
          </w:p>
        </w:tc>
        <w:tc>
          <w:tcPr>
            <w:tcW w:w="15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DATETIME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—</w:t>
            </w:r>
          </w:p>
        </w:tc>
        <w:tc>
          <w:tcPr>
            <w:tcW w:w="1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Да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Текущая дата</w:t>
            </w:r>
          </w:p>
        </w:tc>
        <w:tc>
          <w:tcPr>
            <w:tcW w:w="2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Дата и время отправки</w:t>
            </w:r>
          </w:p>
        </w:tc>
      </w:tr>
      <w:tr>
        <w:trPr>
          <w:trHeight w:val="1040" w:hRule="atLeast"/>
        </w:trPr>
        <w:tc>
          <w:tcPr>
            <w:tcW w:w="20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delivery_status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—</w:t>
            </w:r>
          </w:p>
        </w:tc>
        <w:tc>
          <w:tcPr>
            <w:tcW w:w="15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ENUM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—</w:t>
            </w:r>
          </w:p>
        </w:tc>
        <w:tc>
          <w:tcPr>
            <w:tcW w:w="1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Да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'SENT'</w:t>
            </w:r>
          </w:p>
        </w:tc>
        <w:tc>
          <w:tcPr>
            <w:tcW w:w="2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Статус доставки (SENT, FAILED, PENDING)</w:t>
            </w:r>
          </w:p>
        </w:tc>
      </w:tr>
    </w:tbl>
    <w:p>
      <w:pPr>
        <w:pStyle w:val="normal1"/>
        <w:rPr>
          <w:rFonts w:ascii="DejaVu Math TeX Gyre" w:hAnsi="DejaVu Math TeX Gyre"/>
          <w:sz w:val="20"/>
          <w:szCs w:val="20"/>
        </w:rPr>
      </w:pPr>
      <w:r>
        <w:rPr>
          <w:rFonts w:ascii="DejaVu Math TeX Gyre" w:hAnsi="DejaVu Math TeX Gyre"/>
          <w:sz w:val="20"/>
          <w:szCs w:val="20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DejaVu Math TeX Gyre">
    <w:charset w:val="01"/>
    <w:family w:val="auto"/>
    <w:pitch w:val="variable"/>
    <w:embedBold r:id="rId9" w:fontKey="{09014A78-CABC-4EF0-12AC-5CD89AEFDE09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LibreOffice/25.2.6.2$Linux_X86_64 LibreOffice_project/40d1a0e1d5bdf1afaeae24d9ece32bbb00fa66a4</Application>
  <AppVersion>15.0000</AppVersion>
  <Pages>2</Pages>
  <Words>173</Words>
  <Characters>1320</Characters>
  <CharactersWithSpaces>1413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2025-12-28T13:23:26Z</dcterms:modified>
  <cp:revision>1</cp:revision>
  <dc:subject/>
  <dc:title/>
</cp:coreProperties>
</file>