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215B1" w14:textId="66DC74E0" w:rsidR="008B73BE" w:rsidRPr="00D421EC" w:rsidRDefault="008B73BE" w:rsidP="00396A0D">
      <w:pPr>
        <w:framePr w:w="9072" w:h="841" w:hRule="exact" w:hSpace="187" w:vSpace="187" w:wrap="notBeside" w:vAnchor="text" w:hAnchor="page" w:x="1629" w:y="2428"/>
        <w:jc w:val="center"/>
        <w:rPr>
          <w:rFonts w:ascii="Courier New" w:hAnsi="Courier New" w:cs="Courier New"/>
          <w:color w:val="000000"/>
          <w:lang w:val="es-PE"/>
        </w:rPr>
      </w:pPr>
      <w:r w:rsidRPr="00D421EC">
        <w:rPr>
          <w:rFonts w:ascii="Courier New" w:hAnsi="Courier New" w:cs="Courier New"/>
          <w:color w:val="000000"/>
          <w:lang w:val="es-PE"/>
        </w:rPr>
        <w:t>Leonela Tacure</w:t>
      </w:r>
      <w:r w:rsidR="00EA08E7">
        <w:rPr>
          <w:rFonts w:ascii="Courier New" w:hAnsi="Courier New" w:cs="Courier New"/>
          <w:color w:val="000000"/>
          <w:lang w:val="es-PE"/>
        </w:rPr>
        <w:t xml:space="preserve"> P.</w:t>
      </w:r>
      <w:r w:rsidRPr="00D421EC">
        <w:rPr>
          <w:rFonts w:ascii="Courier New" w:hAnsi="Courier New" w:cs="Courier New"/>
          <w:color w:val="000000"/>
          <w:lang w:val="es-PE"/>
        </w:rPr>
        <w:t xml:space="preserve">, </w:t>
      </w:r>
      <w:r w:rsidR="00EA08E7">
        <w:rPr>
          <w:rFonts w:ascii="Courier New" w:hAnsi="Courier New" w:cs="Courier New"/>
          <w:color w:val="000000"/>
          <w:lang w:val="es-PE"/>
        </w:rPr>
        <w:t xml:space="preserve">Víctor Villacorta P., </w:t>
      </w:r>
      <w:r w:rsidRPr="00D421EC">
        <w:rPr>
          <w:rFonts w:ascii="Courier New" w:hAnsi="Courier New" w:cs="Courier New"/>
          <w:color w:val="000000"/>
          <w:lang w:val="es-PE"/>
        </w:rPr>
        <w:t>Oscar Rafael</w:t>
      </w:r>
      <w:r w:rsidR="00EA08E7">
        <w:rPr>
          <w:rFonts w:ascii="Courier New" w:hAnsi="Courier New" w:cs="Courier New"/>
          <w:color w:val="000000"/>
          <w:lang w:val="es-PE"/>
        </w:rPr>
        <w:t xml:space="preserve"> T.</w:t>
      </w:r>
    </w:p>
    <w:p w14:paraId="1506EE09" w14:textId="77777777" w:rsidR="008B73BE" w:rsidRPr="00D421EC" w:rsidRDefault="008B73BE" w:rsidP="00396A0D">
      <w:pPr>
        <w:framePr w:w="9072" w:h="841" w:hRule="exact" w:hSpace="187" w:vSpace="187" w:wrap="notBeside" w:vAnchor="text" w:hAnchor="page" w:x="1629" w:y="2428"/>
        <w:jc w:val="center"/>
        <w:rPr>
          <w:rFonts w:ascii="Courier New" w:hAnsi="Courier New" w:cs="Courier New"/>
          <w:color w:val="000000"/>
          <w:lang w:val="es-PE"/>
        </w:rPr>
      </w:pPr>
      <w:r w:rsidRPr="00D421EC">
        <w:rPr>
          <w:rFonts w:ascii="Courier New" w:hAnsi="Courier New" w:cs="Courier New"/>
          <w:color w:val="000000"/>
          <w:lang w:val="es-PE"/>
        </w:rPr>
        <w:t>Posgrado Ciencia de Datos, Universidad Ricardo Palma, Lima</w:t>
      </w:r>
    </w:p>
    <w:p w14:paraId="45E694BA" w14:textId="13385F77" w:rsidR="008B73BE" w:rsidRPr="00D421EC" w:rsidRDefault="005F034B" w:rsidP="00396A0D">
      <w:pPr>
        <w:framePr w:w="9072" w:h="841" w:hRule="exact" w:hSpace="187" w:vSpace="187" w:wrap="notBeside" w:vAnchor="text" w:hAnchor="page" w:x="1629" w:y="2428"/>
        <w:jc w:val="center"/>
        <w:rPr>
          <w:rFonts w:ascii="Courier New" w:hAnsi="Courier New" w:cs="Courier New"/>
          <w:color w:val="000000"/>
          <w:lang w:val="es-PE"/>
        </w:rPr>
      </w:pPr>
      <w:hyperlink r:id="rId8" w:history="1">
        <w:r w:rsidR="008B73BE" w:rsidRPr="00D421EC">
          <w:rPr>
            <w:rStyle w:val="Hipervnculo"/>
            <w:rFonts w:ascii="Courier New" w:hAnsi="Courier New" w:cs="Courier New"/>
            <w:lang w:val="es-PE"/>
          </w:rPr>
          <w:t>Leonela.tp@gmail.com</w:t>
        </w:r>
      </w:hyperlink>
      <w:r w:rsidR="008B73BE" w:rsidRPr="00D421EC">
        <w:rPr>
          <w:rFonts w:ascii="Courier New" w:hAnsi="Courier New" w:cs="Courier New"/>
          <w:color w:val="000000"/>
          <w:lang w:val="es-PE"/>
        </w:rPr>
        <w:t>,</w:t>
      </w:r>
      <w:r w:rsidR="00EA08E7">
        <w:rPr>
          <w:rFonts w:ascii="Courier New" w:hAnsi="Courier New" w:cs="Courier New"/>
          <w:color w:val="000000"/>
          <w:lang w:val="es-PE"/>
        </w:rPr>
        <w:t xml:space="preserve"> </w:t>
      </w:r>
      <w:hyperlink r:id="rId9" w:history="1">
        <w:r w:rsidR="00EA08E7" w:rsidRPr="00D421EC">
          <w:rPr>
            <w:rStyle w:val="Hipervnculo"/>
            <w:rFonts w:ascii="Courier New" w:hAnsi="Courier New" w:cs="Courier New"/>
            <w:lang w:val="es-PE"/>
          </w:rPr>
          <w:t>v.villacorta.unmsm@gmai.com</w:t>
        </w:r>
      </w:hyperlink>
      <w:r w:rsidR="00EA08E7">
        <w:rPr>
          <w:rFonts w:ascii="Courier New" w:hAnsi="Courier New" w:cs="Courier New"/>
          <w:color w:val="000000"/>
          <w:lang w:val="es-PE"/>
        </w:rPr>
        <w:t>,</w:t>
      </w:r>
      <w:r w:rsidR="008B73BE" w:rsidRPr="00D421EC">
        <w:rPr>
          <w:rFonts w:ascii="Courier New" w:hAnsi="Courier New" w:cs="Courier New"/>
          <w:color w:val="000000"/>
          <w:lang w:val="es-PE"/>
        </w:rPr>
        <w:t xml:space="preserve"> </w:t>
      </w:r>
      <w:hyperlink r:id="rId10" w:history="1">
        <w:r w:rsidR="00EA08E7" w:rsidRPr="00DD1C4D">
          <w:rPr>
            <w:rStyle w:val="Hipervnculo"/>
            <w:rFonts w:ascii="Courier New" w:hAnsi="Courier New" w:cs="Courier New"/>
            <w:lang w:val="es-PE"/>
          </w:rPr>
          <w:t>orafaelp@alicorp.com</w:t>
        </w:r>
      </w:hyperlink>
    </w:p>
    <w:p w14:paraId="39E48C05" w14:textId="77777777" w:rsidR="008B73BE" w:rsidRPr="00D421EC" w:rsidRDefault="008B73BE" w:rsidP="00396A0D">
      <w:pPr>
        <w:framePr w:w="9072" w:h="841" w:hRule="exact" w:hSpace="187" w:vSpace="187" w:wrap="notBeside" w:vAnchor="text" w:hAnchor="page" w:x="1629" w:y="2428"/>
        <w:jc w:val="both"/>
        <w:rPr>
          <w:rFonts w:ascii="Courier New" w:hAnsi="Courier New" w:cs="Courier New"/>
          <w:color w:val="000000"/>
          <w:lang w:val="es-PE"/>
        </w:rPr>
      </w:pPr>
    </w:p>
    <w:p w14:paraId="0FDC7D9A" w14:textId="77777777" w:rsidR="008B73BE" w:rsidRPr="00D421EC" w:rsidRDefault="008B73BE" w:rsidP="00396A0D">
      <w:pPr>
        <w:pStyle w:val="Authors"/>
        <w:framePr w:h="841" w:hRule="exact" w:wrap="notBeside" w:x="1629" w:y="2428"/>
        <w:jc w:val="both"/>
        <w:rPr>
          <w:lang w:val="es-PE"/>
        </w:rPr>
      </w:pPr>
    </w:p>
    <w:p w14:paraId="390B881B" w14:textId="77777777" w:rsidR="00F260D0" w:rsidRPr="00D421EC" w:rsidRDefault="00F260D0" w:rsidP="00396A0D">
      <w:pPr>
        <w:pStyle w:val="TextCarCar"/>
        <w:ind w:left="708" w:hanging="708"/>
        <w:rPr>
          <w:sz w:val="18"/>
          <w:szCs w:val="18"/>
          <w:lang w:val="es-PE"/>
        </w:rPr>
      </w:pPr>
      <w:r w:rsidRPr="00D421EC">
        <w:rPr>
          <w:sz w:val="18"/>
          <w:szCs w:val="18"/>
          <w:lang w:val="es-PE"/>
        </w:rPr>
        <w:footnoteReference w:customMarkFollows="1" w:id="1"/>
        <w:sym w:font="Symbol" w:char="F020"/>
      </w:r>
    </w:p>
    <w:p w14:paraId="2EC663F6" w14:textId="3A289183" w:rsidR="008B73BE" w:rsidRPr="00D421EC" w:rsidRDefault="007845D7" w:rsidP="00396A0D">
      <w:pPr>
        <w:pStyle w:val="Ttulo"/>
        <w:framePr w:wrap="notBeside"/>
        <w:rPr>
          <w:lang w:val="es-PE"/>
        </w:rPr>
      </w:pPr>
      <w:r w:rsidRPr="00D421EC">
        <w:rPr>
          <w:lang w:val="es-PE"/>
        </w:rPr>
        <w:t>Minería</w:t>
      </w:r>
      <w:r w:rsidR="007200B2" w:rsidRPr="00D421EC">
        <w:rPr>
          <w:lang w:val="es-PE"/>
        </w:rPr>
        <w:t xml:space="preserve"> de datos para determinar </w:t>
      </w:r>
      <w:r w:rsidRPr="00D421EC">
        <w:rPr>
          <w:lang w:val="es-PE"/>
        </w:rPr>
        <w:t>incumplimiento</w:t>
      </w:r>
      <w:r w:rsidR="007200B2" w:rsidRPr="00D421EC">
        <w:rPr>
          <w:lang w:val="es-PE"/>
        </w:rPr>
        <w:t xml:space="preserve"> de pagos en c</w:t>
      </w:r>
      <w:r w:rsidRPr="00D421EC">
        <w:rPr>
          <w:lang w:val="es-PE"/>
        </w:rPr>
        <w:t>réd</w:t>
      </w:r>
      <w:r w:rsidR="007200B2" w:rsidRPr="00D421EC">
        <w:rPr>
          <w:lang w:val="es-PE"/>
        </w:rPr>
        <w:t>i</w:t>
      </w:r>
      <w:r w:rsidRPr="00D421EC">
        <w:rPr>
          <w:lang w:val="es-PE"/>
        </w:rPr>
        <w:t>t</w:t>
      </w:r>
      <w:r w:rsidR="007200B2" w:rsidRPr="00D421EC">
        <w:rPr>
          <w:lang w:val="es-PE"/>
        </w:rPr>
        <w:t>os para Banco Colombia</w:t>
      </w:r>
    </w:p>
    <w:p w14:paraId="0A715764" w14:textId="416322BC" w:rsidR="00F260D0" w:rsidRPr="00D421EC" w:rsidRDefault="00F260D0" w:rsidP="00396A0D">
      <w:pPr>
        <w:pStyle w:val="Ttulo"/>
        <w:framePr w:wrap="notBeside"/>
        <w:rPr>
          <w:sz w:val="44"/>
          <w:szCs w:val="44"/>
          <w:lang w:val="es-PE"/>
        </w:rPr>
      </w:pPr>
      <w:r w:rsidRPr="00D421EC">
        <w:rPr>
          <w:sz w:val="36"/>
          <w:szCs w:val="36"/>
          <w:lang w:val="es-PE"/>
        </w:rPr>
        <w:t>(</w:t>
      </w:r>
      <w:r w:rsidR="008B73BE" w:rsidRPr="00D421EC">
        <w:rPr>
          <w:sz w:val="36"/>
          <w:szCs w:val="36"/>
          <w:lang w:val="es-PE"/>
        </w:rPr>
        <w:t>Mayo</w:t>
      </w:r>
      <w:r w:rsidRPr="00D421EC">
        <w:rPr>
          <w:sz w:val="36"/>
          <w:szCs w:val="36"/>
          <w:lang w:val="es-PE"/>
        </w:rPr>
        <w:t xml:space="preserve"> de 20</w:t>
      </w:r>
      <w:r w:rsidR="009D1A86" w:rsidRPr="00D421EC">
        <w:rPr>
          <w:sz w:val="36"/>
          <w:szCs w:val="36"/>
          <w:lang w:val="es-PE"/>
        </w:rPr>
        <w:t>2</w:t>
      </w:r>
      <w:r w:rsidR="008B73BE" w:rsidRPr="00D421EC">
        <w:rPr>
          <w:sz w:val="36"/>
          <w:szCs w:val="36"/>
          <w:lang w:val="es-PE"/>
        </w:rPr>
        <w:t>1</w:t>
      </w:r>
      <w:r w:rsidRPr="00D421EC">
        <w:rPr>
          <w:sz w:val="36"/>
          <w:szCs w:val="36"/>
          <w:lang w:val="es-PE"/>
        </w:rPr>
        <w:t>)</w:t>
      </w:r>
    </w:p>
    <w:p w14:paraId="1EEB9D2F" w14:textId="62B2F157" w:rsidR="00F53B01" w:rsidRDefault="00F260D0" w:rsidP="00396A0D">
      <w:pPr>
        <w:pStyle w:val="Abstract"/>
        <w:rPr>
          <w:lang w:val="es-PE"/>
        </w:rPr>
      </w:pPr>
      <w:r w:rsidRPr="00D421EC">
        <w:rPr>
          <w:lang w:val="es-PE"/>
        </w:rPr>
        <w:t xml:space="preserve">Resumen </w:t>
      </w:r>
      <w:r w:rsidR="006C1CF4">
        <w:rPr>
          <w:lang w:val="es-PE"/>
        </w:rPr>
        <w:t>–</w:t>
      </w:r>
      <w:r w:rsidR="00F53B01">
        <w:rPr>
          <w:lang w:val="es-PE"/>
        </w:rPr>
        <w:t>.</w:t>
      </w:r>
      <w:r w:rsidR="002629B3">
        <w:rPr>
          <w:lang w:val="es-PE"/>
        </w:rPr>
        <w:t xml:space="preserve"> </w:t>
      </w:r>
      <w:r w:rsidR="006C1CF4">
        <w:rPr>
          <w:lang w:val="es-PE"/>
        </w:rPr>
        <w:t xml:space="preserve"> </w:t>
      </w:r>
      <w:r w:rsidR="00451F46">
        <w:rPr>
          <w:lang w:val="es-PE"/>
        </w:rPr>
        <w:t>El sistema financiero (SF) en Colombia</w:t>
      </w:r>
      <w:r w:rsidR="00026E95">
        <w:rPr>
          <w:lang w:val="es-PE"/>
        </w:rPr>
        <w:t xml:space="preserve">, requiere implementar las nuevas tendencia en minería de datos para tener una ventaja competitiva frente a los demás Bancos, utilizando sus conocimientos y datos como principal activo. </w:t>
      </w:r>
      <w:r w:rsidR="00451F46">
        <w:rPr>
          <w:lang w:val="es-PE"/>
        </w:rPr>
        <w:t xml:space="preserve"> </w:t>
      </w:r>
      <w:r w:rsidR="00883DE4">
        <w:rPr>
          <w:lang w:val="es-PE"/>
        </w:rPr>
        <w:t>El</w:t>
      </w:r>
      <w:r w:rsidR="007721A7" w:rsidRPr="00D421EC">
        <w:rPr>
          <w:lang w:val="es-PE"/>
        </w:rPr>
        <w:t xml:space="preserve"> objetivo </w:t>
      </w:r>
      <w:r w:rsidR="00883DE4">
        <w:rPr>
          <w:lang w:val="es-PE"/>
        </w:rPr>
        <w:t>de esta investigación es</w:t>
      </w:r>
      <w:r w:rsidR="007721A7" w:rsidRPr="00D421EC">
        <w:rPr>
          <w:lang w:val="es-PE"/>
        </w:rPr>
        <w:t xml:space="preserve"> determinar el incumplimiento de pagos en los créditos brindados por Banco Colombia. En este sentido, </w:t>
      </w:r>
      <w:r w:rsidR="007E4AB0">
        <w:rPr>
          <w:lang w:val="es-PE"/>
        </w:rPr>
        <w:t xml:space="preserve">se </w:t>
      </w:r>
      <w:r w:rsidR="00EA08E7">
        <w:rPr>
          <w:lang w:val="es-PE"/>
        </w:rPr>
        <w:t>re</w:t>
      </w:r>
      <w:r w:rsidR="00A17B7C">
        <w:rPr>
          <w:lang w:val="es-PE"/>
        </w:rPr>
        <w:t>a</w:t>
      </w:r>
      <w:r w:rsidR="00EA08E7">
        <w:rPr>
          <w:lang w:val="es-PE"/>
        </w:rPr>
        <w:t>lizó una prueba escrita</w:t>
      </w:r>
      <w:r w:rsidR="00A17B7C">
        <w:rPr>
          <w:lang w:val="es-PE"/>
        </w:rPr>
        <w:t xml:space="preserve"> sobre la personalidad a los clientes con créditos pendientes de pago para ver como estas influyen en el comportamiento del pago crediticio</w:t>
      </w:r>
      <w:r w:rsidR="00F53B01">
        <w:rPr>
          <w:lang w:val="es-PE"/>
        </w:rPr>
        <w:t>.</w:t>
      </w:r>
    </w:p>
    <w:p w14:paraId="6E08B985" w14:textId="0900C673" w:rsidR="00583195" w:rsidRPr="00D421EC" w:rsidRDefault="00F53B01" w:rsidP="00396A0D">
      <w:pPr>
        <w:pStyle w:val="Abstract"/>
        <w:rPr>
          <w:lang w:val="es-PE"/>
        </w:rPr>
      </w:pPr>
      <w:r>
        <w:rPr>
          <w:lang w:val="es-PE"/>
        </w:rPr>
        <w:t>A partir de esto</w:t>
      </w:r>
      <w:r w:rsidR="0001770D">
        <w:rPr>
          <w:lang w:val="es-PE"/>
        </w:rPr>
        <w:t>,</w:t>
      </w:r>
      <w:r>
        <w:rPr>
          <w:lang w:val="es-PE"/>
        </w:rPr>
        <w:t xml:space="preserve"> se realiza un análisis de los datos</w:t>
      </w:r>
      <w:r w:rsidR="003E0C8B">
        <w:rPr>
          <w:lang w:val="es-PE"/>
        </w:rPr>
        <w:t>, como los de las pruebas i</w:t>
      </w:r>
      <w:r>
        <w:rPr>
          <w:lang w:val="es-PE"/>
        </w:rPr>
        <w:t>nfluyen en el incumplimiento de pago</w:t>
      </w:r>
      <w:r w:rsidR="0001770D">
        <w:rPr>
          <w:lang w:val="es-PE"/>
        </w:rPr>
        <w:t>. P</w:t>
      </w:r>
      <w:r>
        <w:rPr>
          <w:lang w:val="es-PE"/>
        </w:rPr>
        <w:t>osteriormente</w:t>
      </w:r>
      <w:r w:rsidR="0001770D">
        <w:rPr>
          <w:lang w:val="es-PE"/>
        </w:rPr>
        <w:t>,</w:t>
      </w:r>
      <w:r w:rsidR="00A17B7C">
        <w:rPr>
          <w:lang w:val="es-PE"/>
        </w:rPr>
        <w:t xml:space="preserve"> </w:t>
      </w:r>
      <w:r w:rsidR="007721A7" w:rsidRPr="00D421EC">
        <w:rPr>
          <w:lang w:val="es-PE"/>
        </w:rPr>
        <w:t xml:space="preserve">se plantean </w:t>
      </w:r>
      <w:r>
        <w:rPr>
          <w:lang w:val="es-PE"/>
        </w:rPr>
        <w:t>la</w:t>
      </w:r>
      <w:r w:rsidR="00D76A85" w:rsidRPr="00D421EC">
        <w:rPr>
          <w:lang w:val="es-PE"/>
        </w:rPr>
        <w:t xml:space="preserve"> compa</w:t>
      </w:r>
      <w:r w:rsidR="00E84D8C" w:rsidRPr="00D421EC">
        <w:rPr>
          <w:lang w:val="es-PE"/>
        </w:rPr>
        <w:t xml:space="preserve">ración </w:t>
      </w:r>
      <w:r w:rsidR="00D76A85" w:rsidRPr="00D421EC">
        <w:rPr>
          <w:lang w:val="es-PE"/>
        </w:rPr>
        <w:t xml:space="preserve">entre </w:t>
      </w:r>
      <w:r>
        <w:rPr>
          <w:lang w:val="es-PE"/>
        </w:rPr>
        <w:t xml:space="preserve">2 modelos: </w:t>
      </w:r>
      <w:r w:rsidR="00E84D8C" w:rsidRPr="00D421EC">
        <w:rPr>
          <w:lang w:val="es-PE"/>
        </w:rPr>
        <w:t>Regresión Logística y Enlaces Asimétricos</w:t>
      </w:r>
      <w:bookmarkStart w:id="0" w:name="PointTmp"/>
      <w:r w:rsidR="003E0C8B">
        <w:rPr>
          <w:lang w:val="es-PE"/>
        </w:rPr>
        <w:t xml:space="preserve">; </w:t>
      </w:r>
      <w:r w:rsidR="0001770D">
        <w:rPr>
          <w:lang w:val="es-PE"/>
        </w:rPr>
        <w:t>y contrastarlos con los indicadores de Gini</w:t>
      </w:r>
      <w:r w:rsidR="00975871">
        <w:rPr>
          <w:lang w:val="es-PE"/>
        </w:rPr>
        <w:t>, Divergencia y Curva ROC.</w:t>
      </w:r>
    </w:p>
    <w:p w14:paraId="416FDD74" w14:textId="77777777" w:rsidR="00E84D8C" w:rsidRPr="00D421EC" w:rsidRDefault="00E84D8C" w:rsidP="00396A0D">
      <w:pPr>
        <w:jc w:val="both"/>
        <w:rPr>
          <w:lang w:val="es-PE"/>
        </w:rPr>
      </w:pPr>
    </w:p>
    <w:p w14:paraId="5FC21189" w14:textId="27B9F3B6" w:rsidR="00583195" w:rsidRPr="00D421EC" w:rsidRDefault="00D421EC" w:rsidP="00396A0D">
      <w:pPr>
        <w:jc w:val="both"/>
        <w:rPr>
          <w:b/>
          <w:sz w:val="18"/>
          <w:szCs w:val="18"/>
        </w:rPr>
      </w:pPr>
      <w:proofErr w:type="spellStart"/>
      <w:r w:rsidRPr="00D421EC">
        <w:rPr>
          <w:b/>
          <w:color w:val="000000"/>
          <w:sz w:val="18"/>
          <w:szCs w:val="18"/>
        </w:rPr>
        <w:t>Índice</w:t>
      </w:r>
      <w:proofErr w:type="spellEnd"/>
      <w:r w:rsidR="00583195" w:rsidRPr="00D421EC">
        <w:rPr>
          <w:b/>
          <w:color w:val="000000"/>
          <w:sz w:val="18"/>
          <w:szCs w:val="18"/>
        </w:rPr>
        <w:t xml:space="preserve"> de </w:t>
      </w:r>
      <w:proofErr w:type="spellStart"/>
      <w:r w:rsidR="00583195" w:rsidRPr="00D421EC">
        <w:rPr>
          <w:b/>
          <w:color w:val="000000"/>
          <w:sz w:val="18"/>
          <w:szCs w:val="18"/>
        </w:rPr>
        <w:t>Términos</w:t>
      </w:r>
      <w:proofErr w:type="spellEnd"/>
      <w:r w:rsidR="00583195" w:rsidRPr="00D421EC">
        <w:rPr>
          <w:b/>
          <w:color w:val="000000"/>
          <w:sz w:val="18"/>
          <w:szCs w:val="18"/>
        </w:rPr>
        <w:t xml:space="preserve"> </w:t>
      </w:r>
      <w:r w:rsidR="007200B2" w:rsidRPr="00D421EC">
        <w:rPr>
          <w:b/>
          <w:color w:val="000000"/>
          <w:sz w:val="18"/>
          <w:szCs w:val="18"/>
        </w:rPr>
        <w:t>–</w:t>
      </w:r>
      <w:r w:rsidR="00583195" w:rsidRPr="00D421EC">
        <w:rPr>
          <w:b/>
          <w:color w:val="000000"/>
          <w:sz w:val="18"/>
          <w:szCs w:val="18"/>
        </w:rPr>
        <w:t xml:space="preserve"> </w:t>
      </w:r>
      <w:r w:rsidR="00E84D8C" w:rsidRPr="00D421EC">
        <w:rPr>
          <w:b/>
          <w:color w:val="000000"/>
          <w:sz w:val="18"/>
          <w:szCs w:val="18"/>
        </w:rPr>
        <w:t xml:space="preserve">Data Mining, </w:t>
      </w:r>
      <w:r w:rsidR="007200B2" w:rsidRPr="00D421EC">
        <w:rPr>
          <w:b/>
          <w:color w:val="000000"/>
          <w:sz w:val="18"/>
          <w:szCs w:val="18"/>
        </w:rPr>
        <w:t>Machine Learning, Default, Credit Scoring</w:t>
      </w:r>
      <w:r w:rsidR="00E84D8C" w:rsidRPr="00D421EC">
        <w:rPr>
          <w:b/>
          <w:color w:val="000000"/>
          <w:sz w:val="18"/>
          <w:szCs w:val="18"/>
        </w:rPr>
        <w:t>.</w:t>
      </w:r>
    </w:p>
    <w:p w14:paraId="3327961A" w14:textId="77777777" w:rsidR="00583195" w:rsidRPr="00D421EC" w:rsidRDefault="00583195" w:rsidP="00396A0D">
      <w:pPr>
        <w:jc w:val="both"/>
      </w:pPr>
    </w:p>
    <w:bookmarkEnd w:id="0"/>
    <w:p w14:paraId="10B63B6A" w14:textId="2C40DC9E" w:rsidR="00F260D0" w:rsidRPr="00D421EC" w:rsidRDefault="006A7B32" w:rsidP="00396A0D">
      <w:pPr>
        <w:pStyle w:val="Ttulo1"/>
        <w:rPr>
          <w:lang w:val="es-PE"/>
        </w:rPr>
      </w:pPr>
      <w:r w:rsidRPr="00D421EC">
        <w:rPr>
          <w:lang w:val="es-PE"/>
        </w:rPr>
        <w:t>introducción</w:t>
      </w:r>
    </w:p>
    <w:p w14:paraId="29F826DE" w14:textId="6489B4B7" w:rsidR="00A76A61" w:rsidRDefault="00451F46" w:rsidP="00396A0D">
      <w:pPr>
        <w:jc w:val="both"/>
        <w:rPr>
          <w:lang w:val="es-PE"/>
        </w:rPr>
      </w:pPr>
      <w:r>
        <w:rPr>
          <w:rStyle w:val="TextCarCarCar"/>
          <w:sz w:val="56"/>
          <w:szCs w:val="56"/>
          <w:lang w:val="es-PE"/>
        </w:rPr>
        <w:t>D</w:t>
      </w:r>
      <w:r>
        <w:rPr>
          <w:lang w:val="es-PE"/>
        </w:rPr>
        <w:t>ebido a la crisis financiera de 1998, la Superintendencia Financiera de Colombia (SFC), solicitó a todas las entidades bancarias emplear modelos estadísticos que permitan determinar que un cliente no cumpla con el pago de sus obligaciones</w:t>
      </w:r>
      <w:r w:rsidR="001F3963">
        <w:rPr>
          <w:lang w:val="es-PE"/>
        </w:rPr>
        <w:t xml:space="preserve">. </w:t>
      </w:r>
      <w:r w:rsidR="001F3963" w:rsidRPr="001F3963">
        <w:rPr>
          <w:lang w:val="es-PE"/>
        </w:rPr>
        <w:t>Según la Circular Externa 011 de 2002 de la </w:t>
      </w:r>
      <w:hyperlink r:id="rId11" w:anchor="redalyc_282154593002_ref28" w:history="1">
        <w:r w:rsidR="001F3963" w:rsidRPr="001F3963">
          <w:rPr>
            <w:lang w:val="es-PE"/>
          </w:rPr>
          <w:t>Superintendencia Financiera de Colombia (SFC)</w:t>
        </w:r>
      </w:hyperlink>
      <w:r w:rsidR="001F3963" w:rsidRPr="001F3963">
        <w:rPr>
          <w:lang w:val="es-PE"/>
        </w:rPr>
        <w:t xml:space="preserve">, </w:t>
      </w:r>
      <w:r w:rsidR="001F3963">
        <w:rPr>
          <w:lang w:val="es-PE"/>
        </w:rPr>
        <w:t xml:space="preserve">se define </w:t>
      </w:r>
      <w:r w:rsidR="001F3963" w:rsidRPr="001F3963">
        <w:rPr>
          <w:lang w:val="es-PE"/>
        </w:rPr>
        <w:t>“la posibilidad de que una entidad incurra en pérdidas y se disminuya el valor de sus activos, como consecuencia de que sus deudores fallen en el cumplimiento oportuno o cumplan imperfectamente los contratos de crédito”</w:t>
      </w:r>
      <w:r w:rsidR="00026E95">
        <w:rPr>
          <w:lang w:val="es-PE"/>
        </w:rPr>
        <w:t>.</w:t>
      </w:r>
    </w:p>
    <w:p w14:paraId="11E6AE72" w14:textId="59BEF659" w:rsidR="00AF232E" w:rsidRDefault="00AF232E" w:rsidP="00396A0D">
      <w:pPr>
        <w:jc w:val="both"/>
        <w:rPr>
          <w:lang w:val="es-PE"/>
        </w:rPr>
      </w:pPr>
    </w:p>
    <w:p w14:paraId="0DFD913F" w14:textId="7DDBFDA4" w:rsidR="00AF232E" w:rsidRDefault="00AF232E" w:rsidP="00396A0D">
      <w:pPr>
        <w:jc w:val="both"/>
        <w:rPr>
          <w:lang w:val="es-PE"/>
        </w:rPr>
      </w:pPr>
      <w:r w:rsidRPr="004A50E7">
        <w:rPr>
          <w:lang w:val="es-PE"/>
        </w:rPr>
        <w:t xml:space="preserve">En este sentido, el objetivo general es proponer una metodología para estimar el riesgo de incumplimiento </w:t>
      </w:r>
      <w:r w:rsidR="004A50E7">
        <w:rPr>
          <w:lang w:val="es-PE"/>
        </w:rPr>
        <w:t>de pago q</w:t>
      </w:r>
      <w:r w:rsidRPr="004A50E7">
        <w:rPr>
          <w:lang w:val="es-PE"/>
        </w:rPr>
        <w:t xml:space="preserve">ue tienen obligaciones con </w:t>
      </w:r>
      <w:r w:rsidR="004A50E7">
        <w:rPr>
          <w:lang w:val="es-PE"/>
        </w:rPr>
        <w:t>Banco Colombi</w:t>
      </w:r>
      <w:r w:rsidRPr="004A50E7">
        <w:rPr>
          <w:lang w:val="es-PE"/>
        </w:rPr>
        <w:t>. El desarrollo del proyecto de investigación está enfocado hacia tres objetivos: primero identificar las variables que son determinantes en la estimación d</w:t>
      </w:r>
      <w:r w:rsidR="004A50E7">
        <w:rPr>
          <w:lang w:val="es-PE"/>
        </w:rPr>
        <w:t>el incumplimiento de pago de los clientes</w:t>
      </w:r>
      <w:r w:rsidRPr="004A50E7">
        <w:rPr>
          <w:lang w:val="es-PE"/>
        </w:rPr>
        <w:t xml:space="preserve">, puesto que estas variables pueden operar como indicadores de alerta temprana ante cambios en la situación </w:t>
      </w:r>
      <w:r w:rsidR="004A50E7">
        <w:rPr>
          <w:lang w:val="es-PE"/>
        </w:rPr>
        <w:t>financiera</w:t>
      </w:r>
      <w:r w:rsidRPr="004A50E7">
        <w:rPr>
          <w:lang w:val="es-PE"/>
        </w:rPr>
        <w:t xml:space="preserve">. Como segundo objetivo, estimar </w:t>
      </w:r>
      <w:r w:rsidR="004A50E7">
        <w:rPr>
          <w:lang w:val="es-PE"/>
        </w:rPr>
        <w:t>el incumplimiento de pago de los clientes del banco de acuerdo a las variables de personalidad</w:t>
      </w:r>
      <w:r w:rsidRPr="004A50E7">
        <w:rPr>
          <w:lang w:val="es-PE"/>
        </w:rPr>
        <w:t xml:space="preserve">, y tercero, </w:t>
      </w:r>
      <w:r w:rsidR="004A50E7">
        <w:rPr>
          <w:lang w:val="es-PE"/>
        </w:rPr>
        <w:t>encontrar el mejor modelo que clasifique mejor el incumplimiento de pago.</w:t>
      </w:r>
    </w:p>
    <w:p w14:paraId="7B9E7A01" w14:textId="09BB7B44" w:rsidR="00C41B6E" w:rsidRDefault="00C41B6E" w:rsidP="00396A0D">
      <w:pPr>
        <w:jc w:val="both"/>
        <w:rPr>
          <w:lang w:val="es-PE"/>
        </w:rPr>
      </w:pPr>
    </w:p>
    <w:p w14:paraId="78749FC4" w14:textId="309FD008" w:rsidR="00C41B6E" w:rsidRDefault="00C41B6E" w:rsidP="00396A0D">
      <w:pPr>
        <w:jc w:val="both"/>
        <w:rPr>
          <w:lang w:val="es-PE"/>
        </w:rPr>
      </w:pPr>
      <w:r>
        <w:rPr>
          <w:lang w:val="es-PE"/>
        </w:rPr>
        <w:t>De acuerdo con Atiya (2001) la predicción del incumplimiento de pago ha sido un fenómeno ampliamente estudiado debido a que las entidades necesitan predecir y provisionar sus recursos con la finalidad de evitar caer en bancarrota y maximizar utilidades.</w:t>
      </w:r>
    </w:p>
    <w:p w14:paraId="07FFDD5D" w14:textId="71ECFAAB" w:rsidR="00C41B6E" w:rsidRDefault="00C41B6E" w:rsidP="00396A0D">
      <w:pPr>
        <w:pStyle w:val="Ttulo1"/>
        <w:rPr>
          <w:lang w:val="es-PE"/>
        </w:rPr>
      </w:pPr>
      <w:r>
        <w:rPr>
          <w:lang w:val="es-PE"/>
        </w:rPr>
        <w:t>MARCO TEÓRICO</w:t>
      </w:r>
    </w:p>
    <w:p w14:paraId="510152E9" w14:textId="77777777" w:rsidR="00396A0D" w:rsidRPr="00396A0D" w:rsidRDefault="00396A0D" w:rsidP="00396A0D">
      <w:pPr>
        <w:pStyle w:val="NormalWeb"/>
        <w:shd w:val="clear" w:color="auto" w:fill="FFFFFF"/>
        <w:jc w:val="both"/>
        <w:rPr>
          <w:sz w:val="20"/>
          <w:szCs w:val="20"/>
          <w:lang w:eastAsia="en-US"/>
        </w:rPr>
      </w:pPr>
      <w:r w:rsidRPr="00396A0D">
        <w:rPr>
          <w:sz w:val="20"/>
          <w:szCs w:val="20"/>
          <w:lang w:eastAsia="en-US"/>
        </w:rPr>
        <w:t>Los modelos analíticos para el manejo del riesgo de crédito han sido extensamente estudiados y utilizados por un sin fin de áreas como la medicina, sociología y por su puesto por instituciones financieras desde hace más de 50 años, mostrando resultados exitosos en todo el mundo (</w:t>
      </w:r>
      <w:hyperlink r:id="rId12" w:anchor="B20" w:history="1">
        <w:r w:rsidRPr="00396A0D">
          <w:rPr>
            <w:sz w:val="20"/>
            <w:szCs w:val="20"/>
            <w:lang w:eastAsia="en-US"/>
          </w:rPr>
          <w:t>Thomas 2004</w:t>
        </w:r>
      </w:hyperlink>
      <w:r w:rsidRPr="00396A0D">
        <w:rPr>
          <w:sz w:val="20"/>
          <w:szCs w:val="20"/>
          <w:lang w:eastAsia="en-US"/>
        </w:rPr>
        <w:t>).</w:t>
      </w:r>
    </w:p>
    <w:p w14:paraId="3AD6A51D" w14:textId="77777777" w:rsidR="00396A0D" w:rsidRPr="00396A0D" w:rsidRDefault="00396A0D" w:rsidP="00396A0D">
      <w:pPr>
        <w:pStyle w:val="NormalWeb"/>
        <w:shd w:val="clear" w:color="auto" w:fill="FFFFFF"/>
        <w:jc w:val="both"/>
        <w:rPr>
          <w:sz w:val="20"/>
          <w:szCs w:val="20"/>
          <w:lang w:eastAsia="en-US"/>
        </w:rPr>
      </w:pPr>
      <w:r w:rsidRPr="00396A0D">
        <w:rPr>
          <w:sz w:val="20"/>
          <w:szCs w:val="20"/>
          <w:lang w:eastAsia="en-US"/>
        </w:rPr>
        <w:t>El identificar aquellos clientes consolidados o potenciales que no generan un negocio a la entidad, requiere buscar el adoptar mejores lineamientos en su tratamiento y reservar base monetaria en caso de incumplimiento y/o migración de </w:t>
      </w:r>
      <w:proofErr w:type="spellStart"/>
      <w:r w:rsidRPr="00541513">
        <w:rPr>
          <w:sz w:val="20"/>
          <w:szCs w:val="20"/>
          <w:lang w:eastAsia="en-US"/>
        </w:rPr>
        <w:t>buckets</w:t>
      </w:r>
      <w:proofErr w:type="spellEnd"/>
      <w:r w:rsidRPr="00396A0D">
        <w:rPr>
          <w:sz w:val="20"/>
          <w:szCs w:val="20"/>
          <w:lang w:eastAsia="en-US"/>
        </w:rPr>
        <w:t> (impagos) tolerables a </w:t>
      </w:r>
      <w:proofErr w:type="spellStart"/>
      <w:r w:rsidRPr="00541513">
        <w:rPr>
          <w:sz w:val="20"/>
          <w:szCs w:val="20"/>
          <w:lang w:eastAsia="en-US"/>
        </w:rPr>
        <w:t>buckets</w:t>
      </w:r>
      <w:proofErr w:type="spellEnd"/>
      <w:r w:rsidRPr="00396A0D">
        <w:rPr>
          <w:sz w:val="20"/>
          <w:szCs w:val="20"/>
          <w:lang w:eastAsia="en-US"/>
        </w:rPr>
        <w:t> catalogados como vencidos, tal es el caso con las investigaciones de </w:t>
      </w:r>
      <w:hyperlink r:id="rId13" w:anchor="B8" w:history="1">
        <w:proofErr w:type="spellStart"/>
        <w:r w:rsidRPr="00396A0D">
          <w:rPr>
            <w:sz w:val="20"/>
            <w:szCs w:val="20"/>
            <w:lang w:eastAsia="en-US"/>
          </w:rPr>
          <w:t>Hsia</w:t>
        </w:r>
        <w:proofErr w:type="spellEnd"/>
        <w:r w:rsidRPr="00396A0D">
          <w:rPr>
            <w:sz w:val="20"/>
            <w:szCs w:val="20"/>
            <w:lang w:eastAsia="en-US"/>
          </w:rPr>
          <w:t xml:space="preserve"> (1978)</w:t>
        </w:r>
      </w:hyperlink>
      <w:r w:rsidRPr="00396A0D">
        <w:rPr>
          <w:sz w:val="20"/>
          <w:szCs w:val="20"/>
          <w:lang w:eastAsia="en-US"/>
        </w:rPr>
        <w:t> que describe el aumento del método </w:t>
      </w:r>
      <w:r w:rsidRPr="00541513">
        <w:rPr>
          <w:sz w:val="20"/>
          <w:szCs w:val="20"/>
          <w:lang w:eastAsia="en-US"/>
        </w:rPr>
        <w:t>Scoring</w:t>
      </w:r>
      <w:r w:rsidRPr="00396A0D">
        <w:rPr>
          <w:sz w:val="20"/>
          <w:szCs w:val="20"/>
          <w:lang w:eastAsia="en-US"/>
        </w:rPr>
        <w:t> en importancia, mientras que otros cálculos son sugeridos por </w:t>
      </w:r>
      <w:proofErr w:type="spellStart"/>
      <w:r w:rsidRPr="00396A0D">
        <w:rPr>
          <w:sz w:val="20"/>
          <w:szCs w:val="20"/>
          <w:lang w:eastAsia="en-US"/>
        </w:rPr>
        <w:fldChar w:fldCharType="begin"/>
      </w:r>
      <w:r w:rsidRPr="00396A0D">
        <w:rPr>
          <w:sz w:val="20"/>
          <w:szCs w:val="20"/>
          <w:lang w:eastAsia="en-US"/>
        </w:rPr>
        <w:instrText xml:space="preserve"> HYPERLINK "http://www.scielo.org.mx/scielo.php?script=sci_arttext&amp;pid=S1665-53462016000100103" \l "B16" </w:instrText>
      </w:r>
      <w:r w:rsidRPr="00396A0D">
        <w:rPr>
          <w:sz w:val="20"/>
          <w:szCs w:val="20"/>
          <w:lang w:eastAsia="en-US"/>
        </w:rPr>
        <w:fldChar w:fldCharType="separate"/>
      </w:r>
      <w:r w:rsidRPr="00396A0D">
        <w:rPr>
          <w:sz w:val="20"/>
          <w:szCs w:val="20"/>
          <w:lang w:eastAsia="en-US"/>
        </w:rPr>
        <w:t>Reichert</w:t>
      </w:r>
      <w:proofErr w:type="spellEnd"/>
      <w:r w:rsidRPr="00396A0D">
        <w:rPr>
          <w:sz w:val="20"/>
          <w:szCs w:val="20"/>
          <w:lang w:eastAsia="en-US"/>
        </w:rPr>
        <w:t>, Cho y Wagner (1993)</w:t>
      </w:r>
      <w:r w:rsidRPr="00396A0D">
        <w:rPr>
          <w:sz w:val="20"/>
          <w:szCs w:val="20"/>
          <w:lang w:eastAsia="en-US"/>
        </w:rPr>
        <w:fldChar w:fldCharType="end"/>
      </w:r>
      <w:r w:rsidRPr="00396A0D">
        <w:rPr>
          <w:sz w:val="20"/>
          <w:szCs w:val="20"/>
          <w:lang w:eastAsia="en-US"/>
        </w:rPr>
        <w:t>, </w:t>
      </w:r>
      <w:proofErr w:type="spellStart"/>
      <w:r w:rsidRPr="00396A0D">
        <w:rPr>
          <w:sz w:val="20"/>
          <w:szCs w:val="20"/>
          <w:lang w:eastAsia="en-US"/>
        </w:rPr>
        <w:fldChar w:fldCharType="begin"/>
      </w:r>
      <w:r w:rsidRPr="00396A0D">
        <w:rPr>
          <w:sz w:val="20"/>
          <w:szCs w:val="20"/>
          <w:lang w:eastAsia="en-US"/>
        </w:rPr>
        <w:instrText xml:space="preserve"> HYPERLINK "http://www.scielo.org.mx/scielo.php?script=sci_arttext&amp;pid=S1665-53462016000100103" \l "B9" </w:instrText>
      </w:r>
      <w:r w:rsidRPr="00396A0D">
        <w:rPr>
          <w:sz w:val="20"/>
          <w:szCs w:val="20"/>
          <w:lang w:eastAsia="en-US"/>
        </w:rPr>
        <w:fldChar w:fldCharType="separate"/>
      </w:r>
      <w:r w:rsidRPr="00396A0D">
        <w:rPr>
          <w:sz w:val="20"/>
          <w:szCs w:val="20"/>
          <w:lang w:eastAsia="en-US"/>
        </w:rPr>
        <w:t>Joanes</w:t>
      </w:r>
      <w:proofErr w:type="spellEnd"/>
      <w:r w:rsidRPr="00396A0D">
        <w:rPr>
          <w:sz w:val="20"/>
          <w:szCs w:val="20"/>
          <w:lang w:eastAsia="en-US"/>
        </w:rPr>
        <w:t xml:space="preserve"> (1993)</w:t>
      </w:r>
      <w:r w:rsidRPr="00396A0D">
        <w:rPr>
          <w:sz w:val="20"/>
          <w:szCs w:val="20"/>
          <w:lang w:eastAsia="en-US"/>
        </w:rPr>
        <w:fldChar w:fldCharType="end"/>
      </w:r>
      <w:r w:rsidRPr="00396A0D">
        <w:rPr>
          <w:sz w:val="20"/>
          <w:szCs w:val="20"/>
          <w:lang w:eastAsia="en-US"/>
        </w:rPr>
        <w:t>, </w:t>
      </w:r>
      <w:hyperlink r:id="rId14" w:anchor="B7" w:history="1">
        <w:r w:rsidRPr="00396A0D">
          <w:rPr>
            <w:sz w:val="20"/>
            <w:szCs w:val="20"/>
            <w:lang w:eastAsia="en-US"/>
          </w:rPr>
          <w:t xml:space="preserve">Hand y </w:t>
        </w:r>
        <w:proofErr w:type="spellStart"/>
        <w:r w:rsidRPr="00396A0D">
          <w:rPr>
            <w:sz w:val="20"/>
            <w:szCs w:val="20"/>
            <w:lang w:eastAsia="en-US"/>
          </w:rPr>
          <w:t>Henley</w:t>
        </w:r>
        <w:proofErr w:type="spellEnd"/>
        <w:r w:rsidRPr="00396A0D">
          <w:rPr>
            <w:sz w:val="20"/>
            <w:szCs w:val="20"/>
            <w:lang w:eastAsia="en-US"/>
          </w:rPr>
          <w:t xml:space="preserve"> (1997)</w:t>
        </w:r>
      </w:hyperlink>
      <w:r w:rsidRPr="00396A0D">
        <w:rPr>
          <w:sz w:val="20"/>
          <w:szCs w:val="20"/>
          <w:lang w:eastAsia="en-US"/>
        </w:rPr>
        <w:t>; que detallan el estudio de relaciones particulares entre las distribuciones de clientes buenos y malos que cuentan con la posibilidad de aceptar y rechazar población con características similares.</w:t>
      </w:r>
    </w:p>
    <w:p w14:paraId="2B597240" w14:textId="4E960677" w:rsidR="00396A0D" w:rsidRPr="00396A0D" w:rsidRDefault="00396A0D" w:rsidP="00541513">
      <w:pPr>
        <w:pStyle w:val="NormalWeb"/>
        <w:shd w:val="clear" w:color="auto" w:fill="FFFFFF"/>
        <w:jc w:val="both"/>
      </w:pPr>
      <w:r w:rsidRPr="00396A0D">
        <w:rPr>
          <w:sz w:val="20"/>
          <w:szCs w:val="20"/>
          <w:lang w:eastAsia="en-US"/>
        </w:rPr>
        <w:t>La historia de los modelos de </w:t>
      </w:r>
      <w:r w:rsidRPr="00541513">
        <w:rPr>
          <w:sz w:val="20"/>
          <w:szCs w:val="20"/>
          <w:lang w:eastAsia="en-US"/>
        </w:rPr>
        <w:t>Scoring</w:t>
      </w:r>
      <w:r w:rsidRPr="00396A0D">
        <w:rPr>
          <w:sz w:val="20"/>
          <w:szCs w:val="20"/>
          <w:lang w:eastAsia="en-US"/>
        </w:rPr>
        <w:t> se remonta cuando </w:t>
      </w:r>
      <w:hyperlink r:id="rId15" w:anchor="B5" w:history="1">
        <w:r w:rsidRPr="00396A0D">
          <w:rPr>
            <w:sz w:val="20"/>
            <w:szCs w:val="20"/>
            <w:lang w:eastAsia="en-US"/>
          </w:rPr>
          <w:t>Fisher (1936)</w:t>
        </w:r>
      </w:hyperlink>
      <w:r w:rsidRPr="00396A0D">
        <w:rPr>
          <w:sz w:val="20"/>
          <w:szCs w:val="20"/>
          <w:lang w:eastAsia="en-US"/>
        </w:rPr>
        <w:t> introduce la idea de discriminar diferentes grupos dentro de una población específica. Esta idea fue desarrollada más ampliamente por </w:t>
      </w:r>
      <w:hyperlink r:id="rId16" w:anchor="B4" w:history="1">
        <w:r w:rsidRPr="00396A0D">
          <w:rPr>
            <w:sz w:val="20"/>
            <w:szCs w:val="20"/>
            <w:lang w:eastAsia="en-US"/>
          </w:rPr>
          <w:t>Durand (1941)</w:t>
        </w:r>
      </w:hyperlink>
      <w:r w:rsidRPr="00396A0D">
        <w:rPr>
          <w:sz w:val="20"/>
          <w:szCs w:val="20"/>
          <w:lang w:eastAsia="en-US"/>
        </w:rPr>
        <w:t>, aplicando contexto financiero para discriminar entre un “Buen” y un “Mal” pagador, ver de igual manera a </w:t>
      </w:r>
      <w:hyperlink r:id="rId17" w:anchor="B20" w:history="1">
        <w:r w:rsidRPr="00396A0D">
          <w:rPr>
            <w:sz w:val="20"/>
            <w:szCs w:val="20"/>
            <w:lang w:eastAsia="en-US"/>
          </w:rPr>
          <w:t>Thomas (2004)</w:t>
        </w:r>
      </w:hyperlink>
      <w:r w:rsidRPr="00396A0D">
        <w:rPr>
          <w:sz w:val="20"/>
          <w:szCs w:val="20"/>
          <w:lang w:eastAsia="en-US"/>
        </w:rPr>
        <w:t>. En relación a la creación de proveedores (</w:t>
      </w:r>
      <w:proofErr w:type="spellStart"/>
      <w:r w:rsidRPr="00541513">
        <w:rPr>
          <w:sz w:val="20"/>
          <w:szCs w:val="20"/>
          <w:lang w:eastAsia="en-US"/>
        </w:rPr>
        <w:t>vendors</w:t>
      </w:r>
      <w:proofErr w:type="spellEnd"/>
      <w:r w:rsidRPr="00396A0D">
        <w:rPr>
          <w:sz w:val="20"/>
          <w:szCs w:val="20"/>
          <w:lang w:eastAsia="en-US"/>
        </w:rPr>
        <w:t xml:space="preserve">) de modelos </w:t>
      </w:r>
      <w:proofErr w:type="spellStart"/>
      <w:r w:rsidRPr="00396A0D">
        <w:rPr>
          <w:sz w:val="20"/>
          <w:szCs w:val="20"/>
          <w:lang w:eastAsia="en-US"/>
        </w:rPr>
        <w:t>scorging</w:t>
      </w:r>
      <w:proofErr w:type="spellEnd"/>
      <w:r w:rsidRPr="00396A0D">
        <w:rPr>
          <w:sz w:val="20"/>
          <w:szCs w:val="20"/>
          <w:lang w:eastAsia="en-US"/>
        </w:rPr>
        <w:t xml:space="preserve">, Bill </w:t>
      </w:r>
      <w:proofErr w:type="spellStart"/>
      <w:r w:rsidRPr="00396A0D">
        <w:rPr>
          <w:sz w:val="20"/>
          <w:szCs w:val="20"/>
          <w:lang w:eastAsia="en-US"/>
        </w:rPr>
        <w:t>Fair</w:t>
      </w:r>
      <w:proofErr w:type="spellEnd"/>
      <w:r w:rsidRPr="00396A0D">
        <w:rPr>
          <w:sz w:val="20"/>
          <w:szCs w:val="20"/>
          <w:lang w:eastAsia="en-US"/>
        </w:rPr>
        <w:t xml:space="preserve"> y Earl Isaac a finales de los cincuentas empezaron con el desarrollo de un sistema analítico en relación al análisis de riesgo de créditos. </w:t>
      </w:r>
      <w:r w:rsidRPr="00396A0D">
        <w:rPr>
          <w:sz w:val="20"/>
          <w:szCs w:val="20"/>
          <w:lang w:eastAsia="en-US"/>
        </w:rPr>
        <w:lastRenderedPageBreak/>
        <w:t xml:space="preserve">En los años 60 con la creación de nuevos instrumentos financieros, </w:t>
      </w:r>
      <w:r w:rsidR="00095231" w:rsidRPr="00396A0D">
        <w:rPr>
          <w:sz w:val="20"/>
          <w:szCs w:val="20"/>
          <w:lang w:eastAsia="en-US"/>
        </w:rPr>
        <w:t>como,</w:t>
      </w:r>
      <w:r w:rsidRPr="00396A0D">
        <w:rPr>
          <w:sz w:val="20"/>
          <w:szCs w:val="20"/>
          <w:lang w:eastAsia="en-US"/>
        </w:rPr>
        <w:t xml:space="preserve"> por ejemplo: las tarjetas de crédito, los modelos de </w:t>
      </w:r>
      <w:r w:rsidRPr="00541513">
        <w:rPr>
          <w:sz w:val="20"/>
          <w:szCs w:val="20"/>
          <w:lang w:eastAsia="en-US"/>
        </w:rPr>
        <w:t>Scoring</w:t>
      </w:r>
      <w:r w:rsidRPr="00396A0D">
        <w:rPr>
          <w:sz w:val="20"/>
          <w:szCs w:val="20"/>
          <w:lang w:eastAsia="en-US"/>
        </w:rPr>
        <w:t> realzaron y mostraron su real importancia y utilidad. Según </w:t>
      </w:r>
      <w:hyperlink r:id="rId18" w:anchor="B15" w:history="1">
        <w:r w:rsidRPr="00396A0D">
          <w:rPr>
            <w:sz w:val="20"/>
            <w:szCs w:val="20"/>
            <w:lang w:eastAsia="en-US"/>
          </w:rPr>
          <w:t>Myers (1963)</w:t>
        </w:r>
      </w:hyperlink>
      <w:r w:rsidRPr="00396A0D">
        <w:rPr>
          <w:sz w:val="20"/>
          <w:szCs w:val="20"/>
          <w:lang w:eastAsia="en-US"/>
        </w:rPr>
        <w:t> este tipo de modelos es superior como predictor que cualquier juicio experto cualitativo. Otro hito importante en este contexto fue el desarrollo del </w:t>
      </w:r>
      <w:r w:rsidRPr="00541513">
        <w:rPr>
          <w:sz w:val="20"/>
          <w:szCs w:val="20"/>
          <w:lang w:eastAsia="en-US"/>
        </w:rPr>
        <w:t>Z-Score</w:t>
      </w:r>
      <w:r w:rsidRPr="00396A0D">
        <w:rPr>
          <w:sz w:val="20"/>
          <w:szCs w:val="20"/>
          <w:lang w:eastAsia="en-US"/>
        </w:rPr>
        <w:t> propuesto por </w:t>
      </w:r>
      <w:hyperlink r:id="rId19" w:anchor="B1" w:history="1">
        <w:r w:rsidRPr="00396A0D">
          <w:rPr>
            <w:sz w:val="20"/>
            <w:szCs w:val="20"/>
            <w:lang w:eastAsia="en-US"/>
          </w:rPr>
          <w:t>Altman (1968)</w:t>
        </w:r>
      </w:hyperlink>
      <w:r w:rsidRPr="00396A0D">
        <w:rPr>
          <w:sz w:val="20"/>
          <w:szCs w:val="20"/>
          <w:lang w:eastAsia="en-US"/>
        </w:rPr>
        <w:t> que ha sido aplicado en muchas empresas del sector financiero.</w:t>
      </w:r>
      <w:bookmarkStart w:id="1" w:name="idp7235888"/>
      <w:bookmarkEnd w:id="1"/>
    </w:p>
    <w:p w14:paraId="75434E90" w14:textId="2CA85538" w:rsidR="00BF5557" w:rsidRDefault="00BF5557" w:rsidP="00396A0D">
      <w:pPr>
        <w:pStyle w:val="Ttulo2"/>
        <w:jc w:val="both"/>
        <w:rPr>
          <w:lang w:val="es-PE"/>
        </w:rPr>
      </w:pPr>
      <w:r>
        <w:rPr>
          <w:lang w:val="es-PE"/>
        </w:rPr>
        <w:t>Incumplimiento de Pago</w:t>
      </w:r>
    </w:p>
    <w:p w14:paraId="50DA0AF4" w14:textId="64C8E113" w:rsidR="00BF5557" w:rsidRPr="00BF5557" w:rsidRDefault="00BF5557" w:rsidP="00396A0D">
      <w:pPr>
        <w:pStyle w:val="Ttulo2"/>
        <w:jc w:val="both"/>
        <w:rPr>
          <w:lang w:val="es-PE"/>
        </w:rPr>
      </w:pPr>
      <w:r>
        <w:rPr>
          <w:lang w:val="es-PE"/>
        </w:rPr>
        <w:t>Metodología</w:t>
      </w:r>
    </w:p>
    <w:p w14:paraId="64E9A195" w14:textId="1C5F1D9D" w:rsidR="008F7844" w:rsidRPr="00121C72" w:rsidRDefault="00CA3EB6" w:rsidP="00396A0D">
      <w:pPr>
        <w:pStyle w:val="Ttulo1"/>
        <w:jc w:val="both"/>
        <w:rPr>
          <w:lang w:val="es-PE"/>
        </w:rPr>
      </w:pPr>
      <w:r w:rsidRPr="00121C72">
        <w:rPr>
          <w:lang w:val="es-PE"/>
        </w:rPr>
        <w:t xml:space="preserve">Procedimiento </w:t>
      </w:r>
      <w:r w:rsidR="008000CF" w:rsidRPr="00121C72">
        <w:rPr>
          <w:lang w:val="es-PE"/>
        </w:rPr>
        <w:t>DESARROLLO DEL TRABAJO</w:t>
      </w:r>
      <w:r w:rsidRPr="00121C72">
        <w:rPr>
          <w:lang w:val="es-PE"/>
        </w:rPr>
        <w:t xml:space="preserve"> </w:t>
      </w:r>
    </w:p>
    <w:p w14:paraId="71E8C770" w14:textId="77777777" w:rsidR="00D26801" w:rsidRPr="00D421EC" w:rsidRDefault="00D26801" w:rsidP="00396A0D">
      <w:pPr>
        <w:pStyle w:val="TextCarCar"/>
        <w:rPr>
          <w:color w:val="000000"/>
          <w:lang w:val="es-PE"/>
        </w:rPr>
      </w:pPr>
    </w:p>
    <w:p w14:paraId="63805DCD" w14:textId="2D977E92" w:rsidR="008000CF" w:rsidRDefault="00CC409B" w:rsidP="00396A0D">
      <w:pPr>
        <w:pStyle w:val="Ttulo2"/>
        <w:jc w:val="both"/>
        <w:rPr>
          <w:lang w:val="es-PE"/>
        </w:rPr>
      </w:pPr>
      <w:r w:rsidRPr="0005782C">
        <w:rPr>
          <w:lang w:val="es-PE"/>
        </w:rPr>
        <w:t xml:space="preserve"> </w:t>
      </w:r>
      <w:r w:rsidR="0005782C" w:rsidRPr="0005782C">
        <w:rPr>
          <w:lang w:val="es-PE"/>
        </w:rPr>
        <w:t>Recolección de fuentes de información</w:t>
      </w:r>
    </w:p>
    <w:p w14:paraId="27DF7FFB" w14:textId="77777777" w:rsidR="0005782C" w:rsidRPr="0005782C" w:rsidRDefault="0005782C" w:rsidP="00396A0D">
      <w:pPr>
        <w:jc w:val="both"/>
        <w:rPr>
          <w:lang w:val="es-PE"/>
        </w:rPr>
      </w:pPr>
    </w:p>
    <w:p w14:paraId="3D88AA01" w14:textId="51299A39" w:rsidR="008000CF" w:rsidRDefault="008000CF" w:rsidP="00396A0D">
      <w:pPr>
        <w:pStyle w:val="Prrafodelista"/>
        <w:numPr>
          <w:ilvl w:val="0"/>
          <w:numId w:val="18"/>
        </w:numPr>
        <w:jc w:val="both"/>
        <w:rPr>
          <w:lang w:val="es-PE"/>
        </w:rPr>
      </w:pPr>
      <w:r w:rsidRPr="008000CF">
        <w:rPr>
          <w:b/>
          <w:bCs/>
          <w:lang w:val="es-PE"/>
        </w:rPr>
        <w:t>Fuente de información:</w:t>
      </w:r>
      <w:r>
        <w:rPr>
          <w:lang w:val="es-PE"/>
        </w:rPr>
        <w:t xml:space="preserve"> Se cuenta con datos de 80 mil clientes del Banco Colombia que cuenta con prestamos crediticios pendientes.</w:t>
      </w:r>
    </w:p>
    <w:p w14:paraId="440E5187" w14:textId="77777777" w:rsidR="008000CF" w:rsidRDefault="008000CF" w:rsidP="00396A0D">
      <w:pPr>
        <w:pStyle w:val="Prrafodelista"/>
        <w:jc w:val="both"/>
        <w:rPr>
          <w:lang w:val="es-PE"/>
        </w:rPr>
      </w:pPr>
    </w:p>
    <w:p w14:paraId="14B65F0F" w14:textId="77777777" w:rsidR="008000CF" w:rsidRDefault="008000CF" w:rsidP="00396A0D">
      <w:pPr>
        <w:pStyle w:val="TableTitle"/>
        <w:ind w:left="1428" w:firstLine="696"/>
        <w:jc w:val="both"/>
        <w:rPr>
          <w:lang w:val="es-PE"/>
        </w:rPr>
      </w:pPr>
      <w:r>
        <w:rPr>
          <w:lang w:val="es-PE"/>
        </w:rPr>
        <w:t>TABLA I</w:t>
      </w:r>
    </w:p>
    <w:p w14:paraId="3369751A" w14:textId="77777777" w:rsidR="008000CF" w:rsidRDefault="008000CF" w:rsidP="00396A0D">
      <w:pPr>
        <w:pStyle w:val="TableTitle"/>
        <w:ind w:left="720" w:firstLine="696"/>
        <w:jc w:val="both"/>
        <w:rPr>
          <w:lang w:val="es-PE"/>
        </w:rPr>
      </w:pPr>
      <w:r>
        <w:rPr>
          <w:lang w:val="es-PE"/>
        </w:rPr>
        <w:t xml:space="preserve">Fuentes de información </w:t>
      </w:r>
    </w:p>
    <w:tbl>
      <w:tblPr>
        <w:tblW w:w="4725"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1021"/>
        <w:gridCol w:w="3704"/>
      </w:tblGrid>
      <w:tr w:rsidR="008000CF" w14:paraId="656D3F26" w14:textId="77777777" w:rsidTr="008000CF">
        <w:trPr>
          <w:trHeight w:val="31"/>
        </w:trPr>
        <w:tc>
          <w:tcPr>
            <w:tcW w:w="1021" w:type="dxa"/>
            <w:tcBorders>
              <w:top w:val="double" w:sz="6" w:space="0" w:color="auto"/>
              <w:left w:val="nil"/>
              <w:bottom w:val="single" w:sz="6" w:space="0" w:color="auto"/>
              <w:right w:val="nil"/>
            </w:tcBorders>
            <w:vAlign w:val="center"/>
            <w:hideMark/>
          </w:tcPr>
          <w:p w14:paraId="6FBE3831" w14:textId="77777777" w:rsidR="008000CF" w:rsidRDefault="008000CF" w:rsidP="00396A0D">
            <w:pPr>
              <w:pStyle w:val="TableTitle"/>
              <w:jc w:val="both"/>
              <w:rPr>
                <w:lang w:val="es-PE"/>
              </w:rPr>
            </w:pPr>
            <w:r>
              <w:rPr>
                <w:lang w:val="es-PE"/>
              </w:rPr>
              <w:t>Nombre</w:t>
            </w:r>
          </w:p>
        </w:tc>
        <w:tc>
          <w:tcPr>
            <w:tcW w:w="3704" w:type="dxa"/>
            <w:tcBorders>
              <w:top w:val="double" w:sz="6" w:space="0" w:color="auto"/>
              <w:left w:val="nil"/>
              <w:bottom w:val="single" w:sz="6" w:space="0" w:color="auto"/>
              <w:right w:val="nil"/>
            </w:tcBorders>
            <w:vAlign w:val="center"/>
            <w:hideMark/>
          </w:tcPr>
          <w:p w14:paraId="6F7E9028" w14:textId="77777777" w:rsidR="008000CF" w:rsidRDefault="008000CF" w:rsidP="00396A0D">
            <w:pPr>
              <w:jc w:val="both"/>
              <w:rPr>
                <w:sz w:val="16"/>
                <w:szCs w:val="16"/>
                <w:lang w:val="es-PE"/>
              </w:rPr>
            </w:pPr>
            <w:r>
              <w:rPr>
                <w:sz w:val="16"/>
                <w:szCs w:val="16"/>
                <w:lang w:val="es-PE"/>
              </w:rPr>
              <w:t>Descripción</w:t>
            </w:r>
          </w:p>
        </w:tc>
      </w:tr>
      <w:tr w:rsidR="008000CF" w:rsidRPr="006A5FA8" w14:paraId="2C0BE4FD" w14:textId="77777777" w:rsidTr="008000CF">
        <w:trPr>
          <w:trHeight w:val="161"/>
        </w:trPr>
        <w:tc>
          <w:tcPr>
            <w:tcW w:w="1021" w:type="dxa"/>
            <w:tcBorders>
              <w:top w:val="nil"/>
              <w:left w:val="nil"/>
              <w:bottom w:val="nil"/>
              <w:right w:val="nil"/>
            </w:tcBorders>
            <w:hideMark/>
          </w:tcPr>
          <w:p w14:paraId="2B1C6EF2" w14:textId="64AD30F9" w:rsidR="008000CF" w:rsidRDefault="008000CF" w:rsidP="00396A0D">
            <w:pPr>
              <w:jc w:val="both"/>
              <w:rPr>
                <w:sz w:val="16"/>
                <w:szCs w:val="16"/>
                <w:lang w:val="es-PE"/>
              </w:rPr>
            </w:pPr>
            <w:r>
              <w:rPr>
                <w:sz w:val="16"/>
                <w:szCs w:val="16"/>
                <w:lang w:val="es-PE"/>
              </w:rPr>
              <w:t>score_train</w:t>
            </w:r>
          </w:p>
        </w:tc>
        <w:tc>
          <w:tcPr>
            <w:tcW w:w="3704" w:type="dxa"/>
            <w:tcBorders>
              <w:top w:val="nil"/>
              <w:left w:val="nil"/>
              <w:bottom w:val="nil"/>
              <w:right w:val="nil"/>
            </w:tcBorders>
            <w:hideMark/>
          </w:tcPr>
          <w:p w14:paraId="7CD90118" w14:textId="7AA7825D" w:rsidR="008000CF" w:rsidRDefault="008000CF" w:rsidP="00396A0D">
            <w:pPr>
              <w:jc w:val="both"/>
              <w:rPr>
                <w:sz w:val="16"/>
                <w:szCs w:val="16"/>
                <w:lang w:val="es-PE"/>
              </w:rPr>
            </w:pPr>
            <w:r>
              <w:rPr>
                <w:sz w:val="16"/>
                <w:szCs w:val="16"/>
                <w:lang w:val="es-PE"/>
              </w:rPr>
              <w:t xml:space="preserve">Información crediticia de 63’901 clientes con prueba escrita de personalidad. </w:t>
            </w:r>
          </w:p>
        </w:tc>
      </w:tr>
      <w:tr w:rsidR="008000CF" w:rsidRPr="006A5FA8" w14:paraId="03B625E1" w14:textId="77777777" w:rsidTr="008000CF">
        <w:trPr>
          <w:trHeight w:val="60"/>
        </w:trPr>
        <w:tc>
          <w:tcPr>
            <w:tcW w:w="1021" w:type="dxa"/>
            <w:tcBorders>
              <w:top w:val="nil"/>
              <w:left w:val="nil"/>
              <w:bottom w:val="double" w:sz="6" w:space="0" w:color="auto"/>
              <w:right w:val="nil"/>
            </w:tcBorders>
          </w:tcPr>
          <w:p w14:paraId="1BC933D5" w14:textId="48399151" w:rsidR="008000CF" w:rsidRDefault="006A5FA8" w:rsidP="00396A0D">
            <w:pPr>
              <w:jc w:val="both"/>
              <w:rPr>
                <w:sz w:val="16"/>
                <w:szCs w:val="16"/>
                <w:lang w:val="es-PE"/>
              </w:rPr>
            </w:pPr>
            <w:r>
              <w:rPr>
                <w:sz w:val="16"/>
                <w:szCs w:val="16"/>
                <w:lang w:val="es-PE"/>
              </w:rPr>
              <w:t>s</w:t>
            </w:r>
            <w:r w:rsidR="008000CF">
              <w:rPr>
                <w:sz w:val="16"/>
                <w:szCs w:val="16"/>
                <w:lang w:val="es-PE"/>
              </w:rPr>
              <w:t>core_test</w:t>
            </w:r>
          </w:p>
        </w:tc>
        <w:tc>
          <w:tcPr>
            <w:tcW w:w="3704" w:type="dxa"/>
            <w:tcBorders>
              <w:top w:val="nil"/>
              <w:left w:val="nil"/>
              <w:bottom w:val="double" w:sz="6" w:space="0" w:color="auto"/>
              <w:right w:val="nil"/>
            </w:tcBorders>
          </w:tcPr>
          <w:p w14:paraId="10D62E2D" w14:textId="3C9C3EFF" w:rsidR="008000CF" w:rsidRDefault="008000CF" w:rsidP="00396A0D">
            <w:pPr>
              <w:jc w:val="both"/>
              <w:rPr>
                <w:sz w:val="16"/>
                <w:szCs w:val="16"/>
                <w:lang w:val="es-PE"/>
              </w:rPr>
            </w:pPr>
            <w:r>
              <w:rPr>
                <w:sz w:val="16"/>
                <w:szCs w:val="16"/>
                <w:lang w:val="es-PE"/>
              </w:rPr>
              <w:t>Información crediticia de 16’116 clientes con prueba escrita de personalidad.</w:t>
            </w:r>
          </w:p>
        </w:tc>
      </w:tr>
    </w:tbl>
    <w:p w14:paraId="205708D9" w14:textId="62F6DC7E" w:rsidR="008000CF" w:rsidRPr="008000CF" w:rsidRDefault="008000CF" w:rsidP="00396A0D">
      <w:pPr>
        <w:jc w:val="both"/>
        <w:rPr>
          <w:lang w:val="es-PE"/>
        </w:rPr>
      </w:pPr>
      <w:r>
        <w:rPr>
          <w:lang w:val="es-PE"/>
        </w:rPr>
        <w:t xml:space="preserve">  </w:t>
      </w:r>
      <w:r w:rsidRPr="008000CF">
        <w:rPr>
          <w:sz w:val="16"/>
          <w:szCs w:val="16"/>
          <w:lang w:val="es-PE"/>
        </w:rPr>
        <w:t>Fuente: Elaboración Propia</w:t>
      </w:r>
    </w:p>
    <w:p w14:paraId="6164BE9A" w14:textId="77777777" w:rsidR="008000CF" w:rsidRDefault="00CA3EB6" w:rsidP="00396A0D">
      <w:pPr>
        <w:pStyle w:val="TextCarCar"/>
        <w:ind w:firstLine="0"/>
        <w:rPr>
          <w:b/>
          <w:bCs/>
          <w:color w:val="000000"/>
          <w:lang w:val="es-ES"/>
        </w:rPr>
      </w:pPr>
      <w:r w:rsidRPr="00D421EC">
        <w:rPr>
          <w:lang w:val="es-PE"/>
        </w:rPr>
        <w:br/>
      </w:r>
      <w:r w:rsidR="008000CF">
        <w:rPr>
          <w:b/>
          <w:bCs/>
          <w:color w:val="000000"/>
          <w:lang w:val="es-ES"/>
        </w:rPr>
        <w:t xml:space="preserve">2. Operacionalización de variables: describimos a las variables por cada fuente de información </w:t>
      </w:r>
    </w:p>
    <w:p w14:paraId="70F0FCA0" w14:textId="6CFC6F2C" w:rsidR="008000CF" w:rsidRDefault="008000CF" w:rsidP="00396A0D">
      <w:pPr>
        <w:pStyle w:val="TextCarCar"/>
        <w:ind w:firstLine="0"/>
        <w:rPr>
          <w:color w:val="000000"/>
          <w:lang w:val="es-ES"/>
        </w:rPr>
      </w:pPr>
    </w:p>
    <w:p w14:paraId="6818686E" w14:textId="3D4141F3" w:rsidR="008000CF" w:rsidRDefault="008000CF" w:rsidP="00BF0B36">
      <w:pPr>
        <w:pStyle w:val="TableTitle"/>
        <w:rPr>
          <w:lang w:val="es-PE"/>
        </w:rPr>
      </w:pPr>
      <w:r>
        <w:rPr>
          <w:lang w:val="es-PE"/>
        </w:rPr>
        <w:t>TABLA I</w:t>
      </w:r>
      <w:r w:rsidR="00451F46">
        <w:rPr>
          <w:lang w:val="es-PE"/>
        </w:rPr>
        <w:t>I</w:t>
      </w:r>
    </w:p>
    <w:p w14:paraId="0B6B29CB" w14:textId="352A3F5B" w:rsidR="008000CF" w:rsidRDefault="008000CF" w:rsidP="00BF0B36">
      <w:pPr>
        <w:pStyle w:val="TableTitle"/>
        <w:rPr>
          <w:lang w:val="es-PE"/>
        </w:rPr>
      </w:pPr>
      <w:r>
        <w:rPr>
          <w:lang w:val="es-PE"/>
        </w:rPr>
        <w:t>DESCRIPCIÓN BASE SCORE_TRAIN</w:t>
      </w:r>
    </w:p>
    <w:tbl>
      <w:tblPr>
        <w:tblW w:w="4725"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1701"/>
        <w:gridCol w:w="3024"/>
      </w:tblGrid>
      <w:tr w:rsidR="008000CF" w14:paraId="7A36190B" w14:textId="77777777" w:rsidTr="00451F46">
        <w:trPr>
          <w:trHeight w:val="31"/>
        </w:trPr>
        <w:tc>
          <w:tcPr>
            <w:tcW w:w="1701" w:type="dxa"/>
            <w:tcBorders>
              <w:top w:val="double" w:sz="6" w:space="0" w:color="auto"/>
              <w:left w:val="nil"/>
              <w:bottom w:val="single" w:sz="6" w:space="0" w:color="auto"/>
              <w:right w:val="nil"/>
            </w:tcBorders>
            <w:vAlign w:val="center"/>
            <w:hideMark/>
          </w:tcPr>
          <w:p w14:paraId="292EFE74" w14:textId="77777777" w:rsidR="008000CF" w:rsidRDefault="008000CF" w:rsidP="00396A0D">
            <w:pPr>
              <w:pStyle w:val="TableTitle"/>
              <w:jc w:val="both"/>
              <w:rPr>
                <w:lang w:val="es-PE"/>
              </w:rPr>
            </w:pPr>
            <w:r>
              <w:rPr>
                <w:lang w:val="es-PE"/>
              </w:rPr>
              <w:t>Nombre</w:t>
            </w:r>
          </w:p>
        </w:tc>
        <w:tc>
          <w:tcPr>
            <w:tcW w:w="3024" w:type="dxa"/>
            <w:tcBorders>
              <w:top w:val="double" w:sz="6" w:space="0" w:color="auto"/>
              <w:left w:val="nil"/>
              <w:bottom w:val="single" w:sz="6" w:space="0" w:color="auto"/>
              <w:right w:val="nil"/>
            </w:tcBorders>
            <w:vAlign w:val="center"/>
            <w:hideMark/>
          </w:tcPr>
          <w:p w14:paraId="0AE47A57" w14:textId="77777777" w:rsidR="008000CF" w:rsidRDefault="008000CF" w:rsidP="00396A0D">
            <w:pPr>
              <w:jc w:val="both"/>
              <w:rPr>
                <w:sz w:val="16"/>
                <w:szCs w:val="16"/>
                <w:lang w:val="es-PE"/>
              </w:rPr>
            </w:pPr>
            <w:r>
              <w:rPr>
                <w:sz w:val="16"/>
                <w:szCs w:val="16"/>
                <w:lang w:val="es-PE"/>
              </w:rPr>
              <w:t>Descripción</w:t>
            </w:r>
          </w:p>
        </w:tc>
      </w:tr>
      <w:tr w:rsidR="008000CF" w14:paraId="15FB79DA" w14:textId="77777777" w:rsidTr="00451F46">
        <w:trPr>
          <w:trHeight w:val="328"/>
        </w:trPr>
        <w:tc>
          <w:tcPr>
            <w:tcW w:w="1701" w:type="dxa"/>
            <w:tcBorders>
              <w:top w:val="nil"/>
              <w:left w:val="nil"/>
              <w:bottom w:val="nil"/>
              <w:right w:val="nil"/>
            </w:tcBorders>
            <w:hideMark/>
          </w:tcPr>
          <w:p w14:paraId="086BB91B" w14:textId="48156361" w:rsidR="008000CF" w:rsidRDefault="008000CF" w:rsidP="00396A0D">
            <w:pPr>
              <w:jc w:val="both"/>
              <w:rPr>
                <w:sz w:val="16"/>
                <w:szCs w:val="16"/>
                <w:lang w:val="es-PE"/>
              </w:rPr>
            </w:pPr>
            <w:r>
              <w:rPr>
                <w:sz w:val="16"/>
                <w:szCs w:val="16"/>
                <w:lang w:val="es-PE"/>
              </w:rPr>
              <w:t>Empleado</w:t>
            </w:r>
          </w:p>
        </w:tc>
        <w:tc>
          <w:tcPr>
            <w:tcW w:w="3024" w:type="dxa"/>
            <w:tcBorders>
              <w:top w:val="nil"/>
              <w:left w:val="nil"/>
              <w:bottom w:val="nil"/>
              <w:right w:val="nil"/>
            </w:tcBorders>
            <w:hideMark/>
          </w:tcPr>
          <w:p w14:paraId="27A8E8E6" w14:textId="285A9FB9" w:rsidR="008000CF" w:rsidRDefault="008000CF" w:rsidP="00396A0D">
            <w:pPr>
              <w:jc w:val="both"/>
              <w:rPr>
                <w:sz w:val="16"/>
                <w:szCs w:val="16"/>
                <w:lang w:val="es-PE"/>
              </w:rPr>
            </w:pPr>
            <w:r w:rsidRPr="008000CF">
              <w:rPr>
                <w:sz w:val="16"/>
                <w:szCs w:val="16"/>
                <w:lang w:val="es-PE"/>
              </w:rPr>
              <w:t>0=Desempleado, 1=Empleado actualmente</w:t>
            </w:r>
          </w:p>
        </w:tc>
      </w:tr>
      <w:tr w:rsidR="008000CF" w:rsidRPr="006A5FA8" w14:paraId="3AA28D11" w14:textId="77777777" w:rsidTr="00451F46">
        <w:trPr>
          <w:trHeight w:val="433"/>
        </w:trPr>
        <w:tc>
          <w:tcPr>
            <w:tcW w:w="1701" w:type="dxa"/>
            <w:tcBorders>
              <w:top w:val="nil"/>
              <w:left w:val="nil"/>
              <w:bottom w:val="nil"/>
              <w:right w:val="nil"/>
            </w:tcBorders>
            <w:hideMark/>
          </w:tcPr>
          <w:p w14:paraId="11AD3D36" w14:textId="770B512D" w:rsidR="008000CF" w:rsidRPr="00451F46" w:rsidRDefault="00451F46" w:rsidP="00396A0D">
            <w:pPr>
              <w:jc w:val="both"/>
              <w:rPr>
                <w:sz w:val="16"/>
                <w:szCs w:val="16"/>
                <w:lang w:val="es-PE"/>
              </w:rPr>
            </w:pPr>
            <w:r w:rsidRPr="00451F46">
              <w:rPr>
                <w:sz w:val="16"/>
                <w:szCs w:val="16"/>
                <w:lang w:val="es-PE"/>
              </w:rPr>
              <w:t>Tiempo_empleado</w:t>
            </w:r>
          </w:p>
        </w:tc>
        <w:tc>
          <w:tcPr>
            <w:tcW w:w="3024" w:type="dxa"/>
            <w:tcBorders>
              <w:top w:val="nil"/>
              <w:left w:val="nil"/>
              <w:bottom w:val="nil"/>
              <w:right w:val="nil"/>
            </w:tcBorders>
            <w:hideMark/>
          </w:tcPr>
          <w:p w14:paraId="02601216" w14:textId="058D3C43" w:rsidR="008000CF" w:rsidRDefault="00451F46" w:rsidP="00396A0D">
            <w:pPr>
              <w:jc w:val="both"/>
              <w:rPr>
                <w:sz w:val="16"/>
                <w:szCs w:val="16"/>
                <w:lang w:val="es-PE"/>
              </w:rPr>
            </w:pPr>
            <w:r w:rsidRPr="00451F46">
              <w:rPr>
                <w:sz w:val="16"/>
                <w:szCs w:val="16"/>
                <w:lang w:val="es-PE"/>
              </w:rPr>
              <w:t>Número de años que lleva en el empleo actual (si aplica)</w:t>
            </w:r>
          </w:p>
        </w:tc>
      </w:tr>
      <w:tr w:rsidR="008000CF" w:rsidRPr="006A5FA8" w14:paraId="6005F3C6" w14:textId="77777777" w:rsidTr="00451F46">
        <w:trPr>
          <w:trHeight w:val="495"/>
        </w:trPr>
        <w:tc>
          <w:tcPr>
            <w:tcW w:w="1701" w:type="dxa"/>
            <w:tcBorders>
              <w:top w:val="nil"/>
              <w:left w:val="nil"/>
              <w:bottom w:val="nil"/>
              <w:right w:val="nil"/>
            </w:tcBorders>
            <w:hideMark/>
          </w:tcPr>
          <w:p w14:paraId="16BA5389" w14:textId="0792C77B" w:rsidR="008000CF" w:rsidRPr="00451F46" w:rsidRDefault="00451F46" w:rsidP="00396A0D">
            <w:pPr>
              <w:jc w:val="both"/>
              <w:rPr>
                <w:sz w:val="16"/>
                <w:szCs w:val="16"/>
                <w:lang w:val="es-PE"/>
              </w:rPr>
            </w:pPr>
            <w:r w:rsidRPr="00451F46">
              <w:rPr>
                <w:sz w:val="16"/>
                <w:szCs w:val="16"/>
                <w:lang w:val="es-PE"/>
              </w:rPr>
              <w:t>Saldo_cuenta</w:t>
            </w:r>
          </w:p>
        </w:tc>
        <w:tc>
          <w:tcPr>
            <w:tcW w:w="3024" w:type="dxa"/>
            <w:tcBorders>
              <w:top w:val="nil"/>
              <w:left w:val="nil"/>
              <w:bottom w:val="nil"/>
              <w:right w:val="nil"/>
            </w:tcBorders>
            <w:hideMark/>
          </w:tcPr>
          <w:p w14:paraId="5F6C7D0B" w14:textId="77CA9793" w:rsidR="008000CF" w:rsidRDefault="00451F46" w:rsidP="00396A0D">
            <w:pPr>
              <w:jc w:val="both"/>
              <w:rPr>
                <w:sz w:val="16"/>
                <w:szCs w:val="16"/>
                <w:lang w:val="es-PE"/>
              </w:rPr>
            </w:pPr>
            <w:r w:rsidRPr="00451F46">
              <w:rPr>
                <w:sz w:val="16"/>
                <w:szCs w:val="16"/>
                <w:lang w:val="es-PE"/>
              </w:rPr>
              <w:t>Saldo en miles de pesos de la cuenta principal con el banco</w:t>
            </w:r>
          </w:p>
        </w:tc>
      </w:tr>
      <w:tr w:rsidR="00451F46" w:rsidRPr="006A5FA8" w14:paraId="3FCF751A" w14:textId="77777777" w:rsidTr="00451F46">
        <w:trPr>
          <w:trHeight w:val="495"/>
        </w:trPr>
        <w:tc>
          <w:tcPr>
            <w:tcW w:w="1701" w:type="dxa"/>
            <w:tcBorders>
              <w:top w:val="nil"/>
              <w:left w:val="nil"/>
              <w:bottom w:val="nil"/>
              <w:right w:val="nil"/>
            </w:tcBorders>
          </w:tcPr>
          <w:p w14:paraId="4B103E36" w14:textId="4241F6FD" w:rsidR="00451F46" w:rsidRPr="00451F46" w:rsidRDefault="00451F46" w:rsidP="00396A0D">
            <w:pPr>
              <w:jc w:val="both"/>
              <w:rPr>
                <w:sz w:val="16"/>
                <w:szCs w:val="16"/>
                <w:lang w:val="es-PE"/>
              </w:rPr>
            </w:pPr>
            <w:r w:rsidRPr="00451F46">
              <w:rPr>
                <w:sz w:val="16"/>
                <w:szCs w:val="16"/>
                <w:lang w:val="es-PE"/>
              </w:rPr>
              <w:t>Valor_pr</w:t>
            </w:r>
            <w:r w:rsidR="006A5FA8">
              <w:rPr>
                <w:sz w:val="16"/>
                <w:szCs w:val="16"/>
                <w:lang w:val="es-PE"/>
              </w:rPr>
              <w:t>e</w:t>
            </w:r>
            <w:r w:rsidRPr="00451F46">
              <w:rPr>
                <w:sz w:val="16"/>
                <w:szCs w:val="16"/>
                <w:lang w:val="es-PE"/>
              </w:rPr>
              <w:t>stamo</w:t>
            </w:r>
          </w:p>
        </w:tc>
        <w:tc>
          <w:tcPr>
            <w:tcW w:w="3024" w:type="dxa"/>
            <w:tcBorders>
              <w:top w:val="nil"/>
              <w:left w:val="nil"/>
              <w:bottom w:val="nil"/>
              <w:right w:val="nil"/>
            </w:tcBorders>
          </w:tcPr>
          <w:p w14:paraId="492F8A0A" w14:textId="1DA803D4" w:rsidR="00451F46" w:rsidRPr="00451F46" w:rsidRDefault="00451F46" w:rsidP="00396A0D">
            <w:pPr>
              <w:jc w:val="both"/>
              <w:rPr>
                <w:sz w:val="16"/>
                <w:szCs w:val="16"/>
                <w:lang w:val="es-PE"/>
              </w:rPr>
            </w:pPr>
            <w:r w:rsidRPr="00451F46">
              <w:rPr>
                <w:sz w:val="16"/>
                <w:szCs w:val="16"/>
                <w:lang w:val="es-PE"/>
              </w:rPr>
              <w:t>Valor actual que adeuda en préstamos en el sistema financiero</w:t>
            </w:r>
          </w:p>
        </w:tc>
      </w:tr>
      <w:tr w:rsidR="00451F46" w:rsidRPr="006A5FA8" w14:paraId="2C8A83CC" w14:textId="77777777" w:rsidTr="00451F46">
        <w:trPr>
          <w:trHeight w:val="495"/>
        </w:trPr>
        <w:tc>
          <w:tcPr>
            <w:tcW w:w="1701" w:type="dxa"/>
            <w:tcBorders>
              <w:top w:val="nil"/>
              <w:left w:val="nil"/>
              <w:bottom w:val="nil"/>
              <w:right w:val="nil"/>
            </w:tcBorders>
          </w:tcPr>
          <w:p w14:paraId="421BD541" w14:textId="7AAFE54C" w:rsidR="00451F46" w:rsidRPr="00451F46" w:rsidRDefault="00451F46" w:rsidP="00396A0D">
            <w:pPr>
              <w:jc w:val="both"/>
              <w:rPr>
                <w:sz w:val="16"/>
                <w:szCs w:val="16"/>
                <w:lang w:val="es-PE"/>
              </w:rPr>
            </w:pPr>
            <w:r w:rsidRPr="00451F46">
              <w:rPr>
                <w:sz w:val="16"/>
                <w:szCs w:val="16"/>
                <w:lang w:val="es-PE"/>
              </w:rPr>
              <w:t>Cuentas_otros</w:t>
            </w:r>
          </w:p>
        </w:tc>
        <w:tc>
          <w:tcPr>
            <w:tcW w:w="3024" w:type="dxa"/>
            <w:tcBorders>
              <w:top w:val="nil"/>
              <w:left w:val="nil"/>
              <w:bottom w:val="nil"/>
              <w:right w:val="nil"/>
            </w:tcBorders>
          </w:tcPr>
          <w:p w14:paraId="40D0FD19" w14:textId="25604225" w:rsidR="00451F46" w:rsidRPr="00451F46" w:rsidRDefault="00451F46" w:rsidP="00396A0D">
            <w:pPr>
              <w:jc w:val="both"/>
              <w:rPr>
                <w:sz w:val="16"/>
                <w:szCs w:val="16"/>
                <w:lang w:val="es-PE"/>
              </w:rPr>
            </w:pPr>
            <w:r w:rsidRPr="00451F46">
              <w:rPr>
                <w:sz w:val="16"/>
                <w:szCs w:val="16"/>
                <w:lang w:val="es-PE"/>
              </w:rPr>
              <w:t>Número de cuentas que tiene en otros bancos</w:t>
            </w:r>
          </w:p>
        </w:tc>
      </w:tr>
      <w:tr w:rsidR="00451F46" w:rsidRPr="006A5FA8" w14:paraId="46E949DD" w14:textId="77777777" w:rsidTr="00451F46">
        <w:trPr>
          <w:trHeight w:val="629"/>
        </w:trPr>
        <w:tc>
          <w:tcPr>
            <w:tcW w:w="1701" w:type="dxa"/>
            <w:tcBorders>
              <w:top w:val="nil"/>
              <w:left w:val="nil"/>
              <w:bottom w:val="nil"/>
              <w:right w:val="nil"/>
            </w:tcBorders>
          </w:tcPr>
          <w:p w14:paraId="6EE40ACA" w14:textId="58A2251B" w:rsidR="00451F46" w:rsidRPr="00451F46" w:rsidRDefault="00451F46" w:rsidP="00396A0D">
            <w:pPr>
              <w:jc w:val="both"/>
              <w:rPr>
                <w:sz w:val="16"/>
                <w:szCs w:val="16"/>
                <w:lang w:val="es-PE"/>
              </w:rPr>
            </w:pPr>
            <w:r w:rsidRPr="00451F46">
              <w:rPr>
                <w:sz w:val="16"/>
                <w:szCs w:val="16"/>
                <w:lang w:val="es-PE"/>
              </w:rPr>
              <w:t>Autocontrol</w:t>
            </w:r>
          </w:p>
        </w:tc>
        <w:tc>
          <w:tcPr>
            <w:tcW w:w="3024" w:type="dxa"/>
            <w:tcBorders>
              <w:top w:val="nil"/>
              <w:left w:val="nil"/>
              <w:bottom w:val="nil"/>
              <w:right w:val="nil"/>
            </w:tcBorders>
          </w:tcPr>
          <w:p w14:paraId="3D7EDCCC" w14:textId="643111C1" w:rsidR="00451F46" w:rsidRPr="00451F46" w:rsidRDefault="00451F46" w:rsidP="00396A0D">
            <w:pPr>
              <w:jc w:val="both"/>
              <w:rPr>
                <w:sz w:val="16"/>
                <w:szCs w:val="16"/>
                <w:lang w:val="es-PE"/>
              </w:rPr>
            </w:pPr>
            <w:r w:rsidRPr="00451F46">
              <w:rPr>
                <w:sz w:val="16"/>
                <w:szCs w:val="16"/>
                <w:lang w:val="es-PE"/>
              </w:rPr>
              <w:t>Mediante una prueba escrita se mide el nivel de autocontrol de la persona, en puntaje de 0 a 100</w:t>
            </w:r>
          </w:p>
        </w:tc>
      </w:tr>
      <w:tr w:rsidR="00451F46" w:rsidRPr="006A5FA8" w14:paraId="1D641527" w14:textId="77777777" w:rsidTr="00451F46">
        <w:trPr>
          <w:trHeight w:val="709"/>
        </w:trPr>
        <w:tc>
          <w:tcPr>
            <w:tcW w:w="1701" w:type="dxa"/>
            <w:tcBorders>
              <w:top w:val="nil"/>
              <w:left w:val="nil"/>
              <w:bottom w:val="nil"/>
              <w:right w:val="nil"/>
            </w:tcBorders>
          </w:tcPr>
          <w:p w14:paraId="6259FA47" w14:textId="4660C627" w:rsidR="00451F46" w:rsidRPr="00451F46" w:rsidRDefault="00451F46" w:rsidP="00396A0D">
            <w:pPr>
              <w:jc w:val="both"/>
              <w:rPr>
                <w:sz w:val="16"/>
                <w:szCs w:val="16"/>
                <w:lang w:val="es-PE"/>
              </w:rPr>
            </w:pPr>
            <w:r w:rsidRPr="00451F46">
              <w:rPr>
                <w:sz w:val="16"/>
                <w:szCs w:val="16"/>
                <w:lang w:val="es-PE"/>
              </w:rPr>
              <w:t>Impulsividad</w:t>
            </w:r>
          </w:p>
        </w:tc>
        <w:tc>
          <w:tcPr>
            <w:tcW w:w="3024" w:type="dxa"/>
            <w:tcBorders>
              <w:top w:val="nil"/>
              <w:left w:val="nil"/>
              <w:bottom w:val="nil"/>
              <w:right w:val="nil"/>
            </w:tcBorders>
          </w:tcPr>
          <w:p w14:paraId="30E35C99" w14:textId="1078D5D6" w:rsidR="00451F46" w:rsidRPr="00451F46" w:rsidRDefault="00451F46" w:rsidP="00396A0D">
            <w:pPr>
              <w:jc w:val="both"/>
              <w:rPr>
                <w:sz w:val="16"/>
                <w:szCs w:val="16"/>
                <w:lang w:val="es-PE"/>
              </w:rPr>
            </w:pPr>
            <w:r w:rsidRPr="00451F46">
              <w:rPr>
                <w:sz w:val="16"/>
                <w:szCs w:val="16"/>
                <w:lang w:val="es-PE"/>
              </w:rPr>
              <w:t>Mediante una prueba escrita se mide el nivel de impulsividad de la persona, en puntaje de 0 a 100</w:t>
            </w:r>
          </w:p>
        </w:tc>
      </w:tr>
      <w:tr w:rsidR="00451F46" w:rsidRPr="006A5FA8" w14:paraId="536DFAF4" w14:textId="77777777" w:rsidTr="00451F46">
        <w:trPr>
          <w:trHeight w:val="719"/>
        </w:trPr>
        <w:tc>
          <w:tcPr>
            <w:tcW w:w="1701" w:type="dxa"/>
            <w:tcBorders>
              <w:top w:val="nil"/>
              <w:left w:val="nil"/>
              <w:bottom w:val="nil"/>
              <w:right w:val="nil"/>
            </w:tcBorders>
          </w:tcPr>
          <w:p w14:paraId="41B174C2" w14:textId="0DD760CF" w:rsidR="00451F46" w:rsidRPr="00451F46" w:rsidRDefault="00451F46" w:rsidP="00396A0D">
            <w:pPr>
              <w:jc w:val="both"/>
              <w:rPr>
                <w:sz w:val="16"/>
                <w:szCs w:val="16"/>
                <w:lang w:val="es-PE"/>
              </w:rPr>
            </w:pPr>
            <w:r w:rsidRPr="00451F46">
              <w:rPr>
                <w:sz w:val="16"/>
                <w:szCs w:val="16"/>
                <w:lang w:val="es-PE"/>
              </w:rPr>
              <w:t>Confianza</w:t>
            </w:r>
          </w:p>
        </w:tc>
        <w:tc>
          <w:tcPr>
            <w:tcW w:w="3024" w:type="dxa"/>
            <w:tcBorders>
              <w:top w:val="nil"/>
              <w:left w:val="nil"/>
              <w:bottom w:val="nil"/>
              <w:right w:val="nil"/>
            </w:tcBorders>
          </w:tcPr>
          <w:p w14:paraId="4FD903A7" w14:textId="3127AB89" w:rsidR="00451F46" w:rsidRPr="00451F46" w:rsidRDefault="00451F46" w:rsidP="00396A0D">
            <w:pPr>
              <w:jc w:val="both"/>
              <w:rPr>
                <w:sz w:val="16"/>
                <w:szCs w:val="16"/>
                <w:lang w:val="es-PE"/>
              </w:rPr>
            </w:pPr>
            <w:r w:rsidRPr="00451F46">
              <w:rPr>
                <w:sz w:val="16"/>
                <w:szCs w:val="16"/>
                <w:lang w:val="es-PE"/>
              </w:rPr>
              <w:t>Mediante una prueba escrita se mide el nivel de confianza en sí misma de la persona, en puntaje de 0 a 100</w:t>
            </w:r>
          </w:p>
        </w:tc>
      </w:tr>
      <w:tr w:rsidR="008000CF" w14:paraId="2619B563" w14:textId="77777777" w:rsidTr="00A95584">
        <w:trPr>
          <w:trHeight w:val="268"/>
        </w:trPr>
        <w:tc>
          <w:tcPr>
            <w:tcW w:w="1701" w:type="dxa"/>
            <w:tcBorders>
              <w:top w:val="nil"/>
              <w:left w:val="nil"/>
              <w:bottom w:val="double" w:sz="6" w:space="0" w:color="auto"/>
              <w:right w:val="nil"/>
            </w:tcBorders>
          </w:tcPr>
          <w:p w14:paraId="5F65D888" w14:textId="41A50739" w:rsidR="008000CF" w:rsidRDefault="00451F46" w:rsidP="00396A0D">
            <w:pPr>
              <w:jc w:val="both"/>
              <w:rPr>
                <w:sz w:val="16"/>
                <w:szCs w:val="16"/>
                <w:lang w:val="es-PE"/>
              </w:rPr>
            </w:pPr>
            <w:r w:rsidRPr="00451F46">
              <w:rPr>
                <w:sz w:val="16"/>
                <w:szCs w:val="16"/>
                <w:lang w:val="es-PE"/>
              </w:rPr>
              <w:t>Incumplimiento</w:t>
            </w:r>
          </w:p>
        </w:tc>
        <w:tc>
          <w:tcPr>
            <w:tcW w:w="3024" w:type="dxa"/>
            <w:tcBorders>
              <w:top w:val="nil"/>
              <w:left w:val="nil"/>
              <w:bottom w:val="single" w:sz="4" w:space="0" w:color="FFFFFF" w:themeColor="background1"/>
              <w:right w:val="nil"/>
            </w:tcBorders>
          </w:tcPr>
          <w:p w14:paraId="6130BEEF" w14:textId="0EC3DC31" w:rsidR="008000CF" w:rsidRDefault="00451F46" w:rsidP="00396A0D">
            <w:pPr>
              <w:jc w:val="both"/>
              <w:rPr>
                <w:sz w:val="16"/>
                <w:szCs w:val="16"/>
                <w:lang w:val="es-PE"/>
              </w:rPr>
            </w:pPr>
            <w:r w:rsidRPr="00451F46">
              <w:rPr>
                <w:sz w:val="16"/>
                <w:szCs w:val="16"/>
                <w:lang w:val="es-PE"/>
              </w:rPr>
              <w:t>0=Cumplimiento; 1=Incumplimiento</w:t>
            </w:r>
          </w:p>
        </w:tc>
      </w:tr>
    </w:tbl>
    <w:p w14:paraId="23491032" w14:textId="0E396D73" w:rsidR="00CA3EB6" w:rsidRPr="00D421EC" w:rsidRDefault="00451F46" w:rsidP="00BF0B36">
      <w:pPr>
        <w:pStyle w:val="TextCarCar"/>
        <w:ind w:firstLine="0"/>
        <w:jc w:val="left"/>
        <w:rPr>
          <w:smallCaps/>
          <w:kern w:val="28"/>
          <w:lang w:val="es-PE"/>
        </w:rPr>
      </w:pPr>
      <w:r>
        <w:rPr>
          <w:sz w:val="16"/>
          <w:szCs w:val="16"/>
          <w:lang w:val="es-PE"/>
        </w:rPr>
        <w:t xml:space="preserve">   </w:t>
      </w:r>
      <w:r w:rsidRPr="008000CF">
        <w:rPr>
          <w:sz w:val="16"/>
          <w:szCs w:val="16"/>
          <w:lang w:val="es-PE"/>
        </w:rPr>
        <w:t>Fuente: Elaboración Propia</w:t>
      </w:r>
      <w:r w:rsidR="00CA3EB6" w:rsidRPr="00D421EC">
        <w:rPr>
          <w:smallCaps/>
          <w:kern w:val="28"/>
          <w:lang w:val="es-PE"/>
        </w:rPr>
        <w:br/>
      </w:r>
    </w:p>
    <w:p w14:paraId="5A444D73" w14:textId="5980AD78" w:rsidR="00CA3EB6" w:rsidRDefault="0005782C" w:rsidP="00396A0D">
      <w:pPr>
        <w:pStyle w:val="TextCarCar"/>
        <w:ind w:firstLine="0"/>
        <w:rPr>
          <w:color w:val="000000"/>
          <w:lang w:val="es-PE"/>
        </w:rPr>
      </w:pPr>
      <w:r>
        <w:rPr>
          <w:color w:val="000000"/>
          <w:lang w:val="es-PE"/>
        </w:rPr>
        <w:t>Las variables presentan las siguientes características:</w:t>
      </w:r>
    </w:p>
    <w:p w14:paraId="388BAE22" w14:textId="4D3DAA56" w:rsidR="0005782C" w:rsidRDefault="00BF5557" w:rsidP="00396A0D">
      <w:pPr>
        <w:pStyle w:val="TextCarCar"/>
        <w:ind w:firstLine="0"/>
        <w:rPr>
          <w:color w:val="000000"/>
          <w:lang w:val="es-PE"/>
        </w:rPr>
      </w:pPr>
      <w:r>
        <w:rPr>
          <w:color w:val="000000"/>
          <w:lang w:val="es-PE"/>
        </w:rPr>
        <w:t>Dicotómicas: (1) Empleado</w:t>
      </w:r>
    </w:p>
    <w:p w14:paraId="13C7BB7A" w14:textId="64B43FEA" w:rsidR="00BF5557" w:rsidRDefault="00BF5557" w:rsidP="00396A0D">
      <w:pPr>
        <w:pStyle w:val="TextCarCar"/>
        <w:ind w:firstLine="0"/>
        <w:rPr>
          <w:color w:val="000000"/>
          <w:lang w:val="es-PE"/>
        </w:rPr>
      </w:pPr>
      <w:r>
        <w:rPr>
          <w:color w:val="000000"/>
          <w:lang w:val="es-PE"/>
        </w:rPr>
        <w:t xml:space="preserve">Numéricas discretas: (5) Tiempo_empleo, Cuentas_otros, Autocontrol, </w:t>
      </w:r>
      <w:r w:rsidR="006A5FA8">
        <w:rPr>
          <w:color w:val="000000"/>
          <w:lang w:val="es-PE"/>
        </w:rPr>
        <w:t>Impulsividad</w:t>
      </w:r>
      <w:r>
        <w:rPr>
          <w:color w:val="000000"/>
          <w:lang w:val="es-PE"/>
        </w:rPr>
        <w:t>, Confianza.</w:t>
      </w:r>
    </w:p>
    <w:p w14:paraId="2C4A7CDE" w14:textId="3A53928B" w:rsidR="00BF5557" w:rsidRDefault="00BF5557" w:rsidP="00396A0D">
      <w:pPr>
        <w:pStyle w:val="TextCarCar"/>
        <w:ind w:firstLine="0"/>
        <w:rPr>
          <w:color w:val="000000"/>
          <w:lang w:val="es-PE"/>
        </w:rPr>
      </w:pPr>
      <w:r>
        <w:rPr>
          <w:color w:val="000000"/>
          <w:lang w:val="es-PE"/>
        </w:rPr>
        <w:t>Numéricas continuas: (2) Saldo_cuenta, Valor_prestamo</w:t>
      </w:r>
    </w:p>
    <w:p w14:paraId="4E5D26F7" w14:textId="0E30824E" w:rsidR="00BF5557" w:rsidRDefault="00BF5557" w:rsidP="00396A0D">
      <w:pPr>
        <w:pStyle w:val="TextCarCar"/>
        <w:ind w:firstLine="0"/>
        <w:rPr>
          <w:color w:val="000000"/>
          <w:lang w:val="es-PE"/>
        </w:rPr>
      </w:pPr>
      <w:r>
        <w:rPr>
          <w:color w:val="000000"/>
          <w:lang w:val="es-PE"/>
        </w:rPr>
        <w:t>Target: (1) Incumplimiento.</w:t>
      </w:r>
    </w:p>
    <w:p w14:paraId="095C23E6" w14:textId="77777777" w:rsidR="00CA3EB6" w:rsidRPr="00D421EC" w:rsidRDefault="00CA3EB6" w:rsidP="00396A0D">
      <w:pPr>
        <w:jc w:val="both"/>
        <w:rPr>
          <w:lang w:val="es-PE"/>
        </w:rPr>
      </w:pPr>
    </w:p>
    <w:p w14:paraId="7C582362" w14:textId="6DF2E404" w:rsidR="0005782C" w:rsidRDefault="0005782C" w:rsidP="00396A0D">
      <w:pPr>
        <w:pStyle w:val="Ttulo2"/>
        <w:jc w:val="both"/>
        <w:rPr>
          <w:lang w:val="es-PE"/>
        </w:rPr>
      </w:pPr>
      <w:r w:rsidRPr="0005782C">
        <w:rPr>
          <w:lang w:val="es-PE"/>
        </w:rPr>
        <w:t>Análisis exploratorio de los datos</w:t>
      </w:r>
    </w:p>
    <w:p w14:paraId="1A226CE9" w14:textId="77777777" w:rsidR="00BF0B36" w:rsidRPr="00BF0B36" w:rsidRDefault="00BF0B36" w:rsidP="00BF0B36">
      <w:pPr>
        <w:rPr>
          <w:lang w:val="es-PE"/>
        </w:rPr>
      </w:pPr>
    </w:p>
    <w:p w14:paraId="4BD26C75" w14:textId="20249D18" w:rsidR="00BF0B36" w:rsidRPr="00BF0B36" w:rsidRDefault="00BF0B36" w:rsidP="00BF0B36">
      <w:pPr>
        <w:pStyle w:val="Prrafodelista"/>
        <w:numPr>
          <w:ilvl w:val="0"/>
          <w:numId w:val="21"/>
        </w:numPr>
        <w:rPr>
          <w:lang w:val="es-PE"/>
        </w:rPr>
      </w:pPr>
      <w:r>
        <w:rPr>
          <w:b/>
          <w:bCs/>
          <w:lang w:val="es-PE"/>
        </w:rPr>
        <w:t>Estadística descriptiva de variables</w:t>
      </w:r>
      <w:r w:rsidRPr="00BF0B36">
        <w:rPr>
          <w:b/>
          <w:bCs/>
          <w:lang w:val="es-PE"/>
        </w:rPr>
        <w:t>:</w:t>
      </w:r>
    </w:p>
    <w:p w14:paraId="79E625E0" w14:textId="05F29F21" w:rsidR="00CA72FF" w:rsidRDefault="00E87C5C" w:rsidP="00396A0D">
      <w:pPr>
        <w:pStyle w:val="TextCarCar"/>
        <w:rPr>
          <w:color w:val="000000"/>
          <w:lang w:val="es-ES"/>
        </w:rPr>
      </w:pPr>
      <w:r w:rsidRPr="00D421EC">
        <w:rPr>
          <w:lang w:val="es-PE"/>
        </w:rPr>
        <w:br/>
      </w:r>
      <w:r w:rsidR="00BF0B36" w:rsidRPr="00BF0B36">
        <w:rPr>
          <w:b/>
          <w:bCs/>
          <w:lang w:val="es-PE"/>
        </w:rPr>
        <w:t xml:space="preserve">Target: </w:t>
      </w:r>
      <w:r w:rsidR="00BF0B36">
        <w:rPr>
          <w:color w:val="000000"/>
          <w:lang w:val="es-ES"/>
        </w:rPr>
        <w:t xml:space="preserve">clasificación del </w:t>
      </w:r>
      <w:r w:rsidR="0072603D">
        <w:rPr>
          <w:color w:val="000000"/>
          <w:lang w:val="es-ES"/>
        </w:rPr>
        <w:t>incumplimiento de pago</w:t>
      </w:r>
      <w:r w:rsidR="00BF0B36">
        <w:rPr>
          <w:color w:val="000000"/>
          <w:lang w:val="es-ES"/>
        </w:rPr>
        <w:t>, está etiquetada como 0 (</w:t>
      </w:r>
      <w:r w:rsidR="0072603D">
        <w:rPr>
          <w:color w:val="000000"/>
          <w:lang w:val="es-ES"/>
        </w:rPr>
        <w:t>Cumplimiento</w:t>
      </w:r>
      <w:r w:rsidR="00BF0B36">
        <w:rPr>
          <w:color w:val="000000"/>
          <w:lang w:val="es-ES"/>
        </w:rPr>
        <w:t>) y 1 (</w:t>
      </w:r>
      <w:r w:rsidR="0072603D">
        <w:rPr>
          <w:color w:val="000000"/>
          <w:lang w:val="es-ES"/>
        </w:rPr>
        <w:t>Incumplimiento</w:t>
      </w:r>
      <w:r w:rsidR="00BF0B36">
        <w:rPr>
          <w:color w:val="000000"/>
          <w:lang w:val="es-ES"/>
        </w:rPr>
        <w:t xml:space="preserve">), con un </w:t>
      </w:r>
      <w:r w:rsidR="0072603D">
        <w:rPr>
          <w:color w:val="000000"/>
          <w:lang w:val="es-ES"/>
        </w:rPr>
        <w:t>85.9</w:t>
      </w:r>
      <w:r w:rsidR="00BF0B36">
        <w:rPr>
          <w:color w:val="000000"/>
          <w:lang w:val="es-ES"/>
        </w:rPr>
        <w:t xml:space="preserve">% y </w:t>
      </w:r>
      <w:r w:rsidR="0072603D">
        <w:rPr>
          <w:color w:val="000000"/>
          <w:lang w:val="es-ES"/>
        </w:rPr>
        <w:t>14.1</w:t>
      </w:r>
      <w:r w:rsidR="00BF0B36">
        <w:rPr>
          <w:color w:val="000000"/>
          <w:lang w:val="es-ES"/>
        </w:rPr>
        <w:t>% respectivamente.</w:t>
      </w:r>
    </w:p>
    <w:p w14:paraId="47CF5B47" w14:textId="78ED85A9" w:rsidR="0072603D" w:rsidRDefault="0072603D" w:rsidP="00396A0D">
      <w:pPr>
        <w:pStyle w:val="TextCarCar"/>
        <w:rPr>
          <w:color w:val="000000"/>
          <w:lang w:val="es-ES"/>
        </w:rPr>
      </w:pPr>
    </w:p>
    <w:p w14:paraId="4B2DA08D" w14:textId="373E38E2" w:rsidR="0072603D" w:rsidRPr="00BF0B36" w:rsidRDefault="0072603D" w:rsidP="0072603D">
      <w:pPr>
        <w:pStyle w:val="TextCarCar"/>
        <w:jc w:val="center"/>
        <w:rPr>
          <w:lang w:val="es-PE"/>
        </w:rPr>
      </w:pPr>
      <w:r>
        <w:rPr>
          <w:noProof/>
        </w:rPr>
        <w:drawing>
          <wp:inline distT="0" distB="0" distL="0" distR="0" wp14:anchorId="69191A21" wp14:editId="2BC59E60">
            <wp:extent cx="1771650" cy="160432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6601" cy="1617866"/>
                    </a:xfrm>
                    <a:prstGeom prst="rect">
                      <a:avLst/>
                    </a:prstGeom>
                  </pic:spPr>
                </pic:pic>
              </a:graphicData>
            </a:graphic>
          </wp:inline>
        </w:drawing>
      </w:r>
    </w:p>
    <w:p w14:paraId="0D47EE46" w14:textId="33F6AC9A" w:rsidR="00B658EA" w:rsidRDefault="00E87C5C" w:rsidP="00396A0D">
      <w:pPr>
        <w:pStyle w:val="TextCarCar"/>
        <w:rPr>
          <w:lang w:val="es-PE"/>
        </w:rPr>
      </w:pPr>
      <w:r w:rsidRPr="00D421EC">
        <w:rPr>
          <w:lang w:val="es-PE"/>
        </w:rPr>
        <w:t xml:space="preserve"> </w:t>
      </w:r>
      <w:r w:rsidRPr="00843ECE">
        <w:rPr>
          <w:lang w:val="es-PE"/>
        </w:rPr>
        <w:br/>
      </w:r>
      <w:r w:rsidR="00843ECE" w:rsidRPr="00843ECE">
        <w:rPr>
          <w:b/>
          <w:bCs/>
          <w:lang w:val="es-PE"/>
        </w:rPr>
        <w:t>Variables score_train:</w:t>
      </w:r>
      <w:r w:rsidR="00843ECE" w:rsidRPr="00843ECE">
        <w:rPr>
          <w:lang w:val="es-PE"/>
        </w:rPr>
        <w:t xml:space="preserve"> Las variables de</w:t>
      </w:r>
      <w:r w:rsidR="00843ECE">
        <w:rPr>
          <w:lang w:val="es-PE"/>
        </w:rPr>
        <w:t xml:space="preserve">l </w:t>
      </w:r>
      <w:proofErr w:type="spellStart"/>
      <w:r w:rsidR="00843ECE">
        <w:rPr>
          <w:lang w:val="es-PE"/>
        </w:rPr>
        <w:t>dataset</w:t>
      </w:r>
      <w:proofErr w:type="spellEnd"/>
      <w:r w:rsidR="00843ECE">
        <w:rPr>
          <w:lang w:val="es-PE"/>
        </w:rPr>
        <w:t xml:space="preserve"> son todas variables numéricas, analizando </w:t>
      </w:r>
      <w:r w:rsidR="00A13D44">
        <w:rPr>
          <w:lang w:val="es-PE"/>
        </w:rPr>
        <w:t>la distribución:</w:t>
      </w:r>
    </w:p>
    <w:p w14:paraId="19484F1D" w14:textId="458EFBF6" w:rsidR="00A13D44" w:rsidRDefault="00A13D44" w:rsidP="00A13D44">
      <w:pPr>
        <w:pStyle w:val="TextCarCar"/>
        <w:numPr>
          <w:ilvl w:val="0"/>
          <w:numId w:val="22"/>
        </w:numPr>
        <w:rPr>
          <w:lang w:val="es-PE"/>
        </w:rPr>
      </w:pPr>
      <w:r>
        <w:rPr>
          <w:lang w:val="es-PE"/>
        </w:rPr>
        <w:t>Las variables de prueba de personalidad presentan una distribución normal.</w:t>
      </w:r>
    </w:p>
    <w:p w14:paraId="1E29D2F6" w14:textId="45735810" w:rsidR="00A13D44" w:rsidRDefault="00A13D44" w:rsidP="00A13D44">
      <w:pPr>
        <w:pStyle w:val="TextCarCar"/>
        <w:numPr>
          <w:ilvl w:val="0"/>
          <w:numId w:val="22"/>
        </w:numPr>
        <w:rPr>
          <w:lang w:val="es-PE"/>
        </w:rPr>
      </w:pPr>
      <w:r>
        <w:rPr>
          <w:lang w:val="es-PE"/>
        </w:rPr>
        <w:t>Las variables de tiempo de empleo y saldo en cuenta, tienen una distribución asimétrica negativa</w:t>
      </w:r>
      <w:r w:rsidR="00F30F52">
        <w:rPr>
          <w:lang w:val="es-PE"/>
        </w:rPr>
        <w:t>.</w:t>
      </w:r>
    </w:p>
    <w:p w14:paraId="75062597" w14:textId="45466816" w:rsidR="00F30F52" w:rsidRDefault="00F30F52" w:rsidP="00A13D44">
      <w:pPr>
        <w:pStyle w:val="TextCarCar"/>
        <w:numPr>
          <w:ilvl w:val="0"/>
          <w:numId w:val="22"/>
        </w:numPr>
        <w:rPr>
          <w:lang w:val="es-PE"/>
        </w:rPr>
      </w:pPr>
      <w:r>
        <w:rPr>
          <w:lang w:val="es-PE"/>
        </w:rPr>
        <w:t>La variable valor préstamo, aparentemente tiene una distribución normal, la cual se debe comprobar con la prueba de normalidad.</w:t>
      </w:r>
    </w:p>
    <w:p w14:paraId="0B24CE7C" w14:textId="57599AC5" w:rsidR="00A95584" w:rsidRDefault="00F30F52" w:rsidP="0049426E">
      <w:pPr>
        <w:pStyle w:val="TextCarCar"/>
        <w:numPr>
          <w:ilvl w:val="0"/>
          <w:numId w:val="22"/>
        </w:numPr>
        <w:ind w:firstLine="0"/>
        <w:rPr>
          <w:lang w:val="es-PE"/>
        </w:rPr>
      </w:pPr>
      <w:r w:rsidRPr="003979A3">
        <w:rPr>
          <w:lang w:val="es-PE"/>
        </w:rPr>
        <w:t>La variable de cuentas en otros bancos no se puede definir si tiene distribución normal o no.</w:t>
      </w:r>
    </w:p>
    <w:p w14:paraId="239365DD" w14:textId="77777777" w:rsidR="003979A3" w:rsidRPr="003979A3" w:rsidRDefault="003979A3" w:rsidP="003979A3">
      <w:pPr>
        <w:pStyle w:val="TextCarCar"/>
        <w:ind w:left="922" w:firstLine="0"/>
        <w:rPr>
          <w:lang w:val="es-PE"/>
        </w:rPr>
      </w:pPr>
    </w:p>
    <w:tbl>
      <w:tblPr>
        <w:tblStyle w:val="Tablaconcuadrcula"/>
        <w:tblW w:w="0" w:type="auto"/>
        <w:tblLook w:val="04A0" w:firstRow="1" w:lastRow="0" w:firstColumn="1" w:lastColumn="0" w:noHBand="0" w:noVBand="1"/>
      </w:tblPr>
      <w:tblGrid>
        <w:gridCol w:w="2543"/>
        <w:gridCol w:w="2487"/>
      </w:tblGrid>
      <w:tr w:rsidR="00A95584" w14:paraId="767F87AA" w14:textId="77777777" w:rsidTr="00A95584">
        <w:tc>
          <w:tcPr>
            <w:tcW w:w="2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5A1EB1" w14:textId="3D221281" w:rsidR="00F30F52" w:rsidRDefault="00F30F52" w:rsidP="00F30F52">
            <w:pPr>
              <w:pStyle w:val="TextCarCar"/>
              <w:ind w:firstLine="0"/>
              <w:rPr>
                <w:lang w:val="es-PE"/>
              </w:rPr>
            </w:pPr>
            <w:r>
              <w:rPr>
                <w:noProof/>
              </w:rPr>
              <w:drawing>
                <wp:inline distT="0" distB="0" distL="0" distR="0" wp14:anchorId="5F2CC5E4" wp14:editId="590D50B2">
                  <wp:extent cx="1507671" cy="13808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20572" cy="1392674"/>
                          </a:xfrm>
                          <a:prstGeom prst="rect">
                            <a:avLst/>
                          </a:prstGeom>
                        </pic:spPr>
                      </pic:pic>
                    </a:graphicData>
                  </a:graphic>
                </wp:inline>
              </w:drawing>
            </w:r>
          </w:p>
        </w:tc>
        <w:tc>
          <w:tcPr>
            <w:tcW w:w="2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5831E8" w14:textId="04E91AB2" w:rsidR="00F30F52" w:rsidRDefault="00F30F52" w:rsidP="00F30F52">
            <w:pPr>
              <w:pStyle w:val="TextCarCar"/>
              <w:ind w:firstLine="0"/>
              <w:rPr>
                <w:lang w:val="es-PE"/>
              </w:rPr>
            </w:pPr>
            <w:r>
              <w:rPr>
                <w:noProof/>
              </w:rPr>
              <w:drawing>
                <wp:inline distT="0" distB="0" distL="0" distR="0" wp14:anchorId="7DB1C819" wp14:editId="6881457A">
                  <wp:extent cx="1542227" cy="135255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189"/>
                          <a:stretch/>
                        </pic:blipFill>
                        <pic:spPr bwMode="auto">
                          <a:xfrm>
                            <a:off x="0" y="0"/>
                            <a:ext cx="1569087" cy="1376106"/>
                          </a:xfrm>
                          <a:prstGeom prst="rect">
                            <a:avLst/>
                          </a:prstGeom>
                          <a:ln>
                            <a:noFill/>
                          </a:ln>
                          <a:extLst>
                            <a:ext uri="{53640926-AAD7-44D8-BBD7-CCE9431645EC}">
                              <a14:shadowObscured xmlns:a14="http://schemas.microsoft.com/office/drawing/2010/main"/>
                            </a:ext>
                          </a:extLst>
                        </pic:spPr>
                      </pic:pic>
                    </a:graphicData>
                  </a:graphic>
                </wp:inline>
              </w:drawing>
            </w:r>
          </w:p>
        </w:tc>
      </w:tr>
      <w:tr w:rsidR="00A95584" w14:paraId="597DC854" w14:textId="77777777" w:rsidTr="00A95584">
        <w:tc>
          <w:tcPr>
            <w:tcW w:w="2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8484AA" w14:textId="6F87906B" w:rsidR="00F30F52" w:rsidRDefault="00F30F52" w:rsidP="00F30F52">
            <w:pPr>
              <w:pStyle w:val="TextCarCar"/>
              <w:ind w:firstLine="0"/>
              <w:rPr>
                <w:lang w:val="es-PE"/>
              </w:rPr>
            </w:pPr>
            <w:r>
              <w:rPr>
                <w:noProof/>
              </w:rPr>
              <w:drawing>
                <wp:inline distT="0" distB="0" distL="0" distR="0" wp14:anchorId="3EBC4272" wp14:editId="5F03B5FA">
                  <wp:extent cx="1537970" cy="142875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37970" cy="1428750"/>
                          </a:xfrm>
                          <a:prstGeom prst="rect">
                            <a:avLst/>
                          </a:prstGeom>
                        </pic:spPr>
                      </pic:pic>
                    </a:graphicData>
                  </a:graphic>
                </wp:inline>
              </w:drawing>
            </w:r>
          </w:p>
        </w:tc>
        <w:tc>
          <w:tcPr>
            <w:tcW w:w="2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E223A2" w14:textId="774DF71B" w:rsidR="00F30F52" w:rsidRDefault="00F30F52" w:rsidP="00F30F52">
            <w:pPr>
              <w:pStyle w:val="TextCarCar"/>
              <w:ind w:firstLine="0"/>
              <w:rPr>
                <w:lang w:val="es-PE"/>
              </w:rPr>
            </w:pPr>
            <w:r>
              <w:rPr>
                <w:noProof/>
              </w:rPr>
              <w:drawing>
                <wp:inline distT="0" distB="0" distL="0" distR="0" wp14:anchorId="050DAD04" wp14:editId="20ED911A">
                  <wp:extent cx="1514475" cy="1460562"/>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45879" cy="1490848"/>
                          </a:xfrm>
                          <a:prstGeom prst="rect">
                            <a:avLst/>
                          </a:prstGeom>
                        </pic:spPr>
                      </pic:pic>
                    </a:graphicData>
                  </a:graphic>
                </wp:inline>
              </w:drawing>
            </w:r>
          </w:p>
        </w:tc>
      </w:tr>
      <w:tr w:rsidR="00A95584" w14:paraId="54EB807D" w14:textId="77777777" w:rsidTr="00A95584">
        <w:tc>
          <w:tcPr>
            <w:tcW w:w="2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7B2D7C" w14:textId="6501FA74" w:rsidR="00F30F52" w:rsidRDefault="00A95584" w:rsidP="00F30F52">
            <w:pPr>
              <w:pStyle w:val="TextCarCar"/>
              <w:ind w:firstLine="0"/>
              <w:rPr>
                <w:lang w:val="es-PE"/>
              </w:rPr>
            </w:pPr>
            <w:r>
              <w:rPr>
                <w:noProof/>
              </w:rPr>
              <w:lastRenderedPageBreak/>
              <w:drawing>
                <wp:inline distT="0" distB="0" distL="0" distR="0" wp14:anchorId="17F210FB" wp14:editId="3C8222AF">
                  <wp:extent cx="1573911" cy="145732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86660" cy="1469130"/>
                          </a:xfrm>
                          <a:prstGeom prst="rect">
                            <a:avLst/>
                          </a:prstGeom>
                        </pic:spPr>
                      </pic:pic>
                    </a:graphicData>
                  </a:graphic>
                </wp:inline>
              </w:drawing>
            </w:r>
          </w:p>
        </w:tc>
        <w:tc>
          <w:tcPr>
            <w:tcW w:w="2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8CC843" w14:textId="4C410FE7" w:rsidR="00F30F52" w:rsidRDefault="00A95584" w:rsidP="00F30F52">
            <w:pPr>
              <w:pStyle w:val="TextCarCar"/>
              <w:ind w:firstLine="0"/>
              <w:rPr>
                <w:lang w:val="es-PE"/>
              </w:rPr>
            </w:pPr>
            <w:r>
              <w:rPr>
                <w:noProof/>
              </w:rPr>
              <w:drawing>
                <wp:inline distT="0" distB="0" distL="0" distR="0" wp14:anchorId="770BE835" wp14:editId="7369EC42">
                  <wp:extent cx="1534091" cy="1419035"/>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44562" cy="1428721"/>
                          </a:xfrm>
                          <a:prstGeom prst="rect">
                            <a:avLst/>
                          </a:prstGeom>
                        </pic:spPr>
                      </pic:pic>
                    </a:graphicData>
                  </a:graphic>
                </wp:inline>
              </w:drawing>
            </w:r>
          </w:p>
        </w:tc>
      </w:tr>
      <w:tr w:rsidR="00A95584" w14:paraId="33B408DE" w14:textId="77777777" w:rsidTr="00A95584">
        <w:tc>
          <w:tcPr>
            <w:tcW w:w="2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AD268E" w14:textId="6FCE2ADC" w:rsidR="00F30F52" w:rsidRDefault="00A95584" w:rsidP="00F30F52">
            <w:pPr>
              <w:pStyle w:val="TextCarCar"/>
              <w:ind w:firstLine="0"/>
              <w:rPr>
                <w:lang w:val="es-PE"/>
              </w:rPr>
            </w:pPr>
            <w:r>
              <w:rPr>
                <w:noProof/>
              </w:rPr>
              <w:drawing>
                <wp:inline distT="0" distB="0" distL="0" distR="0" wp14:anchorId="534F3674" wp14:editId="00C704BA">
                  <wp:extent cx="1534583" cy="1381125"/>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41583" cy="1387425"/>
                          </a:xfrm>
                          <a:prstGeom prst="rect">
                            <a:avLst/>
                          </a:prstGeom>
                        </pic:spPr>
                      </pic:pic>
                    </a:graphicData>
                  </a:graphic>
                </wp:inline>
              </w:drawing>
            </w:r>
          </w:p>
        </w:tc>
        <w:tc>
          <w:tcPr>
            <w:tcW w:w="2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AD0C0C" w14:textId="77777777" w:rsidR="00F30F52" w:rsidRDefault="00F30F52" w:rsidP="00F30F52">
            <w:pPr>
              <w:pStyle w:val="TextCarCar"/>
              <w:ind w:firstLine="0"/>
              <w:rPr>
                <w:lang w:val="es-PE"/>
              </w:rPr>
            </w:pPr>
          </w:p>
        </w:tc>
      </w:tr>
    </w:tbl>
    <w:p w14:paraId="58A6AFE7" w14:textId="77777777" w:rsidR="00F30F52" w:rsidRPr="00843ECE" w:rsidRDefault="00F30F52" w:rsidP="00F30F52">
      <w:pPr>
        <w:pStyle w:val="TextCarCar"/>
        <w:rPr>
          <w:lang w:val="es-PE"/>
        </w:rPr>
      </w:pPr>
    </w:p>
    <w:p w14:paraId="6CCC018A" w14:textId="6CA94134" w:rsidR="00DA7F65" w:rsidRDefault="003979A3" w:rsidP="00396A0D">
      <w:pPr>
        <w:pStyle w:val="Ttulo2"/>
        <w:jc w:val="both"/>
        <w:rPr>
          <w:lang w:val="es-PE"/>
        </w:rPr>
      </w:pPr>
      <w:r>
        <w:rPr>
          <w:lang w:val="es-PE"/>
        </w:rPr>
        <w:t>Supuestos</w:t>
      </w:r>
    </w:p>
    <w:p w14:paraId="34376818" w14:textId="4CA13277" w:rsidR="003979A3" w:rsidRDefault="003979A3" w:rsidP="003979A3">
      <w:pPr>
        <w:rPr>
          <w:lang w:val="es-PE"/>
        </w:rPr>
      </w:pPr>
    </w:p>
    <w:p w14:paraId="5F19DF96" w14:textId="2877B189" w:rsidR="003979A3" w:rsidRDefault="003979A3" w:rsidP="003979A3">
      <w:pPr>
        <w:pStyle w:val="Prrafodelista"/>
        <w:numPr>
          <w:ilvl w:val="0"/>
          <w:numId w:val="23"/>
        </w:numPr>
        <w:rPr>
          <w:b/>
          <w:bCs/>
          <w:lang w:val="es-PE"/>
        </w:rPr>
      </w:pPr>
      <w:r w:rsidRPr="003979A3">
        <w:rPr>
          <w:b/>
          <w:bCs/>
          <w:lang w:val="es-PE"/>
        </w:rPr>
        <w:t>Normalidad</w:t>
      </w:r>
    </w:p>
    <w:p w14:paraId="12E28E64" w14:textId="77777777" w:rsidR="003979A3" w:rsidRPr="003979A3" w:rsidRDefault="003979A3" w:rsidP="003979A3">
      <w:pPr>
        <w:pStyle w:val="Prrafodelista"/>
        <w:rPr>
          <w:b/>
          <w:bCs/>
          <w:lang w:val="es-PE"/>
        </w:rPr>
      </w:pPr>
    </w:p>
    <w:p w14:paraId="6963F887" w14:textId="57C49FDE" w:rsidR="00DA7F65" w:rsidRDefault="003979A3" w:rsidP="00396A0D">
      <w:pPr>
        <w:pStyle w:val="TextCarCar"/>
        <w:rPr>
          <w:lang w:val="es-PE"/>
        </w:rPr>
      </w:pPr>
      <w:r>
        <w:rPr>
          <w:lang w:val="es-PE"/>
        </w:rPr>
        <w:t xml:space="preserve">Mediante el Test de </w:t>
      </w:r>
      <w:proofErr w:type="spellStart"/>
      <w:r>
        <w:rPr>
          <w:lang w:val="es-PE"/>
        </w:rPr>
        <w:t>D’Agostino</w:t>
      </w:r>
      <w:proofErr w:type="spellEnd"/>
      <w:r>
        <w:rPr>
          <w:lang w:val="es-PE"/>
        </w:rPr>
        <w:t xml:space="preserve"> obtenemos que </w:t>
      </w:r>
      <w:proofErr w:type="spellStart"/>
      <w:r>
        <w:rPr>
          <w:lang w:val="es-PE"/>
        </w:rPr>
        <w:t>laa</w:t>
      </w:r>
      <w:proofErr w:type="spellEnd"/>
      <w:r>
        <w:rPr>
          <w:lang w:val="es-PE"/>
        </w:rPr>
        <w:t xml:space="preserve"> pruebas de personalidad: Impulsividad, Confianza y Autocontrol, evidencian una distribución normal. Rechazando la normalidad de las demás variables.</w:t>
      </w:r>
    </w:p>
    <w:p w14:paraId="2D35F592" w14:textId="0A1AA76D" w:rsidR="003979A3" w:rsidRPr="003979A3" w:rsidRDefault="003979A3" w:rsidP="00396A0D">
      <w:pPr>
        <w:pStyle w:val="TextCarCar"/>
        <w:rPr>
          <w:b/>
          <w:bCs/>
          <w:lang w:val="es-PE"/>
        </w:rPr>
      </w:pPr>
    </w:p>
    <w:p w14:paraId="3B95BBB7" w14:textId="6CD9C48E" w:rsidR="003979A3" w:rsidRDefault="003979A3" w:rsidP="003979A3">
      <w:pPr>
        <w:pStyle w:val="TextCarCar"/>
        <w:numPr>
          <w:ilvl w:val="0"/>
          <w:numId w:val="23"/>
        </w:numPr>
        <w:rPr>
          <w:b/>
          <w:bCs/>
          <w:lang w:val="es-PE"/>
        </w:rPr>
      </w:pPr>
      <w:r w:rsidRPr="003979A3">
        <w:rPr>
          <w:b/>
          <w:bCs/>
          <w:lang w:val="es-PE"/>
        </w:rPr>
        <w:t>Homocedasticidad</w:t>
      </w:r>
    </w:p>
    <w:p w14:paraId="79567E7C" w14:textId="77777777" w:rsidR="00D85BD8" w:rsidRDefault="00D85BD8" w:rsidP="00D85BD8">
      <w:pPr>
        <w:pStyle w:val="TextCarCar"/>
        <w:ind w:left="720" w:firstLine="0"/>
        <w:rPr>
          <w:b/>
          <w:bCs/>
          <w:lang w:val="es-PE"/>
        </w:rPr>
      </w:pPr>
    </w:p>
    <w:p w14:paraId="7B75A377" w14:textId="0A6F0559" w:rsidR="00D85BD8" w:rsidRDefault="00D85BD8" w:rsidP="00D85BD8">
      <w:pPr>
        <w:pStyle w:val="TextCarCar"/>
        <w:rPr>
          <w:lang w:val="es-PE"/>
        </w:rPr>
      </w:pPr>
      <w:r>
        <w:rPr>
          <w:lang w:val="es-PE"/>
        </w:rPr>
        <w:t xml:space="preserve">Para </w:t>
      </w:r>
      <w:r w:rsidR="00A54336">
        <w:rPr>
          <w:lang w:val="es-PE"/>
        </w:rPr>
        <w:t>las</w:t>
      </w:r>
      <w:r>
        <w:rPr>
          <w:lang w:val="es-PE"/>
        </w:rPr>
        <w:t xml:space="preserve"> variables con distribución Normal se aplica el Test de </w:t>
      </w:r>
      <w:proofErr w:type="spellStart"/>
      <w:r>
        <w:rPr>
          <w:lang w:val="es-PE"/>
        </w:rPr>
        <w:t>Bartlet</w:t>
      </w:r>
      <w:proofErr w:type="spellEnd"/>
      <w:r>
        <w:rPr>
          <w:lang w:val="es-PE"/>
        </w:rPr>
        <w:t xml:space="preserve">, que nos dice que las pruebas de personalidad: </w:t>
      </w:r>
      <w:r>
        <w:rPr>
          <w:lang w:val="es-PE"/>
        </w:rPr>
        <w:t>Impulsividad, Confianza y Autocontrol</w:t>
      </w:r>
      <w:r w:rsidR="00B22218">
        <w:rPr>
          <w:lang w:val="es-PE"/>
        </w:rPr>
        <w:t>, tienen una varianza constante (homogénea).</w:t>
      </w:r>
    </w:p>
    <w:p w14:paraId="2B864588" w14:textId="63311050" w:rsidR="00B22218" w:rsidRPr="003979A3" w:rsidRDefault="00B22218" w:rsidP="00D85BD8">
      <w:pPr>
        <w:pStyle w:val="TextCarCar"/>
        <w:rPr>
          <w:b/>
          <w:bCs/>
          <w:lang w:val="es-PE"/>
        </w:rPr>
      </w:pPr>
      <w:r>
        <w:rPr>
          <w:lang w:val="es-PE"/>
        </w:rPr>
        <w:t xml:space="preserve">Para </w:t>
      </w:r>
      <w:r w:rsidR="00A54336">
        <w:rPr>
          <w:lang w:val="es-PE"/>
        </w:rPr>
        <w:t>las</w:t>
      </w:r>
      <w:r>
        <w:rPr>
          <w:lang w:val="es-PE"/>
        </w:rPr>
        <w:t xml:space="preserve"> variables con distribución No Normal se aplica el </w:t>
      </w:r>
      <w:proofErr w:type="spellStart"/>
      <w:r>
        <w:rPr>
          <w:lang w:val="es-PE"/>
        </w:rPr>
        <w:t>Terst</w:t>
      </w:r>
      <w:proofErr w:type="spellEnd"/>
      <w:r>
        <w:rPr>
          <w:lang w:val="es-PE"/>
        </w:rPr>
        <w:t xml:space="preserve"> de Levene</w:t>
      </w:r>
      <w:r w:rsidR="00A54336">
        <w:rPr>
          <w:lang w:val="es-PE"/>
        </w:rPr>
        <w:t>, nos dice que las variables tiene una varianza constante (homogénea).</w:t>
      </w:r>
    </w:p>
    <w:p w14:paraId="23E04858" w14:textId="77777777" w:rsidR="003979A3" w:rsidRDefault="00D859AB" w:rsidP="00396A0D">
      <w:pPr>
        <w:pStyle w:val="Ttulo2"/>
        <w:jc w:val="both"/>
        <w:rPr>
          <w:lang w:val="es-PE"/>
        </w:rPr>
      </w:pPr>
      <w:r w:rsidRPr="00D421EC">
        <w:rPr>
          <w:color w:val="000000"/>
          <w:lang w:val="es-PE"/>
        </w:rPr>
        <w:t xml:space="preserve"> </w:t>
      </w:r>
      <w:r w:rsidRPr="00D421EC">
        <w:rPr>
          <w:lang w:val="es-PE"/>
        </w:rPr>
        <w:t>Archivos electrónicos de I</w:t>
      </w:r>
    </w:p>
    <w:p w14:paraId="3B423FEA" w14:textId="1CC099FD" w:rsidR="003B0AED" w:rsidRPr="00D421EC" w:rsidRDefault="00D859AB" w:rsidP="00396A0D">
      <w:pPr>
        <w:pStyle w:val="Ttulo2"/>
        <w:jc w:val="both"/>
        <w:rPr>
          <w:lang w:val="es-PE"/>
        </w:rPr>
      </w:pPr>
      <w:proofErr w:type="spellStart"/>
      <w:r w:rsidRPr="00D421EC">
        <w:rPr>
          <w:lang w:val="es-PE"/>
        </w:rPr>
        <w:t>magen</w:t>
      </w:r>
      <w:proofErr w:type="spellEnd"/>
      <w:r w:rsidRPr="00D421EC">
        <w:rPr>
          <w:lang w:val="es-PE"/>
        </w:rPr>
        <w:t xml:space="preserve"> (Opcional)</w:t>
      </w:r>
    </w:p>
    <w:p w14:paraId="779ACAEC" w14:textId="77777777" w:rsidR="00D859AB" w:rsidRPr="00D421EC" w:rsidRDefault="00D859AB" w:rsidP="00396A0D">
      <w:pPr>
        <w:pStyle w:val="TextCarCar"/>
        <w:rPr>
          <w:lang w:val="es-PE"/>
        </w:rPr>
      </w:pPr>
      <w:r w:rsidRPr="00D421EC">
        <w:rPr>
          <w:color w:val="000000"/>
          <w:lang w:val="es-PE"/>
        </w:rPr>
        <w:br/>
      </w:r>
      <w:r w:rsidRPr="00D421EC">
        <w:rPr>
          <w:lang w:val="es-PE"/>
        </w:rPr>
        <w:t xml:space="preserve">Usted tendrá mayor control sobre la apariencia de sus figuras si usted puede preparar los archivos electrónicos de imagen. Si usted no tiene las habilidades de computación requeridas, sólo envíe las impresiones de papel como se describió anteriormente y salte esta sección. </w:t>
      </w:r>
    </w:p>
    <w:p w14:paraId="0867B48D" w14:textId="77777777" w:rsidR="00D859AB" w:rsidRPr="00D421EC" w:rsidRDefault="00D859AB" w:rsidP="00396A0D">
      <w:pPr>
        <w:pStyle w:val="TextCarCar"/>
        <w:rPr>
          <w:lang w:val="es-PE"/>
        </w:rPr>
      </w:pPr>
    </w:p>
    <w:p w14:paraId="0D863F98" w14:textId="77777777" w:rsidR="001551CC" w:rsidRPr="00D421EC" w:rsidRDefault="001551CC" w:rsidP="00396A0D">
      <w:pPr>
        <w:pStyle w:val="TextCarCar"/>
        <w:rPr>
          <w:lang w:val="es-PE"/>
        </w:rPr>
      </w:pPr>
      <w:r w:rsidRPr="00D421EC">
        <w:rPr>
          <w:i/>
          <w:lang w:val="es-PE"/>
        </w:rPr>
        <w:t>1) la Manera más fácil:</w:t>
      </w:r>
      <w:r w:rsidRPr="00D421EC">
        <w:rPr>
          <w:lang w:val="es-PE"/>
        </w:rPr>
        <w:t xml:space="preserve"> Si usted tiene un escáner, la mejor manera y más rápida de preparar los archivos de la figura sin color es imprimir sus tablas y figuras en el papel exactamente como usted quiere que ellas aparezcan, </w:t>
      </w:r>
      <w:r w:rsidR="00911351" w:rsidRPr="00D421EC">
        <w:rPr>
          <w:lang w:val="es-PE"/>
        </w:rPr>
        <w:t>explórelas (con el scanner)</w:t>
      </w:r>
      <w:r w:rsidRPr="00D421EC">
        <w:rPr>
          <w:lang w:val="es-PE"/>
        </w:rPr>
        <w:t>,</w:t>
      </w:r>
      <w:r w:rsidR="00911351" w:rsidRPr="00D421EC">
        <w:rPr>
          <w:color w:val="000000"/>
          <w:lang w:val="es-PE"/>
        </w:rPr>
        <w:t xml:space="preserve"> y luego guárdelas</w:t>
      </w:r>
      <w:r w:rsidRPr="00D421EC">
        <w:rPr>
          <w:color w:val="000000"/>
          <w:lang w:val="es-PE"/>
        </w:rPr>
        <w:t xml:space="preserve"> en un archivo en PostScript (PS) o PostScript encapsulado (EPS). Use un archivo separado para cada imagen. Los nombres de los archivos deben tener el formato "fig1.ps" o "fig2.eps."</w:t>
      </w:r>
    </w:p>
    <w:p w14:paraId="724270CC" w14:textId="77777777" w:rsidR="001551CC" w:rsidRPr="00D421EC" w:rsidRDefault="001551CC" w:rsidP="00396A0D">
      <w:pPr>
        <w:pStyle w:val="TextCarCar"/>
        <w:rPr>
          <w:lang w:val="es-PE"/>
        </w:rPr>
      </w:pPr>
    </w:p>
    <w:p w14:paraId="79EE465B" w14:textId="77777777" w:rsidR="00D725E7" w:rsidRPr="00D421EC" w:rsidRDefault="00D725E7" w:rsidP="00396A0D">
      <w:pPr>
        <w:pStyle w:val="TextCarCar"/>
        <w:rPr>
          <w:lang w:val="es-PE"/>
        </w:rPr>
      </w:pPr>
      <w:r w:rsidRPr="00D421EC">
        <w:rPr>
          <w:lang w:val="es-PE"/>
        </w:rPr>
        <w:t xml:space="preserve">2) </w:t>
      </w:r>
      <w:r w:rsidRPr="00D421EC">
        <w:rPr>
          <w:i/>
          <w:lang w:val="es-PE"/>
        </w:rPr>
        <w:t xml:space="preserve">La manera un poco </w:t>
      </w:r>
      <w:r w:rsidR="00911351" w:rsidRPr="00D421EC">
        <w:rPr>
          <w:i/>
          <w:lang w:val="es-PE"/>
        </w:rPr>
        <w:t>más</w:t>
      </w:r>
      <w:r w:rsidRPr="00D421EC">
        <w:rPr>
          <w:i/>
          <w:lang w:val="es-PE"/>
        </w:rPr>
        <w:t xml:space="preserve"> </w:t>
      </w:r>
      <w:r w:rsidR="00911351" w:rsidRPr="00D421EC">
        <w:rPr>
          <w:i/>
          <w:lang w:val="es-PE"/>
        </w:rPr>
        <w:t>difícil</w:t>
      </w:r>
      <w:r w:rsidR="00911351" w:rsidRPr="00D421EC">
        <w:rPr>
          <w:lang w:val="es-PE"/>
        </w:rPr>
        <w:t>: Usando</w:t>
      </w:r>
      <w:r w:rsidRPr="00D421EC">
        <w:rPr>
          <w:lang w:val="es-PE"/>
        </w:rPr>
        <w:t xml:space="preserve"> un scanner como se describe en el numeral 1, guarde las imágenes en formato TIFF. Alto-contraste </w:t>
      </w:r>
      <w:r w:rsidR="00911351" w:rsidRPr="00D421EC">
        <w:rPr>
          <w:lang w:val="es-PE"/>
        </w:rPr>
        <w:t>línea</w:t>
      </w:r>
      <w:r w:rsidRPr="00D421EC">
        <w:rPr>
          <w:lang w:val="es-PE"/>
        </w:rPr>
        <w:t xml:space="preserve"> de línea de figuras y tablas deben prepararse con resolución de 600 dpi y salvadas sin compresión. 1 bit por pixel (monocromo), los nombres de los archivos de la forma "fig3.tif" o "table1.tif.</w:t>
      </w:r>
      <w:r w:rsidR="00911351" w:rsidRPr="00D421EC">
        <w:rPr>
          <w:lang w:val="es-PE"/>
        </w:rPr>
        <w:t>”,)</w:t>
      </w:r>
      <w:r w:rsidR="0078093B" w:rsidRPr="00D421EC">
        <w:rPr>
          <w:lang w:val="es-PE"/>
        </w:rPr>
        <w:t>. Para obtener un 3,45-en la figura (una-columna de ancho)a 600 dpi</w:t>
      </w:r>
      <w:r w:rsidRPr="00D421EC">
        <w:rPr>
          <w:lang w:val="es-PE"/>
        </w:rPr>
        <w:t xml:space="preserve"> la figura requiere un tamaño horizontal de 2070 píxeles. El tamaño </w:t>
      </w:r>
      <w:r w:rsidR="00911351" w:rsidRPr="00D421EC">
        <w:rPr>
          <w:lang w:val="es-PE"/>
        </w:rPr>
        <w:t>típico</w:t>
      </w:r>
      <w:r w:rsidRPr="00D421EC">
        <w:rPr>
          <w:lang w:val="es-PE"/>
        </w:rPr>
        <w:t xml:space="preserve"> de los ficheros será del orden de 0,5 MB.</w:t>
      </w:r>
    </w:p>
    <w:p w14:paraId="450E01D3" w14:textId="77777777" w:rsidR="00D725E7" w:rsidRPr="00D421EC" w:rsidRDefault="00D725E7" w:rsidP="00396A0D">
      <w:pPr>
        <w:pStyle w:val="TextCarCar"/>
        <w:rPr>
          <w:lang w:val="es-PE"/>
        </w:rPr>
      </w:pPr>
      <w:r w:rsidRPr="00D421EC">
        <w:rPr>
          <w:lang w:val="es-PE"/>
        </w:rPr>
        <w:t xml:space="preserve">Fotografías y figuras en escala de grises deben prepararse con 220 dpi de resolución y salvadas sin compresión, 8 bits por pixel (escala de grises). </w:t>
      </w:r>
      <w:r w:rsidR="0078093B" w:rsidRPr="00D421EC">
        <w:rPr>
          <w:lang w:val="es-PE"/>
        </w:rPr>
        <w:t>). Para obtener un 3,45-en la figura (una-columna de ancho)</w:t>
      </w:r>
      <w:r w:rsidRPr="00D421EC">
        <w:rPr>
          <w:lang w:val="es-PE"/>
        </w:rPr>
        <w:t xml:space="preserve"> a 220 dpi, la figura debería tener un tamaño horizontal de 759 píxeles.</w:t>
      </w:r>
    </w:p>
    <w:p w14:paraId="4568E3BA" w14:textId="77777777" w:rsidR="0078093B" w:rsidRPr="00D421EC" w:rsidRDefault="0078093B" w:rsidP="00396A0D">
      <w:pPr>
        <w:pStyle w:val="TextCarCar"/>
        <w:rPr>
          <w:lang w:val="es-PE"/>
        </w:rPr>
      </w:pPr>
      <w:r w:rsidRPr="00D421EC">
        <w:rPr>
          <w:lang w:val="es-PE"/>
        </w:rPr>
        <w:t xml:space="preserve">El color de las  figuras se deben preparar con 400 dpi de resolución y guardado sin compresión, 8 bits por píxel (paleta </w:t>
      </w:r>
      <w:proofErr w:type="spellStart"/>
      <w:r w:rsidRPr="00D421EC">
        <w:rPr>
          <w:lang w:val="es-PE"/>
        </w:rPr>
        <w:t>ó</w:t>
      </w:r>
      <w:proofErr w:type="spellEnd"/>
      <w:r w:rsidRPr="00D421EC">
        <w:rPr>
          <w:lang w:val="es-PE"/>
        </w:rPr>
        <w:t xml:space="preserve"> 256 color). Para obtener un 3,45-en la figura (una-columna de ancho) a 400 dpi, la figura debería tener un tamaño horizontal de 1380 píxeles. </w:t>
      </w:r>
      <w:r w:rsidRPr="00D421EC">
        <w:rPr>
          <w:lang w:val="es-PE"/>
        </w:rPr>
        <w:br/>
        <w:t xml:space="preserve">Para obtener más información sobre los archivos TIFF, por favor vaya a </w:t>
      </w:r>
      <w:r w:rsidRPr="00D421EC">
        <w:rPr>
          <w:rStyle w:val="Hipervnculo"/>
          <w:lang w:val="es-PE"/>
        </w:rPr>
        <w:t>http://www.ieee.org/organizations/pubs/transactions/information.htm</w:t>
      </w:r>
      <w:r w:rsidRPr="00D421EC">
        <w:rPr>
          <w:lang w:val="es-PE"/>
        </w:rPr>
        <w:t xml:space="preserve"> y haga clic en el enlace “</w:t>
      </w:r>
      <w:proofErr w:type="spellStart"/>
      <w:r w:rsidRPr="00D421EC">
        <w:rPr>
          <w:lang w:val="es-PE"/>
        </w:rPr>
        <w:t>Guidelines</w:t>
      </w:r>
      <w:proofErr w:type="spellEnd"/>
      <w:r w:rsidRPr="00D421EC">
        <w:rPr>
          <w:lang w:val="es-PE"/>
        </w:rPr>
        <w:t xml:space="preserve"> </w:t>
      </w:r>
      <w:proofErr w:type="spellStart"/>
      <w:r w:rsidRPr="00D421EC">
        <w:rPr>
          <w:lang w:val="es-PE"/>
        </w:rPr>
        <w:t>for</w:t>
      </w:r>
      <w:proofErr w:type="spellEnd"/>
      <w:r w:rsidRPr="00D421EC">
        <w:rPr>
          <w:lang w:val="es-PE"/>
        </w:rPr>
        <w:t xml:space="preserve"> </w:t>
      </w:r>
      <w:proofErr w:type="spellStart"/>
      <w:r w:rsidRPr="00D421EC">
        <w:rPr>
          <w:lang w:val="es-PE"/>
        </w:rPr>
        <w:t>Author</w:t>
      </w:r>
      <w:proofErr w:type="spellEnd"/>
      <w:r w:rsidRPr="00D421EC">
        <w:rPr>
          <w:lang w:val="es-PE"/>
        </w:rPr>
        <w:t xml:space="preserve"> </w:t>
      </w:r>
      <w:proofErr w:type="spellStart"/>
      <w:r w:rsidRPr="00D421EC">
        <w:rPr>
          <w:lang w:val="es-PE"/>
        </w:rPr>
        <w:t>Supplied</w:t>
      </w:r>
      <w:proofErr w:type="spellEnd"/>
      <w:r w:rsidRPr="00D421EC">
        <w:rPr>
          <w:lang w:val="es-PE"/>
        </w:rPr>
        <w:t xml:space="preserve"> Electronic Text and </w:t>
      </w:r>
      <w:proofErr w:type="spellStart"/>
      <w:r w:rsidRPr="00D421EC">
        <w:rPr>
          <w:lang w:val="es-PE"/>
        </w:rPr>
        <w:t>Graphics</w:t>
      </w:r>
      <w:proofErr w:type="spellEnd"/>
      <w:r w:rsidRPr="00D421EC">
        <w:rPr>
          <w:lang w:val="es-PE"/>
        </w:rPr>
        <w:t>.”</w:t>
      </w:r>
    </w:p>
    <w:p w14:paraId="63F53BDF" w14:textId="77777777" w:rsidR="0078093B" w:rsidRPr="00D421EC" w:rsidRDefault="0078093B" w:rsidP="00396A0D">
      <w:pPr>
        <w:pStyle w:val="TextCarCar"/>
        <w:rPr>
          <w:color w:val="FF0000"/>
          <w:lang w:val="es-PE"/>
        </w:rPr>
      </w:pPr>
    </w:p>
    <w:p w14:paraId="5206CA07" w14:textId="77777777" w:rsidR="00D53181" w:rsidRPr="00D421EC" w:rsidRDefault="00D53181" w:rsidP="00396A0D">
      <w:pPr>
        <w:pStyle w:val="TextCarCar"/>
        <w:rPr>
          <w:lang w:val="es-PE"/>
        </w:rPr>
      </w:pPr>
      <w:r w:rsidRPr="00D421EC">
        <w:rPr>
          <w:lang w:val="es-PE"/>
        </w:rPr>
        <w:t xml:space="preserve">3) Algo </w:t>
      </w:r>
      <w:proofErr w:type="spellStart"/>
      <w:r w:rsidRPr="00D421EC">
        <w:rPr>
          <w:lang w:val="es-PE"/>
        </w:rPr>
        <w:t>mas</w:t>
      </w:r>
      <w:proofErr w:type="spellEnd"/>
      <w:r w:rsidRPr="00D421EC">
        <w:rPr>
          <w:lang w:val="es-PE"/>
        </w:rPr>
        <w:t xml:space="preserve"> </w:t>
      </w:r>
      <w:proofErr w:type="spellStart"/>
      <w:r w:rsidRPr="00D421EC">
        <w:rPr>
          <w:lang w:val="es-PE"/>
        </w:rPr>
        <w:t>dificil</w:t>
      </w:r>
      <w:proofErr w:type="spellEnd"/>
      <w:r w:rsidRPr="00D421EC">
        <w:rPr>
          <w:lang w:val="es-PE"/>
        </w:rPr>
        <w:t xml:space="preserve">: Si no dispone de un escáner, puede crear </w:t>
      </w:r>
      <w:proofErr w:type="spellStart"/>
      <w:r w:rsidRPr="00D421EC">
        <w:rPr>
          <w:lang w:val="es-PE"/>
        </w:rPr>
        <w:t>noncolor</w:t>
      </w:r>
      <w:proofErr w:type="spellEnd"/>
      <w:r w:rsidRPr="00D421EC">
        <w:rPr>
          <w:lang w:val="es-PE"/>
        </w:rPr>
        <w:t xml:space="preserve"> PostScript figuras por "impresión" a los archivos. En primer lugar, descargar un controlador de impresora PostScript de </w:t>
      </w:r>
      <w:r w:rsidRPr="00D421EC">
        <w:rPr>
          <w:rStyle w:val="Hipervnculo"/>
          <w:lang w:val="es-PE"/>
        </w:rPr>
        <w:t>http://www.adobe.com/support/downloads/pdrvwin.htm</w:t>
      </w:r>
      <w:r w:rsidRPr="00D421EC">
        <w:rPr>
          <w:lang w:val="es-PE"/>
        </w:rPr>
        <w:t xml:space="preserve"> (para Windows) o desde </w:t>
      </w:r>
      <w:r w:rsidRPr="00D421EC">
        <w:rPr>
          <w:rStyle w:val="Hipervnculo"/>
          <w:lang w:val="es-PE"/>
        </w:rPr>
        <w:t>http://www.adobe.com/support/downloads/ pdrvmac.htm</w:t>
      </w:r>
      <w:r w:rsidRPr="00D421EC">
        <w:rPr>
          <w:lang w:val="es-PE"/>
        </w:rPr>
        <w:t xml:space="preserve"> (por Macintosh) e instalar el "</w:t>
      </w:r>
      <w:proofErr w:type="spellStart"/>
      <w:r w:rsidRPr="00D421EC">
        <w:rPr>
          <w:lang w:val="es-PE"/>
        </w:rPr>
        <w:t>Generic</w:t>
      </w:r>
      <w:proofErr w:type="spellEnd"/>
      <w:r w:rsidRPr="00D421EC">
        <w:rPr>
          <w:lang w:val="es-PE"/>
        </w:rPr>
        <w:t xml:space="preserve"> PostScript para imprimir" definición. En Word, pegue la imagen en un nuevo documento. </w:t>
      </w:r>
      <w:proofErr w:type="spellStart"/>
      <w:r w:rsidRPr="00D421EC">
        <w:rPr>
          <w:lang w:val="es-PE"/>
        </w:rPr>
        <w:t>Envia</w:t>
      </w:r>
      <w:proofErr w:type="spellEnd"/>
      <w:r w:rsidRPr="00D421EC">
        <w:rPr>
          <w:lang w:val="es-PE"/>
        </w:rPr>
        <w:t xml:space="preserve"> a Imprimir el archivo utilizando el controlador de impresora PostScript. El Nombre de los archivos debe tener el formato "fig5.ps." </w:t>
      </w:r>
      <w:proofErr w:type="spellStart"/>
      <w:r w:rsidRPr="00D421EC">
        <w:rPr>
          <w:lang w:val="es-PE"/>
        </w:rPr>
        <w:t>Utilize</w:t>
      </w:r>
      <w:proofErr w:type="spellEnd"/>
      <w:r w:rsidRPr="00D421EC">
        <w:rPr>
          <w:lang w:val="es-PE"/>
        </w:rPr>
        <w:t xml:space="preserve"> fuentes Adobe Tipo 1 al crear su figuras, de ser posible.</w:t>
      </w:r>
    </w:p>
    <w:p w14:paraId="69815D96" w14:textId="77777777" w:rsidR="00CC267A" w:rsidRPr="00D421EC" w:rsidRDefault="00CC267A" w:rsidP="00396A0D">
      <w:pPr>
        <w:pStyle w:val="TextCarCar"/>
        <w:rPr>
          <w:lang w:val="es-PE"/>
        </w:rPr>
      </w:pPr>
    </w:p>
    <w:p w14:paraId="22F024AD" w14:textId="77777777" w:rsidR="00334099" w:rsidRPr="00D421EC" w:rsidRDefault="00334099" w:rsidP="00396A0D">
      <w:pPr>
        <w:jc w:val="both"/>
        <w:rPr>
          <w:rStyle w:val="TextCarCarCar"/>
          <w:lang w:val="es-PE"/>
        </w:rPr>
      </w:pPr>
      <w:r w:rsidRPr="00D421EC">
        <w:rPr>
          <w:rFonts w:ascii="Courier New" w:hAnsi="Courier New" w:cs="Courier New"/>
          <w:color w:val="000000"/>
          <w:lang w:val="es-PE"/>
        </w:rPr>
        <w:t xml:space="preserve">4) </w:t>
      </w:r>
      <w:r w:rsidRPr="00D421EC">
        <w:rPr>
          <w:rStyle w:val="TextCarCarCar"/>
          <w:lang w:val="es-PE"/>
        </w:rPr>
        <w:t xml:space="preserve">Otra forma: Usuarios avanzados de la computadora puede convertir figuras y tablas de su formato original al formato TIFF. Algunas convertidores de imágenes útiles son Adobe Photoshop, Corel </w:t>
      </w:r>
      <w:proofErr w:type="spellStart"/>
      <w:r w:rsidRPr="00D421EC">
        <w:rPr>
          <w:rStyle w:val="TextCarCarCar"/>
          <w:lang w:val="es-PE"/>
        </w:rPr>
        <w:t>Draw</w:t>
      </w:r>
      <w:proofErr w:type="spellEnd"/>
      <w:r w:rsidRPr="00D421EC">
        <w:rPr>
          <w:rStyle w:val="TextCarCarCar"/>
          <w:lang w:val="es-PE"/>
        </w:rPr>
        <w:t xml:space="preserve">, y Microsoft </w:t>
      </w:r>
      <w:proofErr w:type="spellStart"/>
      <w:r w:rsidRPr="00D421EC">
        <w:rPr>
          <w:rStyle w:val="TextCarCarCar"/>
          <w:lang w:val="es-PE"/>
        </w:rPr>
        <w:t>Photo</w:t>
      </w:r>
      <w:proofErr w:type="spellEnd"/>
      <w:r w:rsidRPr="00D421EC">
        <w:rPr>
          <w:rStyle w:val="TextCarCarCar"/>
          <w:lang w:val="es-PE"/>
        </w:rPr>
        <w:t xml:space="preserve"> Editor, una aplicación que forma parte de Microsoft Office 97 y Office 2000 (busque C: \ </w:t>
      </w:r>
      <w:proofErr w:type="spellStart"/>
      <w:r w:rsidRPr="00D421EC">
        <w:rPr>
          <w:rStyle w:val="TextCarCarCar"/>
          <w:lang w:val="es-PE"/>
        </w:rPr>
        <w:t>Program</w:t>
      </w:r>
      <w:proofErr w:type="spellEnd"/>
      <w:r w:rsidRPr="00D421EC">
        <w:rPr>
          <w:rStyle w:val="TextCarCarCar"/>
          <w:lang w:val="es-PE"/>
        </w:rPr>
        <w:t xml:space="preserve"> Files \ </w:t>
      </w:r>
      <w:proofErr w:type="spellStart"/>
      <w:r w:rsidRPr="00D421EC">
        <w:rPr>
          <w:rStyle w:val="TextCarCarCar"/>
          <w:lang w:val="es-PE"/>
        </w:rPr>
        <w:t>Common</w:t>
      </w:r>
      <w:proofErr w:type="spellEnd"/>
      <w:r w:rsidRPr="00D421EC">
        <w:rPr>
          <w:rStyle w:val="TextCarCarCar"/>
          <w:lang w:val="es-PE"/>
        </w:rPr>
        <w:t xml:space="preserve"> Files \ Microsoft </w:t>
      </w:r>
      <w:proofErr w:type="spellStart"/>
      <w:r w:rsidRPr="00D421EC">
        <w:rPr>
          <w:rStyle w:val="TextCarCarCar"/>
          <w:lang w:val="es-PE"/>
        </w:rPr>
        <w:t>Shared</w:t>
      </w:r>
      <w:proofErr w:type="spellEnd"/>
      <w:r w:rsidRPr="00D421EC">
        <w:rPr>
          <w:rStyle w:val="TextCarCarCar"/>
          <w:lang w:val="es-PE"/>
        </w:rPr>
        <w:t xml:space="preserve"> \ </w:t>
      </w:r>
      <w:proofErr w:type="spellStart"/>
      <w:r w:rsidRPr="00D421EC">
        <w:rPr>
          <w:rStyle w:val="TextCarCarCar"/>
          <w:lang w:val="es-PE"/>
        </w:rPr>
        <w:t>PhotoEd</w:t>
      </w:r>
      <w:proofErr w:type="spellEnd"/>
      <w:r w:rsidRPr="00D421EC">
        <w:rPr>
          <w:rStyle w:val="TextCarCarCar"/>
          <w:lang w:val="es-PE"/>
        </w:rPr>
        <w:t xml:space="preserve"> \ PHOTOED.EXE. </w:t>
      </w:r>
      <w:r w:rsidR="005612A1" w:rsidRPr="00D421EC">
        <w:rPr>
          <w:rStyle w:val="TextCarCarCar"/>
          <w:lang w:val="es-PE"/>
        </w:rPr>
        <w:t>(Usted</w:t>
      </w:r>
      <w:r w:rsidRPr="00D421EC">
        <w:rPr>
          <w:rStyle w:val="TextCarCarCar"/>
          <w:lang w:val="es-PE"/>
        </w:rPr>
        <w:t xml:space="preserve"> tiene la </w:t>
      </w:r>
      <w:proofErr w:type="spellStart"/>
      <w:r w:rsidRPr="00D421EC">
        <w:rPr>
          <w:rStyle w:val="TextCarCarCar"/>
          <w:lang w:val="es-PE"/>
        </w:rPr>
        <w:t>opcion</w:t>
      </w:r>
      <w:proofErr w:type="spellEnd"/>
      <w:r w:rsidRPr="00D421EC">
        <w:rPr>
          <w:rStyle w:val="TextCarCarCar"/>
          <w:lang w:val="es-PE"/>
        </w:rPr>
        <w:t xml:space="preserve"> de instalar el </w:t>
      </w:r>
      <w:proofErr w:type="spellStart"/>
      <w:r w:rsidRPr="00D421EC">
        <w:rPr>
          <w:rStyle w:val="TextCarCarCar"/>
          <w:lang w:val="es-PE"/>
        </w:rPr>
        <w:t>photo</w:t>
      </w:r>
      <w:proofErr w:type="spellEnd"/>
      <w:r w:rsidRPr="00D421EC">
        <w:rPr>
          <w:rStyle w:val="TextCarCarCar"/>
          <w:lang w:val="es-PE"/>
        </w:rPr>
        <w:t xml:space="preserve"> editor de su disco original de </w:t>
      </w:r>
      <w:proofErr w:type="spellStart"/>
      <w:r w:rsidRPr="00D421EC">
        <w:rPr>
          <w:rStyle w:val="TextCarCarCar"/>
          <w:lang w:val="es-PE"/>
        </w:rPr>
        <w:t>Oficce</w:t>
      </w:r>
      <w:proofErr w:type="spellEnd"/>
      <w:r w:rsidRPr="00D421EC">
        <w:rPr>
          <w:rStyle w:val="TextCarCarCar"/>
          <w:lang w:val="es-PE"/>
        </w:rPr>
        <w:t>)</w:t>
      </w:r>
    </w:p>
    <w:p w14:paraId="71BBCAE0" w14:textId="77777777" w:rsidR="006278CB" w:rsidRPr="00D421EC" w:rsidRDefault="006278CB" w:rsidP="00396A0D">
      <w:pPr>
        <w:jc w:val="both"/>
        <w:rPr>
          <w:rStyle w:val="TextCarCarCar"/>
          <w:lang w:val="es-PE"/>
        </w:rPr>
      </w:pPr>
    </w:p>
    <w:p w14:paraId="4C62DEE6" w14:textId="77777777" w:rsidR="002702DE" w:rsidRPr="00D421EC" w:rsidRDefault="00AC192C" w:rsidP="00396A0D">
      <w:pPr>
        <w:jc w:val="both"/>
        <w:rPr>
          <w:lang w:val="es-PE"/>
        </w:rPr>
      </w:pPr>
      <w:r w:rsidRPr="00D421EC">
        <w:rPr>
          <w:noProof/>
          <w:lang w:val="es-PE"/>
        </w:rPr>
        <w:lastRenderedPageBreak/>
        <w:drawing>
          <wp:inline distT="0" distB="0" distL="0" distR="0" wp14:anchorId="29531B21" wp14:editId="74448D43">
            <wp:extent cx="3154680" cy="2394585"/>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54680" cy="2394585"/>
                    </a:xfrm>
                    <a:prstGeom prst="rect">
                      <a:avLst/>
                    </a:prstGeom>
                    <a:noFill/>
                    <a:ln>
                      <a:noFill/>
                    </a:ln>
                  </pic:spPr>
                </pic:pic>
              </a:graphicData>
            </a:graphic>
          </wp:inline>
        </w:drawing>
      </w:r>
    </w:p>
    <w:p w14:paraId="080DEA36" w14:textId="77777777" w:rsidR="003B16C7" w:rsidRPr="00D421EC" w:rsidRDefault="003B16C7" w:rsidP="00396A0D">
      <w:pPr>
        <w:jc w:val="both"/>
        <w:rPr>
          <w:color w:val="000000"/>
          <w:sz w:val="16"/>
          <w:szCs w:val="16"/>
          <w:lang w:val="es-PE" w:eastAsia="es-ES"/>
        </w:rPr>
      </w:pPr>
      <w:r w:rsidRPr="00D421EC">
        <w:rPr>
          <w:color w:val="000000"/>
          <w:sz w:val="16"/>
          <w:szCs w:val="16"/>
          <w:lang w:val="es-PE" w:eastAsia="es-ES"/>
        </w:rPr>
        <w:t xml:space="preserve">Fig. 1. función  de Magnetización. Tenga en cuenta que "Fig." Está abreviado. Hay un espacio después del </w:t>
      </w:r>
      <w:proofErr w:type="spellStart"/>
      <w:r w:rsidRPr="00D421EC">
        <w:rPr>
          <w:color w:val="000000"/>
          <w:sz w:val="16"/>
          <w:szCs w:val="16"/>
          <w:lang w:val="es-PE" w:eastAsia="es-ES"/>
        </w:rPr>
        <w:t>numero</w:t>
      </w:r>
      <w:proofErr w:type="spellEnd"/>
      <w:r w:rsidRPr="00D421EC">
        <w:rPr>
          <w:color w:val="000000"/>
          <w:sz w:val="16"/>
          <w:szCs w:val="16"/>
          <w:lang w:val="es-PE" w:eastAsia="es-ES"/>
        </w:rPr>
        <w:t xml:space="preserve"> de figura, seguido por dos espacios. Es una buena práctica para explicar la importancia de la figura en el subtítulo.</w:t>
      </w:r>
    </w:p>
    <w:p w14:paraId="18DEC621" w14:textId="77777777" w:rsidR="003B16C7" w:rsidRPr="00D421EC" w:rsidRDefault="003B16C7" w:rsidP="00396A0D">
      <w:pPr>
        <w:jc w:val="both"/>
        <w:rPr>
          <w:lang w:val="es-PE"/>
        </w:rPr>
      </w:pPr>
    </w:p>
    <w:p w14:paraId="35638F6B" w14:textId="77777777" w:rsidR="006278CB" w:rsidRPr="00D421EC" w:rsidRDefault="006278CB" w:rsidP="00396A0D">
      <w:pPr>
        <w:jc w:val="both"/>
        <w:rPr>
          <w:rFonts w:ascii="Courier New" w:hAnsi="Courier New" w:cs="Courier New"/>
          <w:color w:val="000000"/>
          <w:lang w:val="es-PE"/>
        </w:rPr>
      </w:pPr>
    </w:p>
    <w:p w14:paraId="3D4BDC2F" w14:textId="77777777" w:rsidR="00F260D0" w:rsidRPr="00D421EC" w:rsidRDefault="00AC192C" w:rsidP="00396A0D">
      <w:pPr>
        <w:pStyle w:val="Ttulo2"/>
        <w:numPr>
          <w:ilvl w:val="0"/>
          <w:numId w:val="0"/>
        </w:numPr>
        <w:ind w:left="144"/>
        <w:jc w:val="both"/>
        <w:rPr>
          <w:lang w:val="es-PE"/>
        </w:rPr>
      </w:pPr>
      <w:r w:rsidRPr="00D421EC">
        <w:rPr>
          <w:noProof/>
          <w:lang w:val="es-PE"/>
        </w:rPr>
        <mc:AlternateContent>
          <mc:Choice Requires="wps">
            <w:drawing>
              <wp:anchor distT="0" distB="0" distL="114300" distR="114300" simplePos="0" relativeHeight="251657728" behindDoc="0" locked="0" layoutInCell="0" allowOverlap="1" wp14:anchorId="04EC4019" wp14:editId="7663C330">
                <wp:simplePos x="0" y="0"/>
                <wp:positionH relativeFrom="margin">
                  <wp:posOffset>3429000</wp:posOffset>
                </wp:positionH>
                <wp:positionV relativeFrom="margin">
                  <wp:posOffset>0</wp:posOffset>
                </wp:positionV>
                <wp:extent cx="3154680" cy="4048760"/>
                <wp:effectExtent l="0" t="0" r="0" b="0"/>
                <wp:wrapSquare wrapText="bothSides"/>
                <wp:docPr id="3"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B09E2" w14:textId="77777777" w:rsidR="002702DE" w:rsidRDefault="002702DE" w:rsidP="00F260D0">
                            <w:pPr>
                              <w:pStyle w:val="TableTitle"/>
                            </w:pPr>
                            <w:r>
                              <w:t>TABLE I</w:t>
                            </w:r>
                          </w:p>
                          <w:p w14:paraId="63E6F2F9" w14:textId="77777777" w:rsidR="002702DE" w:rsidRDefault="002702DE" w:rsidP="00F260D0">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2702DE" w14:paraId="7BA5396E" w14:textId="77777777">
                              <w:trPr>
                                <w:trHeight w:val="35"/>
                              </w:trPr>
                              <w:tc>
                                <w:tcPr>
                                  <w:tcW w:w="720" w:type="dxa"/>
                                  <w:tcBorders>
                                    <w:top w:val="double" w:sz="6" w:space="0" w:color="auto"/>
                                    <w:left w:val="nil"/>
                                    <w:bottom w:val="single" w:sz="6" w:space="0" w:color="auto"/>
                                    <w:right w:val="nil"/>
                                  </w:tcBorders>
                                  <w:vAlign w:val="center"/>
                                </w:tcPr>
                                <w:p w14:paraId="2E042C6D" w14:textId="77777777" w:rsidR="002702DE" w:rsidRDefault="002702D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1290FA3" w14:textId="77777777" w:rsidR="002702DE" w:rsidRDefault="002702DE">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F49C957" w14:textId="77777777" w:rsidR="002702DE" w:rsidRDefault="002702DE">
                                  <w:pPr>
                                    <w:jc w:val="center"/>
                                    <w:rPr>
                                      <w:sz w:val="16"/>
                                      <w:szCs w:val="16"/>
                                    </w:rPr>
                                  </w:pPr>
                                  <w:r>
                                    <w:rPr>
                                      <w:sz w:val="16"/>
                                      <w:szCs w:val="16"/>
                                    </w:rPr>
                                    <w:t>Conversion from Gaussian and</w:t>
                                  </w:r>
                                </w:p>
                                <w:p w14:paraId="5CBDE273" w14:textId="77777777" w:rsidR="002702DE" w:rsidRDefault="002702DE">
                                  <w:pPr>
                                    <w:jc w:val="center"/>
                                    <w:rPr>
                                      <w:sz w:val="16"/>
                                      <w:szCs w:val="16"/>
                                    </w:rPr>
                                  </w:pPr>
                                  <w:r>
                                    <w:rPr>
                                      <w:sz w:val="16"/>
                                      <w:szCs w:val="16"/>
                                    </w:rPr>
                                    <w:t xml:space="preserve">CGS EMU to SI </w:t>
                                  </w:r>
                                  <w:r>
                                    <w:rPr>
                                      <w:sz w:val="16"/>
                                      <w:szCs w:val="16"/>
                                      <w:vertAlign w:val="superscript"/>
                                    </w:rPr>
                                    <w:t>a</w:t>
                                  </w:r>
                                </w:p>
                              </w:tc>
                            </w:tr>
                            <w:tr w:rsidR="002702DE" w14:paraId="6DAD5FEB" w14:textId="77777777">
                              <w:tc>
                                <w:tcPr>
                                  <w:tcW w:w="720" w:type="dxa"/>
                                  <w:tcBorders>
                                    <w:top w:val="nil"/>
                                    <w:left w:val="nil"/>
                                    <w:bottom w:val="nil"/>
                                    <w:right w:val="nil"/>
                                  </w:tcBorders>
                                </w:tcPr>
                                <w:p w14:paraId="0C992122" w14:textId="77777777" w:rsidR="002702DE" w:rsidRDefault="002702DE">
                                  <w:pPr>
                                    <w:rPr>
                                      <w:sz w:val="16"/>
                                      <w:szCs w:val="16"/>
                                    </w:rPr>
                                  </w:pPr>
                                  <w:r>
                                    <w:rPr>
                                      <w:sz w:val="16"/>
                                      <w:szCs w:val="16"/>
                                    </w:rPr>
                                    <w:sym w:font="Symbol" w:char="F046"/>
                                  </w:r>
                                </w:p>
                              </w:tc>
                              <w:tc>
                                <w:tcPr>
                                  <w:tcW w:w="1710" w:type="dxa"/>
                                  <w:tcBorders>
                                    <w:top w:val="nil"/>
                                    <w:left w:val="nil"/>
                                    <w:bottom w:val="nil"/>
                                    <w:right w:val="nil"/>
                                  </w:tcBorders>
                                </w:tcPr>
                                <w:p w14:paraId="6998C5AE" w14:textId="77777777" w:rsidR="002702DE" w:rsidRDefault="002702DE">
                                  <w:pPr>
                                    <w:rPr>
                                      <w:sz w:val="16"/>
                                      <w:szCs w:val="16"/>
                                    </w:rPr>
                                  </w:pPr>
                                  <w:r>
                                    <w:rPr>
                                      <w:sz w:val="16"/>
                                      <w:szCs w:val="16"/>
                                    </w:rPr>
                                    <w:t>magnetic flux</w:t>
                                  </w:r>
                                </w:p>
                              </w:tc>
                              <w:tc>
                                <w:tcPr>
                                  <w:tcW w:w="2610" w:type="dxa"/>
                                  <w:tcBorders>
                                    <w:top w:val="nil"/>
                                    <w:left w:val="nil"/>
                                    <w:bottom w:val="nil"/>
                                    <w:right w:val="nil"/>
                                  </w:tcBorders>
                                </w:tcPr>
                                <w:p w14:paraId="24E4841F" w14:textId="77777777" w:rsidR="002702DE" w:rsidRDefault="002702D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2702DE" w14:paraId="3D78546F" w14:textId="77777777">
                              <w:tc>
                                <w:tcPr>
                                  <w:tcW w:w="720" w:type="dxa"/>
                                  <w:tcBorders>
                                    <w:top w:val="nil"/>
                                    <w:left w:val="nil"/>
                                    <w:bottom w:val="nil"/>
                                    <w:right w:val="nil"/>
                                  </w:tcBorders>
                                </w:tcPr>
                                <w:p w14:paraId="2F459F3A" w14:textId="77777777" w:rsidR="002702DE" w:rsidRDefault="002702DE">
                                  <w:pPr>
                                    <w:rPr>
                                      <w:i/>
                                      <w:iCs/>
                                      <w:sz w:val="16"/>
                                      <w:szCs w:val="16"/>
                                    </w:rPr>
                                  </w:pPr>
                                  <w:r>
                                    <w:rPr>
                                      <w:i/>
                                      <w:iCs/>
                                      <w:sz w:val="16"/>
                                      <w:szCs w:val="16"/>
                                    </w:rPr>
                                    <w:t>B</w:t>
                                  </w:r>
                                </w:p>
                              </w:tc>
                              <w:tc>
                                <w:tcPr>
                                  <w:tcW w:w="1710" w:type="dxa"/>
                                  <w:tcBorders>
                                    <w:top w:val="nil"/>
                                    <w:left w:val="nil"/>
                                    <w:bottom w:val="nil"/>
                                    <w:right w:val="nil"/>
                                  </w:tcBorders>
                                </w:tcPr>
                                <w:p w14:paraId="1CFA3A6E" w14:textId="77777777" w:rsidR="002702DE" w:rsidRDefault="002702DE">
                                  <w:pPr>
                                    <w:rPr>
                                      <w:sz w:val="16"/>
                                      <w:szCs w:val="16"/>
                                    </w:rPr>
                                  </w:pPr>
                                  <w:r>
                                    <w:rPr>
                                      <w:sz w:val="16"/>
                                      <w:szCs w:val="16"/>
                                    </w:rPr>
                                    <w:t xml:space="preserve">magnetic flux density, </w:t>
                                  </w:r>
                                </w:p>
                                <w:p w14:paraId="46A056F1" w14:textId="77777777" w:rsidR="002702DE" w:rsidRDefault="002702DE">
                                  <w:pPr>
                                    <w:rPr>
                                      <w:sz w:val="16"/>
                                      <w:szCs w:val="16"/>
                                    </w:rPr>
                                  </w:pPr>
                                  <w:r>
                                    <w:rPr>
                                      <w:sz w:val="16"/>
                                      <w:szCs w:val="16"/>
                                    </w:rPr>
                                    <w:t xml:space="preserve">  magnetic induction</w:t>
                                  </w:r>
                                </w:p>
                              </w:tc>
                              <w:tc>
                                <w:tcPr>
                                  <w:tcW w:w="2610" w:type="dxa"/>
                                  <w:tcBorders>
                                    <w:top w:val="nil"/>
                                    <w:left w:val="nil"/>
                                    <w:bottom w:val="nil"/>
                                    <w:right w:val="nil"/>
                                  </w:tcBorders>
                                </w:tcPr>
                                <w:p w14:paraId="1034323F" w14:textId="77777777" w:rsidR="002702DE" w:rsidRDefault="002702D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2702DE" w14:paraId="0217D884" w14:textId="77777777">
                              <w:tc>
                                <w:tcPr>
                                  <w:tcW w:w="720" w:type="dxa"/>
                                  <w:tcBorders>
                                    <w:top w:val="nil"/>
                                    <w:left w:val="nil"/>
                                    <w:bottom w:val="nil"/>
                                    <w:right w:val="nil"/>
                                  </w:tcBorders>
                                </w:tcPr>
                                <w:p w14:paraId="4C4BECFB" w14:textId="77777777" w:rsidR="002702DE" w:rsidRDefault="002702DE">
                                  <w:pPr>
                                    <w:rPr>
                                      <w:i/>
                                      <w:iCs/>
                                      <w:sz w:val="16"/>
                                      <w:szCs w:val="16"/>
                                    </w:rPr>
                                  </w:pPr>
                                  <w:r>
                                    <w:rPr>
                                      <w:i/>
                                      <w:iCs/>
                                      <w:sz w:val="16"/>
                                      <w:szCs w:val="16"/>
                                    </w:rPr>
                                    <w:t>H</w:t>
                                  </w:r>
                                </w:p>
                              </w:tc>
                              <w:tc>
                                <w:tcPr>
                                  <w:tcW w:w="1710" w:type="dxa"/>
                                  <w:tcBorders>
                                    <w:top w:val="nil"/>
                                    <w:left w:val="nil"/>
                                    <w:bottom w:val="nil"/>
                                    <w:right w:val="nil"/>
                                  </w:tcBorders>
                                </w:tcPr>
                                <w:p w14:paraId="17CF3E0A" w14:textId="77777777" w:rsidR="002702DE" w:rsidRDefault="002702DE">
                                  <w:pPr>
                                    <w:rPr>
                                      <w:sz w:val="16"/>
                                      <w:szCs w:val="16"/>
                                    </w:rPr>
                                  </w:pPr>
                                  <w:r>
                                    <w:rPr>
                                      <w:sz w:val="16"/>
                                      <w:szCs w:val="16"/>
                                    </w:rPr>
                                    <w:t>magnetic field strength</w:t>
                                  </w:r>
                                </w:p>
                              </w:tc>
                              <w:tc>
                                <w:tcPr>
                                  <w:tcW w:w="2610" w:type="dxa"/>
                                  <w:tcBorders>
                                    <w:top w:val="nil"/>
                                    <w:left w:val="nil"/>
                                    <w:bottom w:val="nil"/>
                                    <w:right w:val="nil"/>
                                  </w:tcBorders>
                                </w:tcPr>
                                <w:p w14:paraId="048BCBD8" w14:textId="77777777" w:rsidR="002702DE" w:rsidRDefault="002702D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702DE" w14:paraId="101F7F08" w14:textId="77777777">
                              <w:tc>
                                <w:tcPr>
                                  <w:tcW w:w="720" w:type="dxa"/>
                                  <w:tcBorders>
                                    <w:top w:val="nil"/>
                                    <w:left w:val="nil"/>
                                    <w:bottom w:val="nil"/>
                                    <w:right w:val="nil"/>
                                  </w:tcBorders>
                                </w:tcPr>
                                <w:p w14:paraId="67D9F886" w14:textId="77777777" w:rsidR="002702DE" w:rsidRDefault="002702DE">
                                  <w:pPr>
                                    <w:rPr>
                                      <w:i/>
                                      <w:iCs/>
                                      <w:sz w:val="16"/>
                                      <w:szCs w:val="16"/>
                                    </w:rPr>
                                  </w:pPr>
                                  <w:r>
                                    <w:rPr>
                                      <w:i/>
                                      <w:iCs/>
                                      <w:sz w:val="16"/>
                                      <w:szCs w:val="16"/>
                                    </w:rPr>
                                    <w:t>m</w:t>
                                  </w:r>
                                </w:p>
                              </w:tc>
                              <w:tc>
                                <w:tcPr>
                                  <w:tcW w:w="1710" w:type="dxa"/>
                                  <w:tcBorders>
                                    <w:top w:val="nil"/>
                                    <w:left w:val="nil"/>
                                    <w:bottom w:val="nil"/>
                                    <w:right w:val="nil"/>
                                  </w:tcBorders>
                                </w:tcPr>
                                <w:p w14:paraId="30200BD8" w14:textId="77777777" w:rsidR="002702DE" w:rsidRDefault="002702DE">
                                  <w:pPr>
                                    <w:rPr>
                                      <w:sz w:val="16"/>
                                      <w:szCs w:val="16"/>
                                      <w:vertAlign w:val="superscript"/>
                                    </w:rPr>
                                  </w:pPr>
                                  <w:r>
                                    <w:rPr>
                                      <w:sz w:val="16"/>
                                      <w:szCs w:val="16"/>
                                    </w:rPr>
                                    <w:t>magnetic moment</w:t>
                                  </w:r>
                                </w:p>
                              </w:tc>
                              <w:tc>
                                <w:tcPr>
                                  <w:tcW w:w="2610" w:type="dxa"/>
                                  <w:tcBorders>
                                    <w:top w:val="nil"/>
                                    <w:left w:val="nil"/>
                                    <w:bottom w:val="nil"/>
                                    <w:right w:val="nil"/>
                                  </w:tcBorders>
                                </w:tcPr>
                                <w:p w14:paraId="58731BCF" w14:textId="77777777" w:rsidR="002702DE" w:rsidRDefault="002702DE">
                                  <w:pPr>
                                    <w:rPr>
                                      <w:sz w:val="16"/>
                                      <w:szCs w:val="16"/>
                                    </w:rPr>
                                  </w:pPr>
                                  <w:r>
                                    <w:rPr>
                                      <w:sz w:val="16"/>
                                      <w:szCs w:val="16"/>
                                    </w:rPr>
                                    <w:t xml:space="preserve">1 erg/G = 1 emu </w:t>
                                  </w:r>
                                </w:p>
                                <w:p w14:paraId="52FEB2D5" w14:textId="77777777" w:rsidR="002702DE" w:rsidRDefault="002702D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2702DE" w14:paraId="5C7C311B" w14:textId="77777777">
                              <w:tc>
                                <w:tcPr>
                                  <w:tcW w:w="720" w:type="dxa"/>
                                  <w:tcBorders>
                                    <w:top w:val="nil"/>
                                    <w:left w:val="nil"/>
                                    <w:bottom w:val="nil"/>
                                    <w:right w:val="nil"/>
                                  </w:tcBorders>
                                </w:tcPr>
                                <w:p w14:paraId="23590DBB" w14:textId="77777777" w:rsidR="002702DE" w:rsidRDefault="002702DE">
                                  <w:pPr>
                                    <w:rPr>
                                      <w:i/>
                                      <w:iCs/>
                                      <w:sz w:val="16"/>
                                      <w:szCs w:val="16"/>
                                    </w:rPr>
                                  </w:pPr>
                                  <w:r>
                                    <w:rPr>
                                      <w:i/>
                                      <w:iCs/>
                                      <w:sz w:val="16"/>
                                      <w:szCs w:val="16"/>
                                    </w:rPr>
                                    <w:t>M</w:t>
                                  </w:r>
                                </w:p>
                              </w:tc>
                              <w:tc>
                                <w:tcPr>
                                  <w:tcW w:w="1710" w:type="dxa"/>
                                  <w:tcBorders>
                                    <w:top w:val="nil"/>
                                    <w:left w:val="nil"/>
                                    <w:bottom w:val="nil"/>
                                    <w:right w:val="nil"/>
                                  </w:tcBorders>
                                </w:tcPr>
                                <w:p w14:paraId="2A707EC6" w14:textId="77777777" w:rsidR="002702DE" w:rsidRDefault="002702DE">
                                  <w:pPr>
                                    <w:rPr>
                                      <w:sz w:val="16"/>
                                      <w:szCs w:val="16"/>
                                    </w:rPr>
                                  </w:pPr>
                                  <w:r>
                                    <w:rPr>
                                      <w:sz w:val="16"/>
                                      <w:szCs w:val="16"/>
                                    </w:rPr>
                                    <w:t>magnetization</w:t>
                                  </w:r>
                                </w:p>
                              </w:tc>
                              <w:tc>
                                <w:tcPr>
                                  <w:tcW w:w="2610" w:type="dxa"/>
                                  <w:tcBorders>
                                    <w:top w:val="nil"/>
                                    <w:left w:val="nil"/>
                                    <w:bottom w:val="nil"/>
                                    <w:right w:val="nil"/>
                                  </w:tcBorders>
                                </w:tcPr>
                                <w:p w14:paraId="38BC427A" w14:textId="77777777" w:rsidR="002702DE" w:rsidRDefault="002702D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94F2647" w14:textId="77777777" w:rsidR="002702DE" w:rsidRDefault="002702D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2702DE" w14:paraId="6F126B54" w14:textId="77777777">
                              <w:tc>
                                <w:tcPr>
                                  <w:tcW w:w="720" w:type="dxa"/>
                                  <w:tcBorders>
                                    <w:top w:val="nil"/>
                                    <w:left w:val="nil"/>
                                    <w:bottom w:val="nil"/>
                                    <w:right w:val="nil"/>
                                  </w:tcBorders>
                                </w:tcPr>
                                <w:p w14:paraId="2374C54F" w14:textId="77777777" w:rsidR="002702DE" w:rsidRDefault="002702DE">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1C21BC6" w14:textId="77777777" w:rsidR="002702DE" w:rsidRDefault="002702DE">
                                  <w:pPr>
                                    <w:rPr>
                                      <w:sz w:val="16"/>
                                      <w:szCs w:val="16"/>
                                    </w:rPr>
                                  </w:pPr>
                                  <w:r>
                                    <w:rPr>
                                      <w:sz w:val="16"/>
                                      <w:szCs w:val="16"/>
                                    </w:rPr>
                                    <w:t>magnetization</w:t>
                                  </w:r>
                                </w:p>
                              </w:tc>
                              <w:tc>
                                <w:tcPr>
                                  <w:tcW w:w="2610" w:type="dxa"/>
                                  <w:tcBorders>
                                    <w:top w:val="nil"/>
                                    <w:left w:val="nil"/>
                                    <w:bottom w:val="nil"/>
                                    <w:right w:val="nil"/>
                                  </w:tcBorders>
                                </w:tcPr>
                                <w:p w14:paraId="1EB05DFD" w14:textId="77777777" w:rsidR="002702DE" w:rsidRDefault="002702D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702DE" w14:paraId="30E340E1" w14:textId="77777777">
                              <w:tc>
                                <w:tcPr>
                                  <w:tcW w:w="720" w:type="dxa"/>
                                  <w:tcBorders>
                                    <w:top w:val="nil"/>
                                    <w:left w:val="nil"/>
                                    <w:bottom w:val="nil"/>
                                    <w:right w:val="nil"/>
                                  </w:tcBorders>
                                </w:tcPr>
                                <w:p w14:paraId="30AC6D1A" w14:textId="77777777" w:rsidR="002702DE" w:rsidRDefault="002702DE">
                                  <w:pPr>
                                    <w:rPr>
                                      <w:sz w:val="16"/>
                                      <w:szCs w:val="16"/>
                                    </w:rPr>
                                  </w:pPr>
                                  <w:r>
                                    <w:rPr>
                                      <w:sz w:val="16"/>
                                      <w:szCs w:val="16"/>
                                    </w:rPr>
                                    <w:sym w:font="Symbol" w:char="F073"/>
                                  </w:r>
                                </w:p>
                              </w:tc>
                              <w:tc>
                                <w:tcPr>
                                  <w:tcW w:w="1710" w:type="dxa"/>
                                  <w:tcBorders>
                                    <w:top w:val="nil"/>
                                    <w:left w:val="nil"/>
                                    <w:bottom w:val="nil"/>
                                    <w:right w:val="nil"/>
                                  </w:tcBorders>
                                </w:tcPr>
                                <w:p w14:paraId="61E25463" w14:textId="77777777" w:rsidR="002702DE" w:rsidRDefault="002702DE">
                                  <w:pPr>
                                    <w:rPr>
                                      <w:sz w:val="16"/>
                                      <w:szCs w:val="16"/>
                                    </w:rPr>
                                  </w:pPr>
                                  <w:r>
                                    <w:rPr>
                                      <w:sz w:val="16"/>
                                      <w:szCs w:val="16"/>
                                    </w:rPr>
                                    <w:t>specific magnetization</w:t>
                                  </w:r>
                                </w:p>
                              </w:tc>
                              <w:tc>
                                <w:tcPr>
                                  <w:tcW w:w="2610" w:type="dxa"/>
                                  <w:tcBorders>
                                    <w:top w:val="nil"/>
                                    <w:left w:val="nil"/>
                                    <w:bottom w:val="nil"/>
                                    <w:right w:val="nil"/>
                                  </w:tcBorders>
                                </w:tcPr>
                                <w:p w14:paraId="42CC40EB" w14:textId="77777777" w:rsidR="002702DE" w:rsidRDefault="002702D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2702DE" w14:paraId="0D6434DA" w14:textId="77777777">
                              <w:tc>
                                <w:tcPr>
                                  <w:tcW w:w="720" w:type="dxa"/>
                                  <w:tcBorders>
                                    <w:top w:val="nil"/>
                                    <w:left w:val="nil"/>
                                    <w:bottom w:val="nil"/>
                                    <w:right w:val="nil"/>
                                  </w:tcBorders>
                                </w:tcPr>
                                <w:p w14:paraId="193CB27C" w14:textId="77777777" w:rsidR="002702DE" w:rsidRDefault="002702DE">
                                  <w:pPr>
                                    <w:rPr>
                                      <w:i/>
                                      <w:iCs/>
                                      <w:sz w:val="16"/>
                                      <w:szCs w:val="16"/>
                                    </w:rPr>
                                  </w:pPr>
                                  <w:r>
                                    <w:rPr>
                                      <w:i/>
                                      <w:iCs/>
                                      <w:sz w:val="16"/>
                                      <w:szCs w:val="16"/>
                                    </w:rPr>
                                    <w:t>j</w:t>
                                  </w:r>
                                </w:p>
                              </w:tc>
                              <w:tc>
                                <w:tcPr>
                                  <w:tcW w:w="1710" w:type="dxa"/>
                                  <w:tcBorders>
                                    <w:top w:val="nil"/>
                                    <w:left w:val="nil"/>
                                    <w:bottom w:val="nil"/>
                                    <w:right w:val="nil"/>
                                  </w:tcBorders>
                                </w:tcPr>
                                <w:p w14:paraId="4898021C" w14:textId="77777777" w:rsidR="002702DE" w:rsidRDefault="002702DE">
                                  <w:pPr>
                                    <w:rPr>
                                      <w:sz w:val="16"/>
                                      <w:szCs w:val="16"/>
                                    </w:rPr>
                                  </w:pPr>
                                  <w:r>
                                    <w:rPr>
                                      <w:sz w:val="16"/>
                                      <w:szCs w:val="16"/>
                                    </w:rPr>
                                    <w:t xml:space="preserve">magnetic dipole </w:t>
                                  </w:r>
                                </w:p>
                                <w:p w14:paraId="0A95B575" w14:textId="77777777" w:rsidR="002702DE" w:rsidRDefault="002702DE">
                                  <w:pPr>
                                    <w:rPr>
                                      <w:sz w:val="16"/>
                                      <w:szCs w:val="16"/>
                                    </w:rPr>
                                  </w:pPr>
                                  <w:r>
                                    <w:rPr>
                                      <w:sz w:val="16"/>
                                      <w:szCs w:val="16"/>
                                    </w:rPr>
                                    <w:t xml:space="preserve">  moment</w:t>
                                  </w:r>
                                </w:p>
                              </w:tc>
                              <w:tc>
                                <w:tcPr>
                                  <w:tcW w:w="2610" w:type="dxa"/>
                                  <w:tcBorders>
                                    <w:top w:val="nil"/>
                                    <w:left w:val="nil"/>
                                    <w:bottom w:val="nil"/>
                                    <w:right w:val="nil"/>
                                  </w:tcBorders>
                                </w:tcPr>
                                <w:p w14:paraId="2C5EEF58" w14:textId="77777777" w:rsidR="002702DE" w:rsidRDefault="002702DE">
                                  <w:pPr>
                                    <w:rPr>
                                      <w:sz w:val="16"/>
                                      <w:szCs w:val="16"/>
                                    </w:rPr>
                                  </w:pPr>
                                  <w:r>
                                    <w:rPr>
                                      <w:sz w:val="16"/>
                                      <w:szCs w:val="16"/>
                                    </w:rPr>
                                    <w:t xml:space="preserve">1 erg/G = 1 emu </w:t>
                                  </w:r>
                                </w:p>
                                <w:p w14:paraId="5110D264" w14:textId="77777777" w:rsidR="002702DE" w:rsidRDefault="002702D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2702DE" w14:paraId="21278161" w14:textId="77777777">
                              <w:tc>
                                <w:tcPr>
                                  <w:tcW w:w="720" w:type="dxa"/>
                                  <w:tcBorders>
                                    <w:top w:val="nil"/>
                                    <w:left w:val="nil"/>
                                    <w:bottom w:val="nil"/>
                                    <w:right w:val="nil"/>
                                  </w:tcBorders>
                                </w:tcPr>
                                <w:p w14:paraId="584C3F99" w14:textId="77777777" w:rsidR="002702DE" w:rsidRDefault="002702DE">
                                  <w:pPr>
                                    <w:rPr>
                                      <w:i/>
                                      <w:iCs/>
                                      <w:sz w:val="16"/>
                                      <w:szCs w:val="16"/>
                                    </w:rPr>
                                  </w:pPr>
                                  <w:r>
                                    <w:rPr>
                                      <w:i/>
                                      <w:iCs/>
                                      <w:sz w:val="16"/>
                                      <w:szCs w:val="16"/>
                                    </w:rPr>
                                    <w:t>J</w:t>
                                  </w:r>
                                </w:p>
                              </w:tc>
                              <w:tc>
                                <w:tcPr>
                                  <w:tcW w:w="1710" w:type="dxa"/>
                                  <w:tcBorders>
                                    <w:top w:val="nil"/>
                                    <w:left w:val="nil"/>
                                    <w:bottom w:val="nil"/>
                                    <w:right w:val="nil"/>
                                  </w:tcBorders>
                                </w:tcPr>
                                <w:p w14:paraId="0030B776" w14:textId="77777777" w:rsidR="002702DE" w:rsidRDefault="002702DE">
                                  <w:pPr>
                                    <w:rPr>
                                      <w:sz w:val="16"/>
                                      <w:szCs w:val="16"/>
                                    </w:rPr>
                                  </w:pPr>
                                  <w:r>
                                    <w:rPr>
                                      <w:sz w:val="16"/>
                                      <w:szCs w:val="16"/>
                                    </w:rPr>
                                    <w:t>magnetic polarization</w:t>
                                  </w:r>
                                </w:p>
                              </w:tc>
                              <w:tc>
                                <w:tcPr>
                                  <w:tcW w:w="2610" w:type="dxa"/>
                                  <w:tcBorders>
                                    <w:top w:val="nil"/>
                                    <w:left w:val="nil"/>
                                    <w:bottom w:val="nil"/>
                                    <w:right w:val="nil"/>
                                  </w:tcBorders>
                                </w:tcPr>
                                <w:p w14:paraId="67FAEC67" w14:textId="77777777" w:rsidR="002702DE" w:rsidRDefault="002702D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04C10A6" w14:textId="77777777" w:rsidR="002702DE" w:rsidRDefault="002702D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2702DE" w14:paraId="61CE8BCE" w14:textId="77777777">
                              <w:tc>
                                <w:tcPr>
                                  <w:tcW w:w="720" w:type="dxa"/>
                                  <w:tcBorders>
                                    <w:top w:val="nil"/>
                                    <w:left w:val="nil"/>
                                    <w:bottom w:val="nil"/>
                                    <w:right w:val="nil"/>
                                  </w:tcBorders>
                                </w:tcPr>
                                <w:p w14:paraId="039B2E40" w14:textId="77777777" w:rsidR="002702DE" w:rsidRDefault="002702DE">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7349EFB7" w14:textId="77777777" w:rsidR="002702DE" w:rsidRDefault="002702DE">
                                  <w:pPr>
                                    <w:rPr>
                                      <w:sz w:val="16"/>
                                      <w:szCs w:val="16"/>
                                    </w:rPr>
                                  </w:pPr>
                                  <w:r>
                                    <w:rPr>
                                      <w:sz w:val="16"/>
                                      <w:szCs w:val="16"/>
                                    </w:rPr>
                                    <w:t>susceptibility</w:t>
                                  </w:r>
                                </w:p>
                              </w:tc>
                              <w:tc>
                                <w:tcPr>
                                  <w:tcW w:w="2610" w:type="dxa"/>
                                  <w:tcBorders>
                                    <w:top w:val="nil"/>
                                    <w:left w:val="nil"/>
                                    <w:bottom w:val="nil"/>
                                    <w:right w:val="nil"/>
                                  </w:tcBorders>
                                </w:tcPr>
                                <w:p w14:paraId="767E2E99" w14:textId="77777777" w:rsidR="002702DE" w:rsidRDefault="002702D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2702DE" w14:paraId="0DCCFEFF" w14:textId="77777777">
                              <w:tc>
                                <w:tcPr>
                                  <w:tcW w:w="720" w:type="dxa"/>
                                  <w:tcBorders>
                                    <w:top w:val="nil"/>
                                    <w:left w:val="nil"/>
                                    <w:bottom w:val="nil"/>
                                    <w:right w:val="nil"/>
                                  </w:tcBorders>
                                </w:tcPr>
                                <w:p w14:paraId="4BD65126" w14:textId="77777777" w:rsidR="002702DE" w:rsidRDefault="002702DE">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7F40D8C" w14:textId="77777777" w:rsidR="002702DE" w:rsidRDefault="002702DE">
                                  <w:pPr>
                                    <w:rPr>
                                      <w:sz w:val="16"/>
                                      <w:szCs w:val="16"/>
                                    </w:rPr>
                                  </w:pPr>
                                  <w:r>
                                    <w:rPr>
                                      <w:sz w:val="16"/>
                                      <w:szCs w:val="16"/>
                                    </w:rPr>
                                    <w:t>mass susceptibility</w:t>
                                  </w:r>
                                </w:p>
                              </w:tc>
                              <w:tc>
                                <w:tcPr>
                                  <w:tcW w:w="2610" w:type="dxa"/>
                                  <w:tcBorders>
                                    <w:top w:val="nil"/>
                                    <w:left w:val="nil"/>
                                    <w:bottom w:val="nil"/>
                                    <w:right w:val="nil"/>
                                  </w:tcBorders>
                                </w:tcPr>
                                <w:p w14:paraId="68B89F87" w14:textId="77777777" w:rsidR="002702DE" w:rsidRDefault="002702D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2702DE" w14:paraId="50AA3664" w14:textId="77777777">
                              <w:tc>
                                <w:tcPr>
                                  <w:tcW w:w="720" w:type="dxa"/>
                                  <w:tcBorders>
                                    <w:top w:val="nil"/>
                                    <w:left w:val="nil"/>
                                    <w:bottom w:val="nil"/>
                                    <w:right w:val="nil"/>
                                  </w:tcBorders>
                                </w:tcPr>
                                <w:p w14:paraId="0C5F4745" w14:textId="77777777" w:rsidR="002702DE" w:rsidRDefault="002702DE">
                                  <w:pPr>
                                    <w:rPr>
                                      <w:sz w:val="16"/>
                                      <w:szCs w:val="16"/>
                                    </w:rPr>
                                  </w:pPr>
                                  <w:r>
                                    <w:rPr>
                                      <w:sz w:val="16"/>
                                      <w:szCs w:val="16"/>
                                    </w:rPr>
                                    <w:sym w:font="Symbol" w:char="F06D"/>
                                  </w:r>
                                </w:p>
                              </w:tc>
                              <w:tc>
                                <w:tcPr>
                                  <w:tcW w:w="1710" w:type="dxa"/>
                                  <w:tcBorders>
                                    <w:top w:val="nil"/>
                                    <w:left w:val="nil"/>
                                    <w:bottom w:val="nil"/>
                                    <w:right w:val="nil"/>
                                  </w:tcBorders>
                                </w:tcPr>
                                <w:p w14:paraId="3E3DD23F" w14:textId="77777777" w:rsidR="002702DE" w:rsidRDefault="002702DE">
                                  <w:pPr>
                                    <w:rPr>
                                      <w:sz w:val="16"/>
                                      <w:szCs w:val="16"/>
                                    </w:rPr>
                                  </w:pPr>
                                  <w:r>
                                    <w:rPr>
                                      <w:sz w:val="16"/>
                                      <w:szCs w:val="16"/>
                                    </w:rPr>
                                    <w:t>permeability</w:t>
                                  </w:r>
                                </w:p>
                              </w:tc>
                              <w:tc>
                                <w:tcPr>
                                  <w:tcW w:w="2610" w:type="dxa"/>
                                  <w:tcBorders>
                                    <w:top w:val="nil"/>
                                    <w:left w:val="nil"/>
                                    <w:bottom w:val="nil"/>
                                    <w:right w:val="nil"/>
                                  </w:tcBorders>
                                </w:tcPr>
                                <w:p w14:paraId="64B78CDB" w14:textId="77777777" w:rsidR="002702DE" w:rsidRDefault="002702D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70A3A2D2" w14:textId="77777777" w:rsidR="002702DE" w:rsidRDefault="002702D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2702DE" w14:paraId="2BB6DE31" w14:textId="77777777">
                              <w:tc>
                                <w:tcPr>
                                  <w:tcW w:w="720" w:type="dxa"/>
                                  <w:tcBorders>
                                    <w:top w:val="nil"/>
                                    <w:left w:val="nil"/>
                                    <w:bottom w:val="nil"/>
                                    <w:right w:val="nil"/>
                                  </w:tcBorders>
                                </w:tcPr>
                                <w:p w14:paraId="2CF58DF2" w14:textId="77777777" w:rsidR="002702DE" w:rsidRDefault="002702DE">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63533ACE" w14:textId="77777777" w:rsidR="002702DE" w:rsidRDefault="002702DE">
                                  <w:pPr>
                                    <w:rPr>
                                      <w:sz w:val="16"/>
                                      <w:szCs w:val="16"/>
                                    </w:rPr>
                                  </w:pPr>
                                  <w:r>
                                    <w:rPr>
                                      <w:sz w:val="16"/>
                                      <w:szCs w:val="16"/>
                                    </w:rPr>
                                    <w:t>relative permeability</w:t>
                                  </w:r>
                                </w:p>
                              </w:tc>
                              <w:tc>
                                <w:tcPr>
                                  <w:tcW w:w="2610" w:type="dxa"/>
                                  <w:tcBorders>
                                    <w:top w:val="nil"/>
                                    <w:left w:val="nil"/>
                                    <w:bottom w:val="nil"/>
                                    <w:right w:val="nil"/>
                                  </w:tcBorders>
                                </w:tcPr>
                                <w:p w14:paraId="0B03CC07" w14:textId="77777777" w:rsidR="002702DE" w:rsidRDefault="002702D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2702DE" w14:paraId="1E7C577C" w14:textId="77777777">
                              <w:tc>
                                <w:tcPr>
                                  <w:tcW w:w="720" w:type="dxa"/>
                                  <w:tcBorders>
                                    <w:top w:val="nil"/>
                                    <w:left w:val="nil"/>
                                    <w:bottom w:val="nil"/>
                                    <w:right w:val="nil"/>
                                  </w:tcBorders>
                                </w:tcPr>
                                <w:p w14:paraId="2176D9BD" w14:textId="77777777" w:rsidR="002702DE" w:rsidRDefault="002702DE">
                                  <w:pPr>
                                    <w:rPr>
                                      <w:i/>
                                      <w:iCs/>
                                      <w:sz w:val="16"/>
                                      <w:szCs w:val="16"/>
                                    </w:rPr>
                                  </w:pPr>
                                  <w:r>
                                    <w:rPr>
                                      <w:i/>
                                      <w:iCs/>
                                      <w:sz w:val="16"/>
                                      <w:szCs w:val="16"/>
                                    </w:rPr>
                                    <w:t>w, W</w:t>
                                  </w:r>
                                </w:p>
                              </w:tc>
                              <w:tc>
                                <w:tcPr>
                                  <w:tcW w:w="1710" w:type="dxa"/>
                                  <w:tcBorders>
                                    <w:top w:val="nil"/>
                                    <w:left w:val="nil"/>
                                    <w:bottom w:val="nil"/>
                                    <w:right w:val="nil"/>
                                  </w:tcBorders>
                                </w:tcPr>
                                <w:p w14:paraId="678BFCA0" w14:textId="77777777" w:rsidR="002702DE" w:rsidRDefault="002702DE">
                                  <w:pPr>
                                    <w:rPr>
                                      <w:sz w:val="16"/>
                                      <w:szCs w:val="16"/>
                                    </w:rPr>
                                  </w:pPr>
                                  <w:r>
                                    <w:rPr>
                                      <w:sz w:val="16"/>
                                      <w:szCs w:val="16"/>
                                    </w:rPr>
                                    <w:t>energy density</w:t>
                                  </w:r>
                                </w:p>
                              </w:tc>
                              <w:tc>
                                <w:tcPr>
                                  <w:tcW w:w="2610" w:type="dxa"/>
                                  <w:tcBorders>
                                    <w:top w:val="nil"/>
                                    <w:left w:val="nil"/>
                                    <w:bottom w:val="nil"/>
                                    <w:right w:val="nil"/>
                                  </w:tcBorders>
                                </w:tcPr>
                                <w:p w14:paraId="00678595" w14:textId="77777777" w:rsidR="002702DE" w:rsidRDefault="002702D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2702DE" w14:paraId="45C1CEB7" w14:textId="77777777">
                              <w:trPr>
                                <w:trHeight w:val="279"/>
                              </w:trPr>
                              <w:tc>
                                <w:tcPr>
                                  <w:tcW w:w="720" w:type="dxa"/>
                                  <w:tcBorders>
                                    <w:top w:val="nil"/>
                                    <w:left w:val="nil"/>
                                    <w:bottom w:val="double" w:sz="6" w:space="0" w:color="auto"/>
                                    <w:right w:val="nil"/>
                                  </w:tcBorders>
                                </w:tcPr>
                                <w:p w14:paraId="2334E5ED" w14:textId="77777777" w:rsidR="002702DE" w:rsidRDefault="002702DE">
                                  <w:pPr>
                                    <w:rPr>
                                      <w:i/>
                                      <w:iCs/>
                                      <w:sz w:val="16"/>
                                      <w:szCs w:val="16"/>
                                    </w:rPr>
                                  </w:pPr>
                                  <w:r>
                                    <w:rPr>
                                      <w:i/>
                                      <w:iCs/>
                                      <w:sz w:val="16"/>
                                      <w:szCs w:val="16"/>
                                    </w:rPr>
                                    <w:t>N, D</w:t>
                                  </w:r>
                                </w:p>
                              </w:tc>
                              <w:tc>
                                <w:tcPr>
                                  <w:tcW w:w="1710" w:type="dxa"/>
                                  <w:tcBorders>
                                    <w:top w:val="nil"/>
                                    <w:left w:val="nil"/>
                                    <w:bottom w:val="double" w:sz="6" w:space="0" w:color="auto"/>
                                    <w:right w:val="nil"/>
                                  </w:tcBorders>
                                </w:tcPr>
                                <w:p w14:paraId="3F65679A" w14:textId="77777777" w:rsidR="002702DE" w:rsidRDefault="002702DE">
                                  <w:pPr>
                                    <w:rPr>
                                      <w:sz w:val="16"/>
                                      <w:szCs w:val="16"/>
                                    </w:rPr>
                                  </w:pPr>
                                  <w:r>
                                    <w:rPr>
                                      <w:sz w:val="16"/>
                                      <w:szCs w:val="16"/>
                                    </w:rPr>
                                    <w:t>demagnetizing factor</w:t>
                                  </w:r>
                                </w:p>
                              </w:tc>
                              <w:tc>
                                <w:tcPr>
                                  <w:tcW w:w="2610" w:type="dxa"/>
                                  <w:tcBorders>
                                    <w:top w:val="nil"/>
                                    <w:left w:val="nil"/>
                                    <w:bottom w:val="double" w:sz="6" w:space="0" w:color="auto"/>
                                    <w:right w:val="nil"/>
                                  </w:tcBorders>
                                </w:tcPr>
                                <w:p w14:paraId="304442C2" w14:textId="77777777" w:rsidR="002702DE" w:rsidRDefault="002702D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37240BD6" w14:textId="77777777" w:rsidR="002702DE" w:rsidRDefault="002702DE" w:rsidP="00F260D0">
                            <w:pPr>
                              <w:pStyle w:val="Textonotapie"/>
                            </w:pPr>
                            <w:r>
                              <w:t xml:space="preserve">No vertical lines in table. Statements that serve as captions for the entire table do not need footnote letters. </w:t>
                            </w:r>
                          </w:p>
                          <w:p w14:paraId="7CE6E3E9" w14:textId="77777777" w:rsidR="002702DE" w:rsidRDefault="002702DE" w:rsidP="00F260D0">
                            <w:pPr>
                              <w:pStyle w:val="Textonotapie"/>
                            </w:pPr>
                            <w:proofErr w:type="spellStart"/>
                            <w:r>
                              <w:rPr>
                                <w:vertAlign w:val="superscript"/>
                              </w:rPr>
                              <w:t>a</w:t>
                            </w:r>
                            <w:r>
                              <w:t>Gaussian</w:t>
                            </w:r>
                            <w:proofErr w:type="spellEnd"/>
                            <w:r>
                              <w:t xml:space="preserve"> units are the same as cgs emu for magnetostatics; Mx = maxwell, G = gauss, </w:t>
                            </w:r>
                            <w:proofErr w:type="spellStart"/>
                            <w:r>
                              <w:t>Oe</w:t>
                            </w:r>
                            <w:proofErr w:type="spellEnd"/>
                            <w:r>
                              <w:t xml:space="preserve"> = oersted; Wb = weber, V = volt, s = second, T = tesla, m = meter, A = ampere, J = joule, kg = kilogram, H = henry.</w:t>
                            </w:r>
                          </w:p>
                          <w:p w14:paraId="40C25350" w14:textId="77777777" w:rsidR="002702DE" w:rsidRDefault="002702DE" w:rsidP="00F260D0">
                            <w:pPr>
                              <w:pStyle w:val="Textonotapie"/>
                            </w:pPr>
                          </w:p>
                          <w:p w14:paraId="7A02ECAA" w14:textId="77777777" w:rsidR="002702DE" w:rsidRDefault="002702DE" w:rsidP="00F260D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C4019" id="_x0000_t202" coordsize="21600,21600" o:spt="202" path="m,l,21600r21600,l21600,xe">
                <v:stroke joinstyle="miter"/>
                <v:path gradientshapeok="t" o:connecttype="rect"/>
              </v:shapetype>
              <v:shape id=" 2" o:spid="_x0000_s1026" type="#_x0000_t202" style="position:absolute;left:0;text-align:left;margin-left:270pt;margin-top:0;width:248.4pt;height:318.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L526gEAAMEDAAAOAAAAZHJzL2Uyb0RvYy54bWysU9uO0zAQfUfiHyy/06TdUqqo6Qp2VYS0&#10;XKSFD3AcJ7FwPGbsNilfz9hpugu8IfxgjX1mjufMjHe3Y2/YSaHXYEu+XOScKSuh1rYt+bevh1db&#10;znwQthYGrCr5WXl+u3/5Yje4Qq2gA1MrZERifTG4knchuCLLvOxUL/wCnLIENoC9CHTENqtRDMTe&#10;m2yV55tsAKwdglTe0+39BPJ94m8aJcPnpvEqMFNyyi2kHdNexT3b70TRonCdlpc0xD9k0Qtt6dEr&#10;1b0Igh1R/0XVa4ngoQkLCX0GTaOlShpIzTL/Q81jJ5xKWqg43l3L5P8frfx0+oJM1yW/4cyKnlrE&#10;VrEqg/MFgY+O4DC+g5G6mxR69wDyuyeX7JnPFOCjdzV8hJp4xDFAihgb7GNtSC0jGmrD+Vp6NQYm&#10;6fJm+Xq92RIkCVvn6+2bTWpOJoo53KEP7xX0LBolR+ptohenBx9iOqKYXeJrHoyuD9qYdMC2ujPI&#10;ToLm4JBWFEkhv7kZG50txLAJjjdJZ5Q2iQxjNRIYxVdQn0kxwjRX9A/I6AB/cjbQTJXc/zgKVJyZ&#10;D5aaFgdwNnA2qtkQVlJoyQNnk3kXpkE9OtRtR8xTAyy8pco2Oml+yuKSJ81J0nWZ6TiIz8/J6+nn&#10;7X8BAAD//wMAUEsDBBQABgAIAAAAIQCwRM8Y3gAAAAkBAAAPAAAAZHJzL2Rvd25yZXYueG1sTI/B&#10;asMwDIbvg72D0WC31cnapVsWpYxBKexSlvYB3NiLw2I5xE6Tvn3V03YRiF/8+r5iM7tOnM0QWk8I&#10;6SIBYaj2uqUG4XjYPr2CCFGRVp0ng3AxATbl/V2hcu0n+jbnKjaCSyjkCsHG2OdShtoap8LC94Y4&#10;+/GDU5HXoZF6UBOXu04+J0kmnWqJP1jVm09r6t9qdAjtmtKvsVrNMp3ejoe93e0v4w7x8WH+eAcR&#10;zRz/juGGz+hQMtPJj6SD6BBeVgm7RASetzhZZqxyQsiW6wxkWcj/BuUVAAD//wMAUEsBAi0AFAAG&#10;AAgAAAAhALaDOJL+AAAA4QEAABMAAAAAAAAAAAAAAAAAAAAAAFtDb250ZW50X1R5cGVzXS54bWxQ&#10;SwECLQAUAAYACAAAACEAOP0h/9YAAACUAQAACwAAAAAAAAAAAAAAAAAvAQAAX3JlbHMvLnJlbHNQ&#10;SwECLQAUAAYACAAAACEAKuS+duoBAADBAwAADgAAAAAAAAAAAAAAAAAuAgAAZHJzL2Uyb0RvYy54&#10;bWxQSwECLQAUAAYACAAAACEAsETPGN4AAAAJAQAADwAAAAAAAAAAAAAAAABEBAAAZHJzL2Rvd25y&#10;ZXYueG1sUEsFBgAAAAAEAAQA8wAAAE8FAAAAAA==&#10;" o:allowincell="f" stroked="f">
                <v:path arrowok="t"/>
                <v:textbox inset="0,0,0,0">
                  <w:txbxContent>
                    <w:p w14:paraId="50EB09E2" w14:textId="77777777" w:rsidR="002702DE" w:rsidRDefault="002702DE" w:rsidP="00F260D0">
                      <w:pPr>
                        <w:pStyle w:val="TableTitle"/>
                      </w:pPr>
                      <w:r>
                        <w:t>TABLE I</w:t>
                      </w:r>
                    </w:p>
                    <w:p w14:paraId="63E6F2F9" w14:textId="77777777" w:rsidR="002702DE" w:rsidRDefault="002702DE" w:rsidP="00F260D0">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2702DE" w14:paraId="7BA5396E" w14:textId="77777777">
                        <w:trPr>
                          <w:trHeight w:val="35"/>
                        </w:trPr>
                        <w:tc>
                          <w:tcPr>
                            <w:tcW w:w="720" w:type="dxa"/>
                            <w:tcBorders>
                              <w:top w:val="double" w:sz="6" w:space="0" w:color="auto"/>
                              <w:left w:val="nil"/>
                              <w:bottom w:val="single" w:sz="6" w:space="0" w:color="auto"/>
                              <w:right w:val="nil"/>
                            </w:tcBorders>
                            <w:vAlign w:val="center"/>
                          </w:tcPr>
                          <w:p w14:paraId="2E042C6D" w14:textId="77777777" w:rsidR="002702DE" w:rsidRDefault="002702D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1290FA3" w14:textId="77777777" w:rsidR="002702DE" w:rsidRDefault="002702DE">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F49C957" w14:textId="77777777" w:rsidR="002702DE" w:rsidRDefault="002702DE">
                            <w:pPr>
                              <w:jc w:val="center"/>
                              <w:rPr>
                                <w:sz w:val="16"/>
                                <w:szCs w:val="16"/>
                              </w:rPr>
                            </w:pPr>
                            <w:r>
                              <w:rPr>
                                <w:sz w:val="16"/>
                                <w:szCs w:val="16"/>
                              </w:rPr>
                              <w:t>Conversion from Gaussian and</w:t>
                            </w:r>
                          </w:p>
                          <w:p w14:paraId="5CBDE273" w14:textId="77777777" w:rsidR="002702DE" w:rsidRDefault="002702DE">
                            <w:pPr>
                              <w:jc w:val="center"/>
                              <w:rPr>
                                <w:sz w:val="16"/>
                                <w:szCs w:val="16"/>
                              </w:rPr>
                            </w:pPr>
                            <w:r>
                              <w:rPr>
                                <w:sz w:val="16"/>
                                <w:szCs w:val="16"/>
                              </w:rPr>
                              <w:t xml:space="preserve">CGS EMU to SI </w:t>
                            </w:r>
                            <w:r>
                              <w:rPr>
                                <w:sz w:val="16"/>
                                <w:szCs w:val="16"/>
                                <w:vertAlign w:val="superscript"/>
                              </w:rPr>
                              <w:t>a</w:t>
                            </w:r>
                          </w:p>
                        </w:tc>
                      </w:tr>
                      <w:tr w:rsidR="002702DE" w14:paraId="6DAD5FEB" w14:textId="77777777">
                        <w:tc>
                          <w:tcPr>
                            <w:tcW w:w="720" w:type="dxa"/>
                            <w:tcBorders>
                              <w:top w:val="nil"/>
                              <w:left w:val="nil"/>
                              <w:bottom w:val="nil"/>
                              <w:right w:val="nil"/>
                            </w:tcBorders>
                          </w:tcPr>
                          <w:p w14:paraId="0C992122" w14:textId="77777777" w:rsidR="002702DE" w:rsidRDefault="002702DE">
                            <w:pPr>
                              <w:rPr>
                                <w:sz w:val="16"/>
                                <w:szCs w:val="16"/>
                              </w:rPr>
                            </w:pPr>
                            <w:r>
                              <w:rPr>
                                <w:sz w:val="16"/>
                                <w:szCs w:val="16"/>
                              </w:rPr>
                              <w:sym w:font="Symbol" w:char="F046"/>
                            </w:r>
                          </w:p>
                        </w:tc>
                        <w:tc>
                          <w:tcPr>
                            <w:tcW w:w="1710" w:type="dxa"/>
                            <w:tcBorders>
                              <w:top w:val="nil"/>
                              <w:left w:val="nil"/>
                              <w:bottom w:val="nil"/>
                              <w:right w:val="nil"/>
                            </w:tcBorders>
                          </w:tcPr>
                          <w:p w14:paraId="6998C5AE" w14:textId="77777777" w:rsidR="002702DE" w:rsidRDefault="002702DE">
                            <w:pPr>
                              <w:rPr>
                                <w:sz w:val="16"/>
                                <w:szCs w:val="16"/>
                              </w:rPr>
                            </w:pPr>
                            <w:r>
                              <w:rPr>
                                <w:sz w:val="16"/>
                                <w:szCs w:val="16"/>
                              </w:rPr>
                              <w:t>magnetic flux</w:t>
                            </w:r>
                          </w:p>
                        </w:tc>
                        <w:tc>
                          <w:tcPr>
                            <w:tcW w:w="2610" w:type="dxa"/>
                            <w:tcBorders>
                              <w:top w:val="nil"/>
                              <w:left w:val="nil"/>
                              <w:bottom w:val="nil"/>
                              <w:right w:val="nil"/>
                            </w:tcBorders>
                          </w:tcPr>
                          <w:p w14:paraId="24E4841F" w14:textId="77777777" w:rsidR="002702DE" w:rsidRDefault="002702D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2702DE" w14:paraId="3D78546F" w14:textId="77777777">
                        <w:tc>
                          <w:tcPr>
                            <w:tcW w:w="720" w:type="dxa"/>
                            <w:tcBorders>
                              <w:top w:val="nil"/>
                              <w:left w:val="nil"/>
                              <w:bottom w:val="nil"/>
                              <w:right w:val="nil"/>
                            </w:tcBorders>
                          </w:tcPr>
                          <w:p w14:paraId="2F459F3A" w14:textId="77777777" w:rsidR="002702DE" w:rsidRDefault="002702DE">
                            <w:pPr>
                              <w:rPr>
                                <w:i/>
                                <w:iCs/>
                                <w:sz w:val="16"/>
                                <w:szCs w:val="16"/>
                              </w:rPr>
                            </w:pPr>
                            <w:r>
                              <w:rPr>
                                <w:i/>
                                <w:iCs/>
                                <w:sz w:val="16"/>
                                <w:szCs w:val="16"/>
                              </w:rPr>
                              <w:t>B</w:t>
                            </w:r>
                          </w:p>
                        </w:tc>
                        <w:tc>
                          <w:tcPr>
                            <w:tcW w:w="1710" w:type="dxa"/>
                            <w:tcBorders>
                              <w:top w:val="nil"/>
                              <w:left w:val="nil"/>
                              <w:bottom w:val="nil"/>
                              <w:right w:val="nil"/>
                            </w:tcBorders>
                          </w:tcPr>
                          <w:p w14:paraId="1CFA3A6E" w14:textId="77777777" w:rsidR="002702DE" w:rsidRDefault="002702DE">
                            <w:pPr>
                              <w:rPr>
                                <w:sz w:val="16"/>
                                <w:szCs w:val="16"/>
                              </w:rPr>
                            </w:pPr>
                            <w:r>
                              <w:rPr>
                                <w:sz w:val="16"/>
                                <w:szCs w:val="16"/>
                              </w:rPr>
                              <w:t xml:space="preserve">magnetic flux density, </w:t>
                            </w:r>
                          </w:p>
                          <w:p w14:paraId="46A056F1" w14:textId="77777777" w:rsidR="002702DE" w:rsidRDefault="002702DE">
                            <w:pPr>
                              <w:rPr>
                                <w:sz w:val="16"/>
                                <w:szCs w:val="16"/>
                              </w:rPr>
                            </w:pPr>
                            <w:r>
                              <w:rPr>
                                <w:sz w:val="16"/>
                                <w:szCs w:val="16"/>
                              </w:rPr>
                              <w:t xml:space="preserve">  magnetic induction</w:t>
                            </w:r>
                          </w:p>
                        </w:tc>
                        <w:tc>
                          <w:tcPr>
                            <w:tcW w:w="2610" w:type="dxa"/>
                            <w:tcBorders>
                              <w:top w:val="nil"/>
                              <w:left w:val="nil"/>
                              <w:bottom w:val="nil"/>
                              <w:right w:val="nil"/>
                            </w:tcBorders>
                          </w:tcPr>
                          <w:p w14:paraId="1034323F" w14:textId="77777777" w:rsidR="002702DE" w:rsidRDefault="002702D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2702DE" w14:paraId="0217D884" w14:textId="77777777">
                        <w:tc>
                          <w:tcPr>
                            <w:tcW w:w="720" w:type="dxa"/>
                            <w:tcBorders>
                              <w:top w:val="nil"/>
                              <w:left w:val="nil"/>
                              <w:bottom w:val="nil"/>
                              <w:right w:val="nil"/>
                            </w:tcBorders>
                          </w:tcPr>
                          <w:p w14:paraId="4C4BECFB" w14:textId="77777777" w:rsidR="002702DE" w:rsidRDefault="002702DE">
                            <w:pPr>
                              <w:rPr>
                                <w:i/>
                                <w:iCs/>
                                <w:sz w:val="16"/>
                                <w:szCs w:val="16"/>
                              </w:rPr>
                            </w:pPr>
                            <w:r>
                              <w:rPr>
                                <w:i/>
                                <w:iCs/>
                                <w:sz w:val="16"/>
                                <w:szCs w:val="16"/>
                              </w:rPr>
                              <w:t>H</w:t>
                            </w:r>
                          </w:p>
                        </w:tc>
                        <w:tc>
                          <w:tcPr>
                            <w:tcW w:w="1710" w:type="dxa"/>
                            <w:tcBorders>
                              <w:top w:val="nil"/>
                              <w:left w:val="nil"/>
                              <w:bottom w:val="nil"/>
                              <w:right w:val="nil"/>
                            </w:tcBorders>
                          </w:tcPr>
                          <w:p w14:paraId="17CF3E0A" w14:textId="77777777" w:rsidR="002702DE" w:rsidRDefault="002702DE">
                            <w:pPr>
                              <w:rPr>
                                <w:sz w:val="16"/>
                                <w:szCs w:val="16"/>
                              </w:rPr>
                            </w:pPr>
                            <w:r>
                              <w:rPr>
                                <w:sz w:val="16"/>
                                <w:szCs w:val="16"/>
                              </w:rPr>
                              <w:t>magnetic field strength</w:t>
                            </w:r>
                          </w:p>
                        </w:tc>
                        <w:tc>
                          <w:tcPr>
                            <w:tcW w:w="2610" w:type="dxa"/>
                            <w:tcBorders>
                              <w:top w:val="nil"/>
                              <w:left w:val="nil"/>
                              <w:bottom w:val="nil"/>
                              <w:right w:val="nil"/>
                            </w:tcBorders>
                          </w:tcPr>
                          <w:p w14:paraId="048BCBD8" w14:textId="77777777" w:rsidR="002702DE" w:rsidRDefault="002702D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702DE" w14:paraId="101F7F08" w14:textId="77777777">
                        <w:tc>
                          <w:tcPr>
                            <w:tcW w:w="720" w:type="dxa"/>
                            <w:tcBorders>
                              <w:top w:val="nil"/>
                              <w:left w:val="nil"/>
                              <w:bottom w:val="nil"/>
                              <w:right w:val="nil"/>
                            </w:tcBorders>
                          </w:tcPr>
                          <w:p w14:paraId="67D9F886" w14:textId="77777777" w:rsidR="002702DE" w:rsidRDefault="002702DE">
                            <w:pPr>
                              <w:rPr>
                                <w:i/>
                                <w:iCs/>
                                <w:sz w:val="16"/>
                                <w:szCs w:val="16"/>
                              </w:rPr>
                            </w:pPr>
                            <w:r>
                              <w:rPr>
                                <w:i/>
                                <w:iCs/>
                                <w:sz w:val="16"/>
                                <w:szCs w:val="16"/>
                              </w:rPr>
                              <w:t>m</w:t>
                            </w:r>
                          </w:p>
                        </w:tc>
                        <w:tc>
                          <w:tcPr>
                            <w:tcW w:w="1710" w:type="dxa"/>
                            <w:tcBorders>
                              <w:top w:val="nil"/>
                              <w:left w:val="nil"/>
                              <w:bottom w:val="nil"/>
                              <w:right w:val="nil"/>
                            </w:tcBorders>
                          </w:tcPr>
                          <w:p w14:paraId="30200BD8" w14:textId="77777777" w:rsidR="002702DE" w:rsidRDefault="002702DE">
                            <w:pPr>
                              <w:rPr>
                                <w:sz w:val="16"/>
                                <w:szCs w:val="16"/>
                                <w:vertAlign w:val="superscript"/>
                              </w:rPr>
                            </w:pPr>
                            <w:r>
                              <w:rPr>
                                <w:sz w:val="16"/>
                                <w:szCs w:val="16"/>
                              </w:rPr>
                              <w:t>magnetic moment</w:t>
                            </w:r>
                          </w:p>
                        </w:tc>
                        <w:tc>
                          <w:tcPr>
                            <w:tcW w:w="2610" w:type="dxa"/>
                            <w:tcBorders>
                              <w:top w:val="nil"/>
                              <w:left w:val="nil"/>
                              <w:bottom w:val="nil"/>
                              <w:right w:val="nil"/>
                            </w:tcBorders>
                          </w:tcPr>
                          <w:p w14:paraId="58731BCF" w14:textId="77777777" w:rsidR="002702DE" w:rsidRDefault="002702DE">
                            <w:pPr>
                              <w:rPr>
                                <w:sz w:val="16"/>
                                <w:szCs w:val="16"/>
                              </w:rPr>
                            </w:pPr>
                            <w:r>
                              <w:rPr>
                                <w:sz w:val="16"/>
                                <w:szCs w:val="16"/>
                              </w:rPr>
                              <w:t xml:space="preserve">1 erg/G = 1 emu </w:t>
                            </w:r>
                          </w:p>
                          <w:p w14:paraId="52FEB2D5" w14:textId="77777777" w:rsidR="002702DE" w:rsidRDefault="002702D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2702DE" w14:paraId="5C7C311B" w14:textId="77777777">
                        <w:tc>
                          <w:tcPr>
                            <w:tcW w:w="720" w:type="dxa"/>
                            <w:tcBorders>
                              <w:top w:val="nil"/>
                              <w:left w:val="nil"/>
                              <w:bottom w:val="nil"/>
                              <w:right w:val="nil"/>
                            </w:tcBorders>
                          </w:tcPr>
                          <w:p w14:paraId="23590DBB" w14:textId="77777777" w:rsidR="002702DE" w:rsidRDefault="002702DE">
                            <w:pPr>
                              <w:rPr>
                                <w:i/>
                                <w:iCs/>
                                <w:sz w:val="16"/>
                                <w:szCs w:val="16"/>
                              </w:rPr>
                            </w:pPr>
                            <w:r>
                              <w:rPr>
                                <w:i/>
                                <w:iCs/>
                                <w:sz w:val="16"/>
                                <w:szCs w:val="16"/>
                              </w:rPr>
                              <w:t>M</w:t>
                            </w:r>
                          </w:p>
                        </w:tc>
                        <w:tc>
                          <w:tcPr>
                            <w:tcW w:w="1710" w:type="dxa"/>
                            <w:tcBorders>
                              <w:top w:val="nil"/>
                              <w:left w:val="nil"/>
                              <w:bottom w:val="nil"/>
                              <w:right w:val="nil"/>
                            </w:tcBorders>
                          </w:tcPr>
                          <w:p w14:paraId="2A707EC6" w14:textId="77777777" w:rsidR="002702DE" w:rsidRDefault="002702DE">
                            <w:pPr>
                              <w:rPr>
                                <w:sz w:val="16"/>
                                <w:szCs w:val="16"/>
                              </w:rPr>
                            </w:pPr>
                            <w:r>
                              <w:rPr>
                                <w:sz w:val="16"/>
                                <w:szCs w:val="16"/>
                              </w:rPr>
                              <w:t>magnetization</w:t>
                            </w:r>
                          </w:p>
                        </w:tc>
                        <w:tc>
                          <w:tcPr>
                            <w:tcW w:w="2610" w:type="dxa"/>
                            <w:tcBorders>
                              <w:top w:val="nil"/>
                              <w:left w:val="nil"/>
                              <w:bottom w:val="nil"/>
                              <w:right w:val="nil"/>
                            </w:tcBorders>
                          </w:tcPr>
                          <w:p w14:paraId="38BC427A" w14:textId="77777777" w:rsidR="002702DE" w:rsidRDefault="002702D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94F2647" w14:textId="77777777" w:rsidR="002702DE" w:rsidRDefault="002702D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2702DE" w14:paraId="6F126B54" w14:textId="77777777">
                        <w:tc>
                          <w:tcPr>
                            <w:tcW w:w="720" w:type="dxa"/>
                            <w:tcBorders>
                              <w:top w:val="nil"/>
                              <w:left w:val="nil"/>
                              <w:bottom w:val="nil"/>
                              <w:right w:val="nil"/>
                            </w:tcBorders>
                          </w:tcPr>
                          <w:p w14:paraId="2374C54F" w14:textId="77777777" w:rsidR="002702DE" w:rsidRDefault="002702DE">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1C21BC6" w14:textId="77777777" w:rsidR="002702DE" w:rsidRDefault="002702DE">
                            <w:pPr>
                              <w:rPr>
                                <w:sz w:val="16"/>
                                <w:szCs w:val="16"/>
                              </w:rPr>
                            </w:pPr>
                            <w:r>
                              <w:rPr>
                                <w:sz w:val="16"/>
                                <w:szCs w:val="16"/>
                              </w:rPr>
                              <w:t>magnetization</w:t>
                            </w:r>
                          </w:p>
                        </w:tc>
                        <w:tc>
                          <w:tcPr>
                            <w:tcW w:w="2610" w:type="dxa"/>
                            <w:tcBorders>
                              <w:top w:val="nil"/>
                              <w:left w:val="nil"/>
                              <w:bottom w:val="nil"/>
                              <w:right w:val="nil"/>
                            </w:tcBorders>
                          </w:tcPr>
                          <w:p w14:paraId="1EB05DFD" w14:textId="77777777" w:rsidR="002702DE" w:rsidRDefault="002702D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702DE" w14:paraId="30E340E1" w14:textId="77777777">
                        <w:tc>
                          <w:tcPr>
                            <w:tcW w:w="720" w:type="dxa"/>
                            <w:tcBorders>
                              <w:top w:val="nil"/>
                              <w:left w:val="nil"/>
                              <w:bottom w:val="nil"/>
                              <w:right w:val="nil"/>
                            </w:tcBorders>
                          </w:tcPr>
                          <w:p w14:paraId="30AC6D1A" w14:textId="77777777" w:rsidR="002702DE" w:rsidRDefault="002702DE">
                            <w:pPr>
                              <w:rPr>
                                <w:sz w:val="16"/>
                                <w:szCs w:val="16"/>
                              </w:rPr>
                            </w:pPr>
                            <w:r>
                              <w:rPr>
                                <w:sz w:val="16"/>
                                <w:szCs w:val="16"/>
                              </w:rPr>
                              <w:sym w:font="Symbol" w:char="F073"/>
                            </w:r>
                          </w:p>
                        </w:tc>
                        <w:tc>
                          <w:tcPr>
                            <w:tcW w:w="1710" w:type="dxa"/>
                            <w:tcBorders>
                              <w:top w:val="nil"/>
                              <w:left w:val="nil"/>
                              <w:bottom w:val="nil"/>
                              <w:right w:val="nil"/>
                            </w:tcBorders>
                          </w:tcPr>
                          <w:p w14:paraId="61E25463" w14:textId="77777777" w:rsidR="002702DE" w:rsidRDefault="002702DE">
                            <w:pPr>
                              <w:rPr>
                                <w:sz w:val="16"/>
                                <w:szCs w:val="16"/>
                              </w:rPr>
                            </w:pPr>
                            <w:r>
                              <w:rPr>
                                <w:sz w:val="16"/>
                                <w:szCs w:val="16"/>
                              </w:rPr>
                              <w:t>specific magnetization</w:t>
                            </w:r>
                          </w:p>
                        </w:tc>
                        <w:tc>
                          <w:tcPr>
                            <w:tcW w:w="2610" w:type="dxa"/>
                            <w:tcBorders>
                              <w:top w:val="nil"/>
                              <w:left w:val="nil"/>
                              <w:bottom w:val="nil"/>
                              <w:right w:val="nil"/>
                            </w:tcBorders>
                          </w:tcPr>
                          <w:p w14:paraId="42CC40EB" w14:textId="77777777" w:rsidR="002702DE" w:rsidRDefault="002702D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2702DE" w14:paraId="0D6434DA" w14:textId="77777777">
                        <w:tc>
                          <w:tcPr>
                            <w:tcW w:w="720" w:type="dxa"/>
                            <w:tcBorders>
                              <w:top w:val="nil"/>
                              <w:left w:val="nil"/>
                              <w:bottom w:val="nil"/>
                              <w:right w:val="nil"/>
                            </w:tcBorders>
                          </w:tcPr>
                          <w:p w14:paraId="193CB27C" w14:textId="77777777" w:rsidR="002702DE" w:rsidRDefault="002702DE">
                            <w:pPr>
                              <w:rPr>
                                <w:i/>
                                <w:iCs/>
                                <w:sz w:val="16"/>
                                <w:szCs w:val="16"/>
                              </w:rPr>
                            </w:pPr>
                            <w:r>
                              <w:rPr>
                                <w:i/>
                                <w:iCs/>
                                <w:sz w:val="16"/>
                                <w:szCs w:val="16"/>
                              </w:rPr>
                              <w:t>j</w:t>
                            </w:r>
                          </w:p>
                        </w:tc>
                        <w:tc>
                          <w:tcPr>
                            <w:tcW w:w="1710" w:type="dxa"/>
                            <w:tcBorders>
                              <w:top w:val="nil"/>
                              <w:left w:val="nil"/>
                              <w:bottom w:val="nil"/>
                              <w:right w:val="nil"/>
                            </w:tcBorders>
                          </w:tcPr>
                          <w:p w14:paraId="4898021C" w14:textId="77777777" w:rsidR="002702DE" w:rsidRDefault="002702DE">
                            <w:pPr>
                              <w:rPr>
                                <w:sz w:val="16"/>
                                <w:szCs w:val="16"/>
                              </w:rPr>
                            </w:pPr>
                            <w:r>
                              <w:rPr>
                                <w:sz w:val="16"/>
                                <w:szCs w:val="16"/>
                              </w:rPr>
                              <w:t xml:space="preserve">magnetic dipole </w:t>
                            </w:r>
                          </w:p>
                          <w:p w14:paraId="0A95B575" w14:textId="77777777" w:rsidR="002702DE" w:rsidRDefault="002702DE">
                            <w:pPr>
                              <w:rPr>
                                <w:sz w:val="16"/>
                                <w:szCs w:val="16"/>
                              </w:rPr>
                            </w:pPr>
                            <w:r>
                              <w:rPr>
                                <w:sz w:val="16"/>
                                <w:szCs w:val="16"/>
                              </w:rPr>
                              <w:t xml:space="preserve">  moment</w:t>
                            </w:r>
                          </w:p>
                        </w:tc>
                        <w:tc>
                          <w:tcPr>
                            <w:tcW w:w="2610" w:type="dxa"/>
                            <w:tcBorders>
                              <w:top w:val="nil"/>
                              <w:left w:val="nil"/>
                              <w:bottom w:val="nil"/>
                              <w:right w:val="nil"/>
                            </w:tcBorders>
                          </w:tcPr>
                          <w:p w14:paraId="2C5EEF58" w14:textId="77777777" w:rsidR="002702DE" w:rsidRDefault="002702DE">
                            <w:pPr>
                              <w:rPr>
                                <w:sz w:val="16"/>
                                <w:szCs w:val="16"/>
                              </w:rPr>
                            </w:pPr>
                            <w:r>
                              <w:rPr>
                                <w:sz w:val="16"/>
                                <w:szCs w:val="16"/>
                              </w:rPr>
                              <w:t xml:space="preserve">1 erg/G = 1 emu </w:t>
                            </w:r>
                          </w:p>
                          <w:p w14:paraId="5110D264" w14:textId="77777777" w:rsidR="002702DE" w:rsidRDefault="002702D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2702DE" w14:paraId="21278161" w14:textId="77777777">
                        <w:tc>
                          <w:tcPr>
                            <w:tcW w:w="720" w:type="dxa"/>
                            <w:tcBorders>
                              <w:top w:val="nil"/>
                              <w:left w:val="nil"/>
                              <w:bottom w:val="nil"/>
                              <w:right w:val="nil"/>
                            </w:tcBorders>
                          </w:tcPr>
                          <w:p w14:paraId="584C3F99" w14:textId="77777777" w:rsidR="002702DE" w:rsidRDefault="002702DE">
                            <w:pPr>
                              <w:rPr>
                                <w:i/>
                                <w:iCs/>
                                <w:sz w:val="16"/>
                                <w:szCs w:val="16"/>
                              </w:rPr>
                            </w:pPr>
                            <w:r>
                              <w:rPr>
                                <w:i/>
                                <w:iCs/>
                                <w:sz w:val="16"/>
                                <w:szCs w:val="16"/>
                              </w:rPr>
                              <w:t>J</w:t>
                            </w:r>
                          </w:p>
                        </w:tc>
                        <w:tc>
                          <w:tcPr>
                            <w:tcW w:w="1710" w:type="dxa"/>
                            <w:tcBorders>
                              <w:top w:val="nil"/>
                              <w:left w:val="nil"/>
                              <w:bottom w:val="nil"/>
                              <w:right w:val="nil"/>
                            </w:tcBorders>
                          </w:tcPr>
                          <w:p w14:paraId="0030B776" w14:textId="77777777" w:rsidR="002702DE" w:rsidRDefault="002702DE">
                            <w:pPr>
                              <w:rPr>
                                <w:sz w:val="16"/>
                                <w:szCs w:val="16"/>
                              </w:rPr>
                            </w:pPr>
                            <w:r>
                              <w:rPr>
                                <w:sz w:val="16"/>
                                <w:szCs w:val="16"/>
                              </w:rPr>
                              <w:t>magnetic polarization</w:t>
                            </w:r>
                          </w:p>
                        </w:tc>
                        <w:tc>
                          <w:tcPr>
                            <w:tcW w:w="2610" w:type="dxa"/>
                            <w:tcBorders>
                              <w:top w:val="nil"/>
                              <w:left w:val="nil"/>
                              <w:bottom w:val="nil"/>
                              <w:right w:val="nil"/>
                            </w:tcBorders>
                          </w:tcPr>
                          <w:p w14:paraId="67FAEC67" w14:textId="77777777" w:rsidR="002702DE" w:rsidRDefault="002702D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04C10A6" w14:textId="77777777" w:rsidR="002702DE" w:rsidRDefault="002702D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2702DE" w14:paraId="61CE8BCE" w14:textId="77777777">
                        <w:tc>
                          <w:tcPr>
                            <w:tcW w:w="720" w:type="dxa"/>
                            <w:tcBorders>
                              <w:top w:val="nil"/>
                              <w:left w:val="nil"/>
                              <w:bottom w:val="nil"/>
                              <w:right w:val="nil"/>
                            </w:tcBorders>
                          </w:tcPr>
                          <w:p w14:paraId="039B2E40" w14:textId="77777777" w:rsidR="002702DE" w:rsidRDefault="002702DE">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7349EFB7" w14:textId="77777777" w:rsidR="002702DE" w:rsidRDefault="002702DE">
                            <w:pPr>
                              <w:rPr>
                                <w:sz w:val="16"/>
                                <w:szCs w:val="16"/>
                              </w:rPr>
                            </w:pPr>
                            <w:r>
                              <w:rPr>
                                <w:sz w:val="16"/>
                                <w:szCs w:val="16"/>
                              </w:rPr>
                              <w:t>susceptibility</w:t>
                            </w:r>
                          </w:p>
                        </w:tc>
                        <w:tc>
                          <w:tcPr>
                            <w:tcW w:w="2610" w:type="dxa"/>
                            <w:tcBorders>
                              <w:top w:val="nil"/>
                              <w:left w:val="nil"/>
                              <w:bottom w:val="nil"/>
                              <w:right w:val="nil"/>
                            </w:tcBorders>
                          </w:tcPr>
                          <w:p w14:paraId="767E2E99" w14:textId="77777777" w:rsidR="002702DE" w:rsidRDefault="002702D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2702DE" w14:paraId="0DCCFEFF" w14:textId="77777777">
                        <w:tc>
                          <w:tcPr>
                            <w:tcW w:w="720" w:type="dxa"/>
                            <w:tcBorders>
                              <w:top w:val="nil"/>
                              <w:left w:val="nil"/>
                              <w:bottom w:val="nil"/>
                              <w:right w:val="nil"/>
                            </w:tcBorders>
                          </w:tcPr>
                          <w:p w14:paraId="4BD65126" w14:textId="77777777" w:rsidR="002702DE" w:rsidRDefault="002702DE">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7F40D8C" w14:textId="77777777" w:rsidR="002702DE" w:rsidRDefault="002702DE">
                            <w:pPr>
                              <w:rPr>
                                <w:sz w:val="16"/>
                                <w:szCs w:val="16"/>
                              </w:rPr>
                            </w:pPr>
                            <w:r>
                              <w:rPr>
                                <w:sz w:val="16"/>
                                <w:szCs w:val="16"/>
                              </w:rPr>
                              <w:t>mass susceptibility</w:t>
                            </w:r>
                          </w:p>
                        </w:tc>
                        <w:tc>
                          <w:tcPr>
                            <w:tcW w:w="2610" w:type="dxa"/>
                            <w:tcBorders>
                              <w:top w:val="nil"/>
                              <w:left w:val="nil"/>
                              <w:bottom w:val="nil"/>
                              <w:right w:val="nil"/>
                            </w:tcBorders>
                          </w:tcPr>
                          <w:p w14:paraId="68B89F87" w14:textId="77777777" w:rsidR="002702DE" w:rsidRDefault="002702D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2702DE" w14:paraId="50AA3664" w14:textId="77777777">
                        <w:tc>
                          <w:tcPr>
                            <w:tcW w:w="720" w:type="dxa"/>
                            <w:tcBorders>
                              <w:top w:val="nil"/>
                              <w:left w:val="nil"/>
                              <w:bottom w:val="nil"/>
                              <w:right w:val="nil"/>
                            </w:tcBorders>
                          </w:tcPr>
                          <w:p w14:paraId="0C5F4745" w14:textId="77777777" w:rsidR="002702DE" w:rsidRDefault="002702DE">
                            <w:pPr>
                              <w:rPr>
                                <w:sz w:val="16"/>
                                <w:szCs w:val="16"/>
                              </w:rPr>
                            </w:pPr>
                            <w:r>
                              <w:rPr>
                                <w:sz w:val="16"/>
                                <w:szCs w:val="16"/>
                              </w:rPr>
                              <w:sym w:font="Symbol" w:char="F06D"/>
                            </w:r>
                          </w:p>
                        </w:tc>
                        <w:tc>
                          <w:tcPr>
                            <w:tcW w:w="1710" w:type="dxa"/>
                            <w:tcBorders>
                              <w:top w:val="nil"/>
                              <w:left w:val="nil"/>
                              <w:bottom w:val="nil"/>
                              <w:right w:val="nil"/>
                            </w:tcBorders>
                          </w:tcPr>
                          <w:p w14:paraId="3E3DD23F" w14:textId="77777777" w:rsidR="002702DE" w:rsidRDefault="002702DE">
                            <w:pPr>
                              <w:rPr>
                                <w:sz w:val="16"/>
                                <w:szCs w:val="16"/>
                              </w:rPr>
                            </w:pPr>
                            <w:r>
                              <w:rPr>
                                <w:sz w:val="16"/>
                                <w:szCs w:val="16"/>
                              </w:rPr>
                              <w:t>permeability</w:t>
                            </w:r>
                          </w:p>
                        </w:tc>
                        <w:tc>
                          <w:tcPr>
                            <w:tcW w:w="2610" w:type="dxa"/>
                            <w:tcBorders>
                              <w:top w:val="nil"/>
                              <w:left w:val="nil"/>
                              <w:bottom w:val="nil"/>
                              <w:right w:val="nil"/>
                            </w:tcBorders>
                          </w:tcPr>
                          <w:p w14:paraId="64B78CDB" w14:textId="77777777" w:rsidR="002702DE" w:rsidRDefault="002702D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70A3A2D2" w14:textId="77777777" w:rsidR="002702DE" w:rsidRDefault="002702D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2702DE" w14:paraId="2BB6DE31" w14:textId="77777777">
                        <w:tc>
                          <w:tcPr>
                            <w:tcW w:w="720" w:type="dxa"/>
                            <w:tcBorders>
                              <w:top w:val="nil"/>
                              <w:left w:val="nil"/>
                              <w:bottom w:val="nil"/>
                              <w:right w:val="nil"/>
                            </w:tcBorders>
                          </w:tcPr>
                          <w:p w14:paraId="2CF58DF2" w14:textId="77777777" w:rsidR="002702DE" w:rsidRDefault="002702DE">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63533ACE" w14:textId="77777777" w:rsidR="002702DE" w:rsidRDefault="002702DE">
                            <w:pPr>
                              <w:rPr>
                                <w:sz w:val="16"/>
                                <w:szCs w:val="16"/>
                              </w:rPr>
                            </w:pPr>
                            <w:r>
                              <w:rPr>
                                <w:sz w:val="16"/>
                                <w:szCs w:val="16"/>
                              </w:rPr>
                              <w:t>relative permeability</w:t>
                            </w:r>
                          </w:p>
                        </w:tc>
                        <w:tc>
                          <w:tcPr>
                            <w:tcW w:w="2610" w:type="dxa"/>
                            <w:tcBorders>
                              <w:top w:val="nil"/>
                              <w:left w:val="nil"/>
                              <w:bottom w:val="nil"/>
                              <w:right w:val="nil"/>
                            </w:tcBorders>
                          </w:tcPr>
                          <w:p w14:paraId="0B03CC07" w14:textId="77777777" w:rsidR="002702DE" w:rsidRDefault="002702D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2702DE" w14:paraId="1E7C577C" w14:textId="77777777">
                        <w:tc>
                          <w:tcPr>
                            <w:tcW w:w="720" w:type="dxa"/>
                            <w:tcBorders>
                              <w:top w:val="nil"/>
                              <w:left w:val="nil"/>
                              <w:bottom w:val="nil"/>
                              <w:right w:val="nil"/>
                            </w:tcBorders>
                          </w:tcPr>
                          <w:p w14:paraId="2176D9BD" w14:textId="77777777" w:rsidR="002702DE" w:rsidRDefault="002702DE">
                            <w:pPr>
                              <w:rPr>
                                <w:i/>
                                <w:iCs/>
                                <w:sz w:val="16"/>
                                <w:szCs w:val="16"/>
                              </w:rPr>
                            </w:pPr>
                            <w:r>
                              <w:rPr>
                                <w:i/>
                                <w:iCs/>
                                <w:sz w:val="16"/>
                                <w:szCs w:val="16"/>
                              </w:rPr>
                              <w:t>w, W</w:t>
                            </w:r>
                          </w:p>
                        </w:tc>
                        <w:tc>
                          <w:tcPr>
                            <w:tcW w:w="1710" w:type="dxa"/>
                            <w:tcBorders>
                              <w:top w:val="nil"/>
                              <w:left w:val="nil"/>
                              <w:bottom w:val="nil"/>
                              <w:right w:val="nil"/>
                            </w:tcBorders>
                          </w:tcPr>
                          <w:p w14:paraId="678BFCA0" w14:textId="77777777" w:rsidR="002702DE" w:rsidRDefault="002702DE">
                            <w:pPr>
                              <w:rPr>
                                <w:sz w:val="16"/>
                                <w:szCs w:val="16"/>
                              </w:rPr>
                            </w:pPr>
                            <w:r>
                              <w:rPr>
                                <w:sz w:val="16"/>
                                <w:szCs w:val="16"/>
                              </w:rPr>
                              <w:t>energy density</w:t>
                            </w:r>
                          </w:p>
                        </w:tc>
                        <w:tc>
                          <w:tcPr>
                            <w:tcW w:w="2610" w:type="dxa"/>
                            <w:tcBorders>
                              <w:top w:val="nil"/>
                              <w:left w:val="nil"/>
                              <w:bottom w:val="nil"/>
                              <w:right w:val="nil"/>
                            </w:tcBorders>
                          </w:tcPr>
                          <w:p w14:paraId="00678595" w14:textId="77777777" w:rsidR="002702DE" w:rsidRDefault="002702D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2702DE" w14:paraId="45C1CEB7" w14:textId="77777777">
                        <w:trPr>
                          <w:trHeight w:val="279"/>
                        </w:trPr>
                        <w:tc>
                          <w:tcPr>
                            <w:tcW w:w="720" w:type="dxa"/>
                            <w:tcBorders>
                              <w:top w:val="nil"/>
                              <w:left w:val="nil"/>
                              <w:bottom w:val="double" w:sz="6" w:space="0" w:color="auto"/>
                              <w:right w:val="nil"/>
                            </w:tcBorders>
                          </w:tcPr>
                          <w:p w14:paraId="2334E5ED" w14:textId="77777777" w:rsidR="002702DE" w:rsidRDefault="002702DE">
                            <w:pPr>
                              <w:rPr>
                                <w:i/>
                                <w:iCs/>
                                <w:sz w:val="16"/>
                                <w:szCs w:val="16"/>
                              </w:rPr>
                            </w:pPr>
                            <w:r>
                              <w:rPr>
                                <w:i/>
                                <w:iCs/>
                                <w:sz w:val="16"/>
                                <w:szCs w:val="16"/>
                              </w:rPr>
                              <w:t>N, D</w:t>
                            </w:r>
                          </w:p>
                        </w:tc>
                        <w:tc>
                          <w:tcPr>
                            <w:tcW w:w="1710" w:type="dxa"/>
                            <w:tcBorders>
                              <w:top w:val="nil"/>
                              <w:left w:val="nil"/>
                              <w:bottom w:val="double" w:sz="6" w:space="0" w:color="auto"/>
                              <w:right w:val="nil"/>
                            </w:tcBorders>
                          </w:tcPr>
                          <w:p w14:paraId="3F65679A" w14:textId="77777777" w:rsidR="002702DE" w:rsidRDefault="002702DE">
                            <w:pPr>
                              <w:rPr>
                                <w:sz w:val="16"/>
                                <w:szCs w:val="16"/>
                              </w:rPr>
                            </w:pPr>
                            <w:r>
                              <w:rPr>
                                <w:sz w:val="16"/>
                                <w:szCs w:val="16"/>
                              </w:rPr>
                              <w:t>demagnetizing factor</w:t>
                            </w:r>
                          </w:p>
                        </w:tc>
                        <w:tc>
                          <w:tcPr>
                            <w:tcW w:w="2610" w:type="dxa"/>
                            <w:tcBorders>
                              <w:top w:val="nil"/>
                              <w:left w:val="nil"/>
                              <w:bottom w:val="double" w:sz="6" w:space="0" w:color="auto"/>
                              <w:right w:val="nil"/>
                            </w:tcBorders>
                          </w:tcPr>
                          <w:p w14:paraId="304442C2" w14:textId="77777777" w:rsidR="002702DE" w:rsidRDefault="002702D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37240BD6" w14:textId="77777777" w:rsidR="002702DE" w:rsidRDefault="002702DE" w:rsidP="00F260D0">
                      <w:pPr>
                        <w:pStyle w:val="Textonotapie"/>
                      </w:pPr>
                      <w:r>
                        <w:t xml:space="preserve">No vertical lines in table. Statements that serve as captions for the entire table do not need footnote letters. </w:t>
                      </w:r>
                    </w:p>
                    <w:p w14:paraId="7CE6E3E9" w14:textId="77777777" w:rsidR="002702DE" w:rsidRDefault="002702DE" w:rsidP="00F260D0">
                      <w:pPr>
                        <w:pStyle w:val="Textonotapie"/>
                      </w:pPr>
                      <w:proofErr w:type="spellStart"/>
                      <w:r>
                        <w:rPr>
                          <w:vertAlign w:val="superscript"/>
                        </w:rPr>
                        <w:t>a</w:t>
                      </w:r>
                      <w:r>
                        <w:t>Gaussian</w:t>
                      </w:r>
                      <w:proofErr w:type="spellEnd"/>
                      <w:r>
                        <w:t xml:space="preserve"> units are the same as cgs emu for magnetostatics; Mx = maxwell, G = gauss, </w:t>
                      </w:r>
                      <w:proofErr w:type="spellStart"/>
                      <w:r>
                        <w:t>Oe</w:t>
                      </w:r>
                      <w:proofErr w:type="spellEnd"/>
                      <w:r>
                        <w:t xml:space="preserve"> = oersted; Wb = weber, V = volt, s = second, T = tesla, m = meter, A = ampere, J = joule, kg = kilogram, H = henry.</w:t>
                      </w:r>
                    </w:p>
                    <w:p w14:paraId="40C25350" w14:textId="77777777" w:rsidR="002702DE" w:rsidRDefault="002702DE" w:rsidP="00F260D0">
                      <w:pPr>
                        <w:pStyle w:val="Textonotapie"/>
                      </w:pPr>
                    </w:p>
                    <w:p w14:paraId="7A02ECAA" w14:textId="77777777" w:rsidR="002702DE" w:rsidRDefault="002702DE" w:rsidP="00F260D0"/>
                  </w:txbxContent>
                </v:textbox>
                <w10:wrap type="square" anchorx="margin" anchory="margin"/>
              </v:shape>
            </w:pict>
          </mc:Fallback>
        </mc:AlternateContent>
      </w:r>
    </w:p>
    <w:p w14:paraId="224AD530" w14:textId="77777777" w:rsidR="00537176" w:rsidRPr="00D421EC" w:rsidRDefault="00537176" w:rsidP="00396A0D">
      <w:pPr>
        <w:pStyle w:val="Ttulo2"/>
        <w:jc w:val="both"/>
        <w:rPr>
          <w:lang w:val="es-PE" w:eastAsia="es-ES"/>
        </w:rPr>
      </w:pPr>
      <w:r w:rsidRPr="00D421EC">
        <w:rPr>
          <w:lang w:val="es-PE" w:eastAsia="es-ES"/>
        </w:rPr>
        <w:t xml:space="preserve">Formulario de Copyright </w:t>
      </w:r>
      <w:r w:rsidRPr="00D421EC">
        <w:rPr>
          <w:lang w:val="es-PE" w:eastAsia="es-ES"/>
        </w:rPr>
        <w:br/>
      </w:r>
    </w:p>
    <w:p w14:paraId="2BE14B4F" w14:textId="77777777" w:rsidR="00537176" w:rsidRPr="00D421EC" w:rsidRDefault="00537176" w:rsidP="00396A0D">
      <w:pPr>
        <w:jc w:val="both"/>
        <w:rPr>
          <w:color w:val="000000"/>
          <w:lang w:val="es-PE" w:eastAsia="es-ES"/>
        </w:rPr>
      </w:pPr>
      <w:r w:rsidRPr="00D421EC">
        <w:rPr>
          <w:color w:val="000000"/>
          <w:lang w:val="es-PE" w:eastAsia="es-ES"/>
        </w:rPr>
        <w:t>Un formulario de IEEE de derechos de autor debe acompañar su presentación final. Usted puede obtener un</w:t>
      </w:r>
      <w:r w:rsidR="00911351" w:rsidRPr="00D421EC">
        <w:rPr>
          <w:color w:val="000000"/>
          <w:lang w:val="es-PE" w:eastAsia="es-ES"/>
        </w:rPr>
        <w:t>a versión</w:t>
      </w:r>
      <w:r w:rsidRPr="00D421EC">
        <w:rPr>
          <w:color w:val="000000"/>
          <w:lang w:val="es-PE" w:eastAsia="es-ES"/>
        </w:rPr>
        <w:t xml:space="preserve">. </w:t>
      </w:r>
      <w:proofErr w:type="spellStart"/>
      <w:r w:rsidRPr="00D421EC">
        <w:rPr>
          <w:color w:val="000000"/>
          <w:lang w:val="es-PE" w:eastAsia="es-ES"/>
        </w:rPr>
        <w:t>Pdf</w:t>
      </w:r>
      <w:proofErr w:type="spellEnd"/>
      <w:r w:rsidR="00911351" w:rsidRPr="00D421EC">
        <w:rPr>
          <w:color w:val="000000"/>
          <w:lang w:val="es-PE" w:eastAsia="es-ES"/>
        </w:rPr>
        <w:t>,</w:t>
      </w:r>
      <w:r w:rsidRPr="00D421EC">
        <w:rPr>
          <w:color w:val="000000"/>
          <w:lang w:val="es-PE" w:eastAsia="es-ES"/>
        </w:rPr>
        <w:t xml:space="preserve"> </w:t>
      </w:r>
      <w:proofErr w:type="spellStart"/>
      <w:r w:rsidRPr="00D421EC">
        <w:rPr>
          <w:color w:val="000000"/>
          <w:lang w:val="es-PE" w:eastAsia="es-ES"/>
        </w:rPr>
        <w:t>Html</w:t>
      </w:r>
      <w:proofErr w:type="spellEnd"/>
      <w:r w:rsidRPr="00D421EC">
        <w:rPr>
          <w:color w:val="000000"/>
          <w:lang w:val="es-PE" w:eastAsia="es-ES"/>
        </w:rPr>
        <w:t xml:space="preserve"> o. </w:t>
      </w:r>
      <w:proofErr w:type="spellStart"/>
      <w:r w:rsidRPr="00D421EC">
        <w:rPr>
          <w:color w:val="000000"/>
          <w:lang w:val="es-PE" w:eastAsia="es-ES"/>
        </w:rPr>
        <w:t>Doc</w:t>
      </w:r>
      <w:proofErr w:type="spellEnd"/>
      <w:r w:rsidRPr="00D421EC">
        <w:rPr>
          <w:color w:val="000000"/>
          <w:lang w:val="es-PE" w:eastAsia="es-ES"/>
        </w:rPr>
        <w:t xml:space="preserve"> en http://www.ieee.org/copyright. Los autores son responsables de la obtención de cualquier autorización.</w:t>
      </w:r>
    </w:p>
    <w:p w14:paraId="7D12EA5D" w14:textId="77777777" w:rsidR="00B0004F" w:rsidRPr="00D421EC" w:rsidRDefault="00B0004F" w:rsidP="00396A0D">
      <w:pPr>
        <w:jc w:val="both"/>
        <w:rPr>
          <w:color w:val="000000"/>
          <w:lang w:val="es-PE" w:eastAsia="es-ES"/>
        </w:rPr>
      </w:pPr>
    </w:p>
    <w:p w14:paraId="59B5FBBA" w14:textId="77777777" w:rsidR="00F260D0" w:rsidRPr="00D421EC" w:rsidRDefault="00F260D0" w:rsidP="00396A0D">
      <w:pPr>
        <w:pStyle w:val="TextCarCar"/>
        <w:rPr>
          <w:lang w:val="es-PE"/>
        </w:rPr>
      </w:pPr>
    </w:p>
    <w:p w14:paraId="3586F7D8" w14:textId="77777777" w:rsidR="00BA03B0" w:rsidRPr="00D421EC" w:rsidRDefault="00BA03B0" w:rsidP="00396A0D">
      <w:pPr>
        <w:pStyle w:val="Ttulo1"/>
        <w:jc w:val="both"/>
        <w:rPr>
          <w:lang w:val="es-PE"/>
        </w:rPr>
      </w:pPr>
      <w:r w:rsidRPr="00D421EC">
        <w:rPr>
          <w:lang w:val="es-PE"/>
        </w:rPr>
        <w:t xml:space="preserve">La matemática </w:t>
      </w:r>
    </w:p>
    <w:p w14:paraId="15DEFB2E" w14:textId="77777777" w:rsidR="00BA03B0" w:rsidRPr="00D421EC" w:rsidRDefault="00BA03B0" w:rsidP="00396A0D">
      <w:pPr>
        <w:pStyle w:val="TextCarCar"/>
        <w:rPr>
          <w:lang w:val="es-PE"/>
        </w:rPr>
      </w:pPr>
      <w:r w:rsidRPr="00D421EC">
        <w:rPr>
          <w:lang w:val="es-PE"/>
        </w:rPr>
        <w:t xml:space="preserve">Si usted está usando </w:t>
      </w:r>
      <w:r w:rsidRPr="00D421EC">
        <w:rPr>
          <w:i/>
          <w:lang w:val="es-PE"/>
        </w:rPr>
        <w:t>Word</w:t>
      </w:r>
      <w:r w:rsidRPr="00D421EC">
        <w:rPr>
          <w:lang w:val="es-PE"/>
        </w:rPr>
        <w:t xml:space="preserve">, use el Editor de Ecuaciones de Microsoft o el complemento </w:t>
      </w:r>
      <w:proofErr w:type="spellStart"/>
      <w:r w:rsidRPr="00D421EC">
        <w:rPr>
          <w:i/>
          <w:lang w:val="es-PE"/>
        </w:rPr>
        <w:t>MathType</w:t>
      </w:r>
      <w:proofErr w:type="spellEnd"/>
      <w:r w:rsidRPr="00D421EC">
        <w:rPr>
          <w:lang w:val="es-PE"/>
        </w:rPr>
        <w:t xml:space="preserve"> (http://www.mathtype.com) para las ecuaciones en su documento (Insertar | Objeto | Crear Nuevo | Editor de Ecuaciones de Microsoft o Ecuación </w:t>
      </w:r>
      <w:proofErr w:type="spellStart"/>
      <w:r w:rsidRPr="00D421EC">
        <w:rPr>
          <w:lang w:val="es-PE"/>
        </w:rPr>
        <w:t>MathType</w:t>
      </w:r>
      <w:proofErr w:type="spellEnd"/>
      <w:r w:rsidRPr="00D421EC">
        <w:rPr>
          <w:lang w:val="es-PE"/>
        </w:rPr>
        <w:t xml:space="preserve">). </w:t>
      </w:r>
    </w:p>
    <w:p w14:paraId="2656C1CB" w14:textId="77777777" w:rsidR="00F260D0" w:rsidRPr="00D421EC" w:rsidRDefault="00F260D0" w:rsidP="00396A0D">
      <w:pPr>
        <w:pStyle w:val="TextCarCar"/>
        <w:rPr>
          <w:lang w:val="es-PE"/>
        </w:rPr>
      </w:pPr>
      <w:r w:rsidRPr="00D421EC">
        <w:rPr>
          <w:lang w:val="es-PE"/>
        </w:rPr>
        <w:t xml:space="preserve">. </w:t>
      </w:r>
    </w:p>
    <w:p w14:paraId="3ADD9D0E" w14:textId="77777777" w:rsidR="007B7E41" w:rsidRPr="00D421EC" w:rsidRDefault="007B7E41" w:rsidP="00396A0D">
      <w:pPr>
        <w:pStyle w:val="Ttulo2"/>
        <w:jc w:val="both"/>
        <w:rPr>
          <w:lang w:val="es-PE"/>
        </w:rPr>
      </w:pPr>
      <w:r w:rsidRPr="00D421EC">
        <w:rPr>
          <w:sz w:val="24"/>
          <w:lang w:val="es-PE"/>
        </w:rPr>
        <w:t xml:space="preserve">Abreviaciones </w:t>
      </w:r>
      <w:r w:rsidRPr="00D421EC">
        <w:rPr>
          <w:lang w:val="es-PE"/>
        </w:rPr>
        <w:t xml:space="preserve">y Siglas </w:t>
      </w:r>
    </w:p>
    <w:p w14:paraId="62DEFBC6" w14:textId="77777777" w:rsidR="00117D49" w:rsidRPr="00D421EC" w:rsidRDefault="00117D49" w:rsidP="00396A0D">
      <w:pPr>
        <w:jc w:val="both"/>
        <w:rPr>
          <w:lang w:val="es-PE"/>
        </w:rPr>
      </w:pPr>
    </w:p>
    <w:p w14:paraId="1F6DC508" w14:textId="77777777" w:rsidR="007B7E41" w:rsidRPr="00D421EC" w:rsidRDefault="007B7E41" w:rsidP="00396A0D">
      <w:pPr>
        <w:pStyle w:val="TextCarCar"/>
        <w:rPr>
          <w:lang w:val="es-PE"/>
        </w:rPr>
      </w:pPr>
      <w:r w:rsidRPr="00D421EC">
        <w:rPr>
          <w:lang w:val="es-PE"/>
        </w:rPr>
        <w:t xml:space="preserve">Defina las abreviaciones y siglas la primera vez que sean usadas en el texto, incluso después de que se hayan definido en la teoría. Las abreviaciones como ACM, IEEE, SI, ac, y </w:t>
      </w:r>
      <w:proofErr w:type="spellStart"/>
      <w:r w:rsidRPr="00D421EC">
        <w:rPr>
          <w:lang w:val="es-PE"/>
        </w:rPr>
        <w:t>dc</w:t>
      </w:r>
      <w:proofErr w:type="spellEnd"/>
      <w:r w:rsidRPr="00D421EC">
        <w:rPr>
          <w:lang w:val="es-PE"/>
        </w:rPr>
        <w:t xml:space="preserve"> no tienen que ser definidas. Las abreviaciones que llevan  puntos incorporados no deben tener espacios: escriba “C.N.R.S.,” no “C. N. R. S.” </w:t>
      </w:r>
      <w:r w:rsidRPr="00D421EC">
        <w:rPr>
          <w:i/>
          <w:lang w:val="es-PE"/>
        </w:rPr>
        <w:t>No use las abreviaciones en el título</w:t>
      </w:r>
      <w:r w:rsidRPr="00D421EC">
        <w:rPr>
          <w:lang w:val="es-PE"/>
        </w:rPr>
        <w:t xml:space="preserve"> a menos que ellas sean inevitables (por ejemplo, “IEEE” en el título de este artículo). </w:t>
      </w:r>
    </w:p>
    <w:p w14:paraId="512C7F2C" w14:textId="77777777" w:rsidR="00C6158D" w:rsidRPr="00D421EC" w:rsidRDefault="00C6158D" w:rsidP="00396A0D">
      <w:pPr>
        <w:pStyle w:val="TextCarCar"/>
        <w:rPr>
          <w:lang w:val="es-PE"/>
        </w:rPr>
      </w:pPr>
    </w:p>
    <w:p w14:paraId="3317AED3" w14:textId="77777777" w:rsidR="00C6158D" w:rsidRPr="00D421EC" w:rsidRDefault="00C6158D" w:rsidP="00396A0D">
      <w:pPr>
        <w:pStyle w:val="Ttulo2"/>
        <w:jc w:val="both"/>
        <w:rPr>
          <w:lang w:val="es-PE"/>
        </w:rPr>
      </w:pPr>
      <w:r w:rsidRPr="00D421EC">
        <w:rPr>
          <w:lang w:val="es-PE"/>
        </w:rPr>
        <w:t xml:space="preserve">Ecuaciones </w:t>
      </w:r>
    </w:p>
    <w:p w14:paraId="2E9AA773" w14:textId="77777777" w:rsidR="00C6158D" w:rsidRPr="00D421EC" w:rsidRDefault="00C6158D" w:rsidP="00396A0D">
      <w:pPr>
        <w:pStyle w:val="TextCarCar"/>
        <w:rPr>
          <w:lang w:val="es-PE"/>
        </w:rPr>
      </w:pPr>
      <w:r w:rsidRPr="00D421EC">
        <w:rPr>
          <w:lang w:val="es-PE"/>
        </w:rPr>
        <w:t xml:space="preserve">Numere las ecuaciones consecutivamente con los números de la ecuación en paréntesis contra el margen derecho, como en (1). Primero use el editor de ecuaciones para crear la ecuación. Luego seleccione estilo de “Ecuación”. Presione la tecla </w:t>
      </w:r>
      <w:proofErr w:type="spellStart"/>
      <w:r w:rsidRPr="00D421EC">
        <w:rPr>
          <w:lang w:val="es-PE"/>
        </w:rPr>
        <w:t>tab</w:t>
      </w:r>
      <w:proofErr w:type="spellEnd"/>
      <w:r w:rsidRPr="00D421EC">
        <w:rPr>
          <w:lang w:val="es-PE"/>
        </w:rPr>
        <w:t xml:space="preserve"> y escriba el número de la ecuación en los paréntesis. Para hacer sus ecuaciones más compactas, usted puede usar (/), la función </w:t>
      </w:r>
      <w:proofErr w:type="spellStart"/>
      <w:r w:rsidRPr="00D421EC">
        <w:rPr>
          <w:lang w:val="es-PE"/>
        </w:rPr>
        <w:t>exp</w:t>
      </w:r>
      <w:proofErr w:type="spellEnd"/>
      <w:r w:rsidRPr="00D421EC">
        <w:rPr>
          <w:lang w:val="es-PE"/>
        </w:rPr>
        <w:t xml:space="preserve">, o exponentes apropiados. Use los paréntesis para evitar las ambigüedades en los denominadores. Puntúe las ecuaciones cuando sean parte de una frase, como en </w:t>
      </w:r>
    </w:p>
    <w:p w14:paraId="7E16B599" w14:textId="77777777" w:rsidR="00F260D0" w:rsidRPr="00D421EC" w:rsidRDefault="00F260D0" w:rsidP="00396A0D">
      <w:pPr>
        <w:pStyle w:val="TextCarCar"/>
        <w:rPr>
          <w:lang w:val="es-PE"/>
        </w:rPr>
      </w:pPr>
    </w:p>
    <w:p w14:paraId="4841B215" w14:textId="77777777" w:rsidR="00F260D0" w:rsidRPr="00D421EC" w:rsidRDefault="00AC192C" w:rsidP="00396A0D">
      <w:pPr>
        <w:pStyle w:val="Equation"/>
        <w:rPr>
          <w:lang w:val="es-PE"/>
        </w:rPr>
      </w:pPr>
      <w:r w:rsidRPr="00D421EC">
        <w:rPr>
          <w:noProof/>
          <w:position w:val="-50"/>
          <w:lang w:val="es-PE"/>
        </w:rPr>
        <w:object w:dxaOrig="4940" w:dyaOrig="1120" w14:anchorId="6C440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45.75pt" o:ole="" fillcolor="window">
            <v:imagedata r:id="rId29" o:title=""/>
          </v:shape>
          <o:OLEObject Type="Embed" ProgID="Unknown" ShapeID="_x0000_i1025" DrawAspect="Content" ObjectID="_1683697983" r:id="rId30"/>
        </w:object>
      </w:r>
      <w:r w:rsidR="00F260D0" w:rsidRPr="00D421EC">
        <w:rPr>
          <w:lang w:val="es-PE"/>
        </w:rPr>
        <w:tab/>
        <w:t>(1)</w:t>
      </w:r>
    </w:p>
    <w:p w14:paraId="1B59A114" w14:textId="77777777" w:rsidR="00F260D0" w:rsidRPr="00D421EC" w:rsidRDefault="00F260D0" w:rsidP="00396A0D">
      <w:pPr>
        <w:jc w:val="both"/>
        <w:rPr>
          <w:lang w:val="es-PE"/>
        </w:rPr>
      </w:pPr>
    </w:p>
    <w:p w14:paraId="21B6DF9E" w14:textId="6DC82C44" w:rsidR="001F60FC" w:rsidRPr="0005782C" w:rsidRDefault="00117D49" w:rsidP="00396A0D">
      <w:pPr>
        <w:pStyle w:val="TextCarCar"/>
        <w:rPr>
          <w:lang w:val="es-PE"/>
        </w:rPr>
      </w:pPr>
      <w:r w:rsidRPr="00D421EC">
        <w:rPr>
          <w:lang w:val="es-PE"/>
        </w:rPr>
        <w:t>Asegúrese de que los símbolos en su ecuación han estado definidos antes de aparecer la ecuación o inmediatamente enseguida. Ponga en cursiva los símbolos (</w:t>
      </w:r>
      <w:r w:rsidRPr="00D421EC">
        <w:rPr>
          <w:i/>
          <w:lang w:val="es-PE"/>
        </w:rPr>
        <w:t>T</w:t>
      </w:r>
      <w:r w:rsidRPr="00D421EC">
        <w:rPr>
          <w:lang w:val="es-PE"/>
        </w:rPr>
        <w:t xml:space="preserve"> podría referirse a la temperatura, pero T es la unidad tesla). Refiérase a “(1),” no a “</w:t>
      </w:r>
      <w:proofErr w:type="spellStart"/>
      <w:r w:rsidRPr="00D421EC">
        <w:rPr>
          <w:lang w:val="es-PE"/>
        </w:rPr>
        <w:t>Eq</w:t>
      </w:r>
      <w:proofErr w:type="spellEnd"/>
      <w:r w:rsidRPr="00D421EC">
        <w:rPr>
          <w:lang w:val="es-PE"/>
        </w:rPr>
        <w:t>. (1)” o “la ecuación (1),” excepto al principio de una oración: “la Ecuación (1) es</w:t>
      </w:r>
      <w:r w:rsidR="005612A1" w:rsidRPr="00D421EC">
        <w:rPr>
          <w:lang w:val="es-PE"/>
        </w:rPr>
        <w:t>....”</w:t>
      </w:r>
    </w:p>
    <w:p w14:paraId="777BD615" w14:textId="6E10A33F" w:rsidR="00752136" w:rsidRPr="00D421EC" w:rsidRDefault="0005782C" w:rsidP="00396A0D">
      <w:pPr>
        <w:pStyle w:val="Ttulo1"/>
        <w:jc w:val="both"/>
        <w:rPr>
          <w:lang w:val="es-PE"/>
        </w:rPr>
      </w:pPr>
      <w:r>
        <w:rPr>
          <w:lang w:val="es-PE"/>
        </w:rPr>
        <w:t>RESULTADOS DE LOS MODELOS DE MACHINE LEARNING</w:t>
      </w:r>
    </w:p>
    <w:p w14:paraId="64D0CA94" w14:textId="77777777" w:rsidR="00752136" w:rsidRPr="00D421EC" w:rsidRDefault="00752136" w:rsidP="00396A0D">
      <w:pPr>
        <w:pStyle w:val="TextCarCar"/>
        <w:rPr>
          <w:lang w:val="es-PE"/>
        </w:rPr>
      </w:pPr>
    </w:p>
    <w:p w14:paraId="38F87FC9" w14:textId="77777777" w:rsidR="00F260D0" w:rsidRPr="00D421EC" w:rsidRDefault="00752136" w:rsidP="00396A0D">
      <w:pPr>
        <w:pStyle w:val="TextCarCar"/>
        <w:rPr>
          <w:lang w:val="es-PE"/>
        </w:rPr>
      </w:pPr>
      <w:r w:rsidRPr="00D421EC">
        <w:rPr>
          <w:color w:val="000000"/>
          <w:lang w:val="es-PE"/>
        </w:rPr>
        <w:t>Presentación de un manuscrito no es necesaria para la participación en una conferencia</w:t>
      </w:r>
      <w:r w:rsidR="00F260D0" w:rsidRPr="00D421EC">
        <w:rPr>
          <w:lang w:val="es-PE"/>
        </w:rPr>
        <w:t xml:space="preserve">. </w:t>
      </w:r>
      <w:r w:rsidRPr="00D421EC">
        <w:rPr>
          <w:lang w:val="es-PE"/>
        </w:rPr>
        <w:t>No envíe una versión de una nueva presentación de un documento que usted ha enviado o ha publicado en otra parte. No publique datos o resultados “preliminares”. El autor que remite es el único responsable para estar de acuerdo con todos los coautores y cualquier consentimiento requerido de los patrocinadores antes de enviar un documento (</w:t>
      </w:r>
      <w:proofErr w:type="spellStart"/>
      <w:r w:rsidRPr="00D421EC">
        <w:rPr>
          <w:lang w:val="es-PE"/>
        </w:rPr>
        <w:t>paper</w:t>
      </w:r>
      <w:proofErr w:type="spellEnd"/>
      <w:r w:rsidRPr="00D421EC">
        <w:rPr>
          <w:lang w:val="es-PE"/>
        </w:rPr>
        <w:t xml:space="preserve">). </w:t>
      </w:r>
      <w:r w:rsidRPr="00D421EC">
        <w:rPr>
          <w:lang w:val="es-PE" w:eastAsia="es-CO"/>
        </w:rPr>
        <w:t xml:space="preserve">La </w:t>
      </w:r>
      <w:r w:rsidR="00D57769" w:rsidRPr="00D421EC">
        <w:rPr>
          <w:lang w:val="es-PE" w:eastAsia="es-CO"/>
        </w:rPr>
        <w:t>IEEE</w:t>
      </w:r>
      <w:r w:rsidRPr="00D421EC">
        <w:rPr>
          <w:lang w:val="es-PE" w:eastAsia="es-CO"/>
        </w:rPr>
        <w:t xml:space="preserve"> </w:t>
      </w:r>
      <w:r w:rsidRPr="00D421EC">
        <w:rPr>
          <w:lang w:val="es-PE"/>
        </w:rPr>
        <w:t>rechaza radicalmente la paternidad literaria de cortesía. Es obligación de los autores citar el trabajo previo pertinente.</w:t>
      </w:r>
    </w:p>
    <w:p w14:paraId="304B0AB4" w14:textId="77777777" w:rsidR="00752136" w:rsidRPr="00D421EC" w:rsidRDefault="00752136" w:rsidP="00396A0D">
      <w:pPr>
        <w:pStyle w:val="TextCarCar"/>
        <w:rPr>
          <w:lang w:val="es-PE"/>
        </w:rPr>
      </w:pPr>
    </w:p>
    <w:p w14:paraId="49E65636" w14:textId="77777777" w:rsidR="00F260D0" w:rsidRPr="00D421EC" w:rsidRDefault="00F260D0" w:rsidP="00396A0D">
      <w:pPr>
        <w:pStyle w:val="TextCarCar"/>
        <w:rPr>
          <w:lang w:val="es-PE"/>
        </w:rPr>
      </w:pPr>
    </w:p>
    <w:p w14:paraId="24861FA6" w14:textId="6BCDE1F2" w:rsidR="00E53978" w:rsidRPr="00D421EC" w:rsidRDefault="00C41B6E" w:rsidP="00396A0D">
      <w:pPr>
        <w:pStyle w:val="Ttulo1"/>
        <w:jc w:val="both"/>
        <w:rPr>
          <w:lang w:val="es-PE"/>
        </w:rPr>
      </w:pPr>
      <w:r>
        <w:rPr>
          <w:lang w:val="es-PE"/>
        </w:rPr>
        <w:t>DISCUSIÓN</w:t>
      </w:r>
    </w:p>
    <w:p w14:paraId="4878E877" w14:textId="77777777" w:rsidR="00E53978" w:rsidRPr="00D421EC" w:rsidRDefault="00E53978" w:rsidP="00396A0D">
      <w:pPr>
        <w:pStyle w:val="TextCarCar"/>
        <w:rPr>
          <w:lang w:val="es-PE"/>
        </w:rPr>
      </w:pPr>
    </w:p>
    <w:p w14:paraId="617AE9CE" w14:textId="77777777" w:rsidR="00C21809" w:rsidRPr="00D421EC" w:rsidRDefault="00C255F4" w:rsidP="00396A0D">
      <w:pPr>
        <w:pStyle w:val="TextCarCar"/>
        <w:ind w:firstLine="0"/>
        <w:rPr>
          <w:lang w:val="es-PE"/>
        </w:rPr>
      </w:pPr>
      <w:r w:rsidRPr="00D421EC">
        <w:rPr>
          <w:color w:val="000000"/>
          <w:lang w:val="es-PE" w:eastAsia="es-ES"/>
        </w:rPr>
        <w:t xml:space="preserve">El contenido de </w:t>
      </w:r>
      <w:r w:rsidRPr="00D421EC">
        <w:rPr>
          <w:lang w:val="es-PE"/>
        </w:rPr>
        <w:t>TRANSACTIONS y JOURNALS</w:t>
      </w:r>
      <w:r w:rsidRPr="00D421EC">
        <w:rPr>
          <w:color w:val="000000"/>
          <w:lang w:val="es-PE" w:eastAsia="es-ES"/>
        </w:rPr>
        <w:t xml:space="preserve"> es</w:t>
      </w:r>
      <w:r w:rsidR="00C21809" w:rsidRPr="00D421EC">
        <w:rPr>
          <w:color w:val="000000"/>
          <w:lang w:val="es-PE" w:eastAsia="es-ES"/>
        </w:rPr>
        <w:t xml:space="preserve"> </w:t>
      </w:r>
      <w:r w:rsidRPr="00D421EC">
        <w:rPr>
          <w:color w:val="000000"/>
          <w:lang w:val="es-PE" w:eastAsia="es-ES"/>
        </w:rPr>
        <w:t>revisado</w:t>
      </w:r>
      <w:r w:rsidR="00C21809" w:rsidRPr="00D421EC">
        <w:rPr>
          <w:color w:val="000000"/>
          <w:lang w:val="es-PE" w:eastAsia="es-ES"/>
        </w:rPr>
        <w:t xml:space="preserve"> y archivado</w:t>
      </w:r>
      <w:r w:rsidRPr="00D421EC">
        <w:rPr>
          <w:color w:val="000000"/>
          <w:lang w:val="es-PE" w:eastAsia="es-ES"/>
        </w:rPr>
        <w:t xml:space="preserve"> por expertos</w:t>
      </w:r>
      <w:r w:rsidRPr="00D421EC">
        <w:rPr>
          <w:lang w:val="es-PE"/>
        </w:rPr>
        <w:t>.</w:t>
      </w:r>
    </w:p>
    <w:p w14:paraId="4368761A" w14:textId="77777777" w:rsidR="00F260D0" w:rsidRPr="00D421EC" w:rsidRDefault="00C255F4" w:rsidP="00396A0D">
      <w:pPr>
        <w:pStyle w:val="TextCarCar"/>
        <w:ind w:firstLine="0"/>
        <w:rPr>
          <w:lang w:val="es-PE"/>
        </w:rPr>
      </w:pPr>
      <w:r w:rsidRPr="00D421EC">
        <w:rPr>
          <w:color w:val="000000"/>
          <w:lang w:val="es-PE" w:eastAsia="es-ES"/>
        </w:rPr>
        <w:t>Los autores deben considerar los siguientes puntos</w:t>
      </w:r>
      <w:r w:rsidR="00F260D0" w:rsidRPr="00D421EC">
        <w:rPr>
          <w:lang w:val="es-PE"/>
        </w:rPr>
        <w:t>:</w:t>
      </w:r>
    </w:p>
    <w:p w14:paraId="19879D5D" w14:textId="77777777" w:rsidR="00E53978" w:rsidRPr="00C41B6E" w:rsidRDefault="003628C5" w:rsidP="00396A0D">
      <w:pPr>
        <w:pStyle w:val="TextCarCar"/>
        <w:ind w:firstLine="0"/>
        <w:rPr>
          <w:lang w:val="es-PE"/>
        </w:rPr>
      </w:pPr>
      <w:r w:rsidRPr="00D421EC">
        <w:rPr>
          <w:lang w:val="es-PE"/>
        </w:rPr>
        <w:t xml:space="preserve">1) </w:t>
      </w:r>
      <w:r w:rsidR="00E53978" w:rsidRPr="00D421EC">
        <w:rPr>
          <w:lang w:val="es-PE"/>
        </w:rPr>
        <w:t>Los documentos técnicos enviados para publicación deben adelantar el estado de conocimiento y deben citar el trabajo previo pertinente.</w:t>
      </w:r>
    </w:p>
    <w:p w14:paraId="02ACAB11" w14:textId="77777777" w:rsidR="00E53978" w:rsidRPr="00C41B6E" w:rsidRDefault="00E53978" w:rsidP="00396A0D">
      <w:pPr>
        <w:pStyle w:val="TextCarCar"/>
        <w:ind w:firstLine="0"/>
        <w:rPr>
          <w:lang w:val="es-PE"/>
        </w:rPr>
      </w:pPr>
    </w:p>
    <w:p w14:paraId="352B5A15" w14:textId="77777777" w:rsidR="002643FA" w:rsidRPr="00C41B6E" w:rsidRDefault="002643FA" w:rsidP="00396A0D">
      <w:pPr>
        <w:pStyle w:val="TextCarCar"/>
        <w:ind w:firstLine="0"/>
        <w:rPr>
          <w:lang w:val="es-PE"/>
        </w:rPr>
      </w:pPr>
      <w:r w:rsidRPr="00C41B6E">
        <w:rPr>
          <w:lang w:val="es-PE"/>
        </w:rPr>
        <w:t xml:space="preserve">2) La longitud de un documento enviado debe ser correspondiente con la importancia, o apropiado a la complejidad, del trabajo. Por ejemplo, una extensión obvia de trabajo previamente publicado no podría ser apropiada para la publicación o podría tratarse adecuadamente en sólo unas páginas. </w:t>
      </w:r>
    </w:p>
    <w:p w14:paraId="5B2BA63B" w14:textId="77777777" w:rsidR="003628C5" w:rsidRPr="00C41B6E" w:rsidRDefault="003628C5" w:rsidP="00396A0D">
      <w:pPr>
        <w:pStyle w:val="Ttulo3"/>
        <w:numPr>
          <w:ilvl w:val="0"/>
          <w:numId w:val="0"/>
        </w:numPr>
        <w:jc w:val="both"/>
        <w:rPr>
          <w:lang w:val="es-PE"/>
        </w:rPr>
      </w:pPr>
    </w:p>
    <w:p w14:paraId="349504AB" w14:textId="77777777" w:rsidR="003628C5" w:rsidRPr="00C41B6E" w:rsidRDefault="003628C5" w:rsidP="00396A0D">
      <w:pPr>
        <w:pStyle w:val="TextCarCar"/>
        <w:ind w:firstLine="0"/>
        <w:rPr>
          <w:lang w:val="es-PE"/>
        </w:rPr>
      </w:pPr>
      <w:r w:rsidRPr="00C41B6E">
        <w:rPr>
          <w:lang w:val="es-PE"/>
        </w:rPr>
        <w:t xml:space="preserve">3) Los autores deben convencer al Comité Editorial, por medio de su documento, del mérito académico, científico o técnico del documento; las normas de evaluación son más exigentes cuando se reportan resultados extraordinarios o inesperados. </w:t>
      </w:r>
    </w:p>
    <w:p w14:paraId="53E0E8CA" w14:textId="77777777" w:rsidR="00F260D0" w:rsidRPr="00C41B6E" w:rsidRDefault="00F260D0" w:rsidP="00396A0D">
      <w:pPr>
        <w:pStyle w:val="Ttulo3"/>
        <w:numPr>
          <w:ilvl w:val="0"/>
          <w:numId w:val="0"/>
        </w:numPr>
        <w:jc w:val="both"/>
        <w:rPr>
          <w:lang w:val="es-PE"/>
        </w:rPr>
      </w:pPr>
      <w:r w:rsidRPr="00C41B6E">
        <w:rPr>
          <w:lang w:val="es-PE"/>
        </w:rPr>
        <w:t xml:space="preserve"> </w:t>
      </w:r>
    </w:p>
    <w:p w14:paraId="764F70F6" w14:textId="77777777" w:rsidR="004E2675" w:rsidRPr="00C41B6E" w:rsidRDefault="003628C5" w:rsidP="00396A0D">
      <w:pPr>
        <w:pStyle w:val="TextCarCar"/>
        <w:ind w:firstLine="0"/>
        <w:rPr>
          <w:lang w:val="es-PE"/>
        </w:rPr>
      </w:pPr>
      <w:r w:rsidRPr="00C41B6E">
        <w:rPr>
          <w:lang w:val="es-PE"/>
        </w:rPr>
        <w:t xml:space="preserve">4) Debido a que la repetición se requiere para el progreso científico, los documentos enviados para publicación deben proporcionar información suficiente para permitirles a los lectores tener acceso a las referencias utilizadas, especialmente si estas son </w:t>
      </w:r>
      <w:proofErr w:type="spellStart"/>
      <w:r w:rsidRPr="00C41B6E">
        <w:rPr>
          <w:lang w:val="es-PE"/>
        </w:rPr>
        <w:t>URLs</w:t>
      </w:r>
      <w:proofErr w:type="spellEnd"/>
      <w:r w:rsidRPr="00C41B6E">
        <w:rPr>
          <w:lang w:val="es-PE"/>
        </w:rPr>
        <w:t xml:space="preserve">, realizar experimentos similares o cálculos y usar los resultados informados. Aunque no todo necesita ser descubierto, un documento debe contener información nueva, usada y totalmente descubierta. Por ejemplo, la composición química de un espécimen necesita que no se informe si el propósito principal de un documento es introducir una nueva técnica de la medida. </w:t>
      </w:r>
      <w:r w:rsidRPr="00C41B6E">
        <w:rPr>
          <w:i/>
          <w:lang w:val="es-PE"/>
        </w:rPr>
        <w:t>Los autores deben esperar ser desafiados por críticos si los resultados no son soportados por los datos adecuados y los detalles críticos</w:t>
      </w:r>
      <w:r w:rsidRPr="00C41B6E">
        <w:rPr>
          <w:lang w:val="es-PE"/>
        </w:rPr>
        <w:t>.</w:t>
      </w:r>
    </w:p>
    <w:p w14:paraId="60AD7691" w14:textId="77777777" w:rsidR="004E2675" w:rsidRPr="00C41B6E" w:rsidRDefault="004E2675" w:rsidP="00396A0D">
      <w:pPr>
        <w:pStyle w:val="TextCarCar"/>
        <w:ind w:firstLine="0"/>
        <w:rPr>
          <w:lang w:val="es-PE"/>
        </w:rPr>
      </w:pPr>
    </w:p>
    <w:p w14:paraId="79AA7369" w14:textId="77777777" w:rsidR="00D96019" w:rsidRPr="00C41B6E" w:rsidRDefault="004E2675" w:rsidP="00396A0D">
      <w:pPr>
        <w:jc w:val="both"/>
        <w:rPr>
          <w:lang w:val="es-PE"/>
        </w:rPr>
      </w:pPr>
      <w:r w:rsidRPr="00C41B6E">
        <w:rPr>
          <w:lang w:val="es-PE"/>
        </w:rPr>
        <w:t xml:space="preserve">5) </w:t>
      </w:r>
      <w:r w:rsidR="00D96019" w:rsidRPr="00C41B6E">
        <w:rPr>
          <w:lang w:val="es-PE"/>
        </w:rPr>
        <w:t xml:space="preserve">Documentos que describen el trabajo en curso o muestran un reciente logro técnico, que sean adecuados para su presentación en una conferencia profesional, pueden no ser apropiadas para su publicación en un TRANSACTIONS </w:t>
      </w:r>
      <w:proofErr w:type="spellStart"/>
      <w:r w:rsidR="00D96019" w:rsidRPr="00C41B6E">
        <w:rPr>
          <w:lang w:val="es-PE"/>
        </w:rPr>
        <w:t>or</w:t>
      </w:r>
      <w:proofErr w:type="spellEnd"/>
      <w:r w:rsidR="00D96019" w:rsidRPr="00C41B6E">
        <w:rPr>
          <w:lang w:val="es-PE"/>
        </w:rPr>
        <w:t xml:space="preserve"> JOURNAL</w:t>
      </w:r>
    </w:p>
    <w:p w14:paraId="1B1A8213" w14:textId="77777777" w:rsidR="00F260D0" w:rsidRPr="00C41B6E" w:rsidRDefault="00F260D0" w:rsidP="00396A0D">
      <w:pPr>
        <w:pStyle w:val="TextCarCar"/>
        <w:ind w:firstLine="0"/>
        <w:rPr>
          <w:lang w:val="es-PE"/>
        </w:rPr>
      </w:pPr>
    </w:p>
    <w:p w14:paraId="62FCE15A" w14:textId="77777777" w:rsidR="00F260D0" w:rsidRPr="00C41B6E" w:rsidRDefault="00F260D0" w:rsidP="00396A0D">
      <w:pPr>
        <w:pStyle w:val="TextCarCar"/>
        <w:ind w:firstLine="0"/>
        <w:rPr>
          <w:lang w:val="es-PE"/>
        </w:rPr>
      </w:pPr>
    </w:p>
    <w:p w14:paraId="1A5E1A5B" w14:textId="77777777" w:rsidR="004E2675" w:rsidRPr="00C41B6E" w:rsidRDefault="004E2675" w:rsidP="00396A0D">
      <w:pPr>
        <w:pStyle w:val="TextCarCar"/>
        <w:rPr>
          <w:lang w:val="es-PE"/>
        </w:rPr>
      </w:pPr>
      <w:r w:rsidRPr="00C41B6E">
        <w:rPr>
          <w:lang w:val="es-PE"/>
        </w:rPr>
        <w:t xml:space="preserve">IX. CONCLUSIÓN </w:t>
      </w:r>
    </w:p>
    <w:p w14:paraId="2725D4AD" w14:textId="77777777" w:rsidR="004E2675" w:rsidRPr="00C41B6E" w:rsidRDefault="004E2675" w:rsidP="00396A0D">
      <w:pPr>
        <w:pStyle w:val="TextCarCar"/>
        <w:rPr>
          <w:lang w:val="es-PE"/>
        </w:rPr>
      </w:pPr>
    </w:p>
    <w:p w14:paraId="715CAC7D" w14:textId="77777777" w:rsidR="00727D29" w:rsidRPr="00E63D66" w:rsidRDefault="00727D29" w:rsidP="00396A0D">
      <w:pPr>
        <w:pStyle w:val="TextCarCar"/>
        <w:rPr>
          <w:color w:val="FF0000"/>
          <w:lang w:val="es-PE"/>
        </w:rPr>
      </w:pPr>
      <w:r w:rsidRPr="00E63D66">
        <w:rPr>
          <w:color w:val="FF0000"/>
          <w:lang w:val="es-PE"/>
        </w:rPr>
        <w:t xml:space="preserve">Una sección de conclusión no es necesaria. Sin embargo esta puede repasar los puntos principales del </w:t>
      </w:r>
      <w:r w:rsidR="005612A1" w:rsidRPr="00E63D66">
        <w:rPr>
          <w:color w:val="FF0000"/>
          <w:lang w:val="es-PE"/>
        </w:rPr>
        <w:t>artículo</w:t>
      </w:r>
      <w:r w:rsidRPr="00E63D66">
        <w:rPr>
          <w:color w:val="FF0000"/>
          <w:lang w:val="es-PE"/>
        </w:rPr>
        <w:t>, no repita el resumen  como conclusión. Una conclusión se elabora con base en la importancia del trabajo realizado o en las aplicaciones y extensiones sugeridas.</w:t>
      </w:r>
    </w:p>
    <w:p w14:paraId="730DD6D9" w14:textId="0B1D0538" w:rsidR="00F260D0" w:rsidRPr="00C41B6E" w:rsidRDefault="00F260D0" w:rsidP="00396A0D">
      <w:pPr>
        <w:pStyle w:val="ReferenceHead"/>
        <w:jc w:val="both"/>
        <w:rPr>
          <w:lang w:val="es-PE"/>
        </w:rPr>
      </w:pPr>
      <w:proofErr w:type="spellStart"/>
      <w:r w:rsidRPr="00C41B6E">
        <w:rPr>
          <w:lang w:val="es-PE"/>
        </w:rPr>
        <w:t>References</w:t>
      </w:r>
      <w:proofErr w:type="spellEnd"/>
    </w:p>
    <w:p w14:paraId="669925D8" w14:textId="6B4A12DA" w:rsidR="00C41B6E" w:rsidRDefault="00C41B6E" w:rsidP="00396A0D">
      <w:pPr>
        <w:numPr>
          <w:ilvl w:val="0"/>
          <w:numId w:val="4"/>
        </w:numPr>
        <w:jc w:val="both"/>
        <w:rPr>
          <w:sz w:val="16"/>
          <w:szCs w:val="16"/>
          <w:lang w:val="es-PE"/>
        </w:rPr>
      </w:pPr>
      <w:r w:rsidRPr="006A5FA8">
        <w:rPr>
          <w:sz w:val="16"/>
          <w:szCs w:val="16"/>
        </w:rPr>
        <w:t xml:space="preserve">Atiya, A. F. (2001). Bankruptcy Prediction for Credit Risk Using Neural. </w:t>
      </w:r>
      <w:r w:rsidRPr="00C41B6E">
        <w:rPr>
          <w:sz w:val="16"/>
          <w:szCs w:val="16"/>
          <w:lang w:val="es-PE"/>
        </w:rPr>
        <w:t xml:space="preserve">IEEE TRANSACTIONS ON NEURAL NETWORKS, 929-935. </w:t>
      </w:r>
    </w:p>
    <w:p w14:paraId="13C2345A" w14:textId="38BBA2F3" w:rsidR="00C41B6E" w:rsidRPr="006A5FA8" w:rsidRDefault="00FD5F28" w:rsidP="00396A0D">
      <w:pPr>
        <w:numPr>
          <w:ilvl w:val="0"/>
          <w:numId w:val="4"/>
        </w:numPr>
        <w:jc w:val="both"/>
        <w:rPr>
          <w:sz w:val="16"/>
          <w:szCs w:val="16"/>
        </w:rPr>
      </w:pPr>
      <w:r w:rsidRPr="006A5FA8">
        <w:rPr>
          <w:sz w:val="16"/>
          <w:szCs w:val="16"/>
        </w:rPr>
        <w:t>Thomas, L. C., Edelman, D. B., Crook, J. N., (2004), Readings in Credit </w:t>
      </w:r>
      <w:r w:rsidRPr="006A5FA8">
        <w:rPr>
          <w:i/>
          <w:iCs/>
          <w:sz w:val="16"/>
          <w:szCs w:val="16"/>
        </w:rPr>
        <w:t>Scoring</w:t>
      </w:r>
      <w:r w:rsidRPr="006A5FA8">
        <w:rPr>
          <w:sz w:val="16"/>
          <w:szCs w:val="16"/>
        </w:rPr>
        <w:t xml:space="preserve">, Oxford University Press, Oxford. </w:t>
      </w:r>
    </w:p>
    <w:p w14:paraId="29F074C9" w14:textId="1167082A" w:rsidR="00541513" w:rsidRDefault="00541513" w:rsidP="00541513">
      <w:pPr>
        <w:numPr>
          <w:ilvl w:val="0"/>
          <w:numId w:val="4"/>
        </w:numPr>
        <w:jc w:val="both"/>
        <w:rPr>
          <w:sz w:val="16"/>
          <w:szCs w:val="16"/>
          <w:lang w:val="es-PE"/>
        </w:rPr>
      </w:pPr>
      <w:r w:rsidRPr="006A5FA8">
        <w:rPr>
          <w:sz w:val="16"/>
          <w:szCs w:val="16"/>
        </w:rPr>
        <w:t>Hsia, D. C. (1978). Credit </w:t>
      </w:r>
      <w:r w:rsidRPr="006A5FA8">
        <w:rPr>
          <w:i/>
          <w:iCs/>
          <w:sz w:val="16"/>
          <w:szCs w:val="16"/>
        </w:rPr>
        <w:t>Scoring</w:t>
      </w:r>
      <w:r w:rsidRPr="006A5FA8">
        <w:rPr>
          <w:sz w:val="16"/>
          <w:szCs w:val="16"/>
        </w:rPr>
        <w:t xml:space="preserve"> and the Equal Credit Opportunity act. </w:t>
      </w:r>
      <w:proofErr w:type="spellStart"/>
      <w:r w:rsidRPr="00541513">
        <w:rPr>
          <w:sz w:val="16"/>
          <w:szCs w:val="16"/>
          <w:lang w:val="es-PE"/>
        </w:rPr>
        <w:t>Hast</w:t>
      </w:r>
      <w:proofErr w:type="spellEnd"/>
      <w:r w:rsidRPr="00541513">
        <w:rPr>
          <w:sz w:val="16"/>
          <w:szCs w:val="16"/>
          <w:lang w:val="es-PE"/>
        </w:rPr>
        <w:t>. Law. J., 30, pp. 371-448.</w:t>
      </w:r>
    </w:p>
    <w:p w14:paraId="38B0FC77" w14:textId="0C0B8183" w:rsidR="00541513" w:rsidRDefault="00541513" w:rsidP="00541513">
      <w:pPr>
        <w:numPr>
          <w:ilvl w:val="0"/>
          <w:numId w:val="4"/>
        </w:numPr>
        <w:jc w:val="both"/>
        <w:rPr>
          <w:sz w:val="16"/>
          <w:szCs w:val="16"/>
          <w:lang w:val="es-PE"/>
        </w:rPr>
      </w:pPr>
      <w:r w:rsidRPr="006A5FA8">
        <w:rPr>
          <w:sz w:val="16"/>
          <w:szCs w:val="16"/>
        </w:rPr>
        <w:t>Reichert, A. K., Cho, C. and G. M. Wagner, (1983). An Examination of Conceptual Issues Involved in Developing Credit-</w:t>
      </w:r>
      <w:r w:rsidRPr="006A5FA8">
        <w:rPr>
          <w:i/>
          <w:iCs/>
          <w:sz w:val="16"/>
          <w:szCs w:val="16"/>
        </w:rPr>
        <w:t>Scoring</w:t>
      </w:r>
      <w:r w:rsidRPr="006A5FA8">
        <w:rPr>
          <w:sz w:val="16"/>
          <w:szCs w:val="16"/>
        </w:rPr>
        <w:t xml:space="preserve"> Models. </w:t>
      </w:r>
      <w:r w:rsidRPr="00541513">
        <w:rPr>
          <w:sz w:val="16"/>
          <w:szCs w:val="16"/>
          <w:lang w:val="es-PE"/>
        </w:rPr>
        <w:t xml:space="preserve">J. Bus. Econ. Stat., 1 (2), pp. 101-14. </w:t>
      </w:r>
    </w:p>
    <w:p w14:paraId="30742EFF" w14:textId="12DC1FA3" w:rsidR="00541513" w:rsidRDefault="00541513" w:rsidP="00541513">
      <w:pPr>
        <w:numPr>
          <w:ilvl w:val="0"/>
          <w:numId w:val="4"/>
        </w:numPr>
        <w:jc w:val="both"/>
        <w:rPr>
          <w:sz w:val="16"/>
          <w:szCs w:val="16"/>
          <w:lang w:val="es-PE"/>
        </w:rPr>
      </w:pPr>
      <w:proofErr w:type="spellStart"/>
      <w:r w:rsidRPr="00541513">
        <w:rPr>
          <w:sz w:val="16"/>
          <w:szCs w:val="16"/>
        </w:rPr>
        <w:t>Joanes</w:t>
      </w:r>
      <w:proofErr w:type="spellEnd"/>
      <w:r w:rsidRPr="00541513">
        <w:rPr>
          <w:sz w:val="16"/>
          <w:szCs w:val="16"/>
        </w:rPr>
        <w:t xml:space="preserve">, D. N. (1993). Reject Inference applied to Logistic Regression for Credit Scoring. </w:t>
      </w:r>
      <w:r w:rsidRPr="00541513">
        <w:rPr>
          <w:sz w:val="16"/>
          <w:szCs w:val="16"/>
          <w:lang w:val="es-PE"/>
        </w:rPr>
        <w:t xml:space="preserve">IMA J. </w:t>
      </w:r>
      <w:proofErr w:type="spellStart"/>
      <w:r w:rsidRPr="00541513">
        <w:rPr>
          <w:sz w:val="16"/>
          <w:szCs w:val="16"/>
          <w:lang w:val="es-PE"/>
        </w:rPr>
        <w:t>Math</w:t>
      </w:r>
      <w:proofErr w:type="spellEnd"/>
      <w:r w:rsidRPr="00541513">
        <w:rPr>
          <w:sz w:val="16"/>
          <w:szCs w:val="16"/>
          <w:lang w:val="es-PE"/>
        </w:rPr>
        <w:t xml:space="preserve">. </w:t>
      </w:r>
      <w:proofErr w:type="spellStart"/>
      <w:r w:rsidRPr="00541513">
        <w:rPr>
          <w:sz w:val="16"/>
          <w:szCs w:val="16"/>
          <w:lang w:val="es-PE"/>
        </w:rPr>
        <w:t>Appl</w:t>
      </w:r>
      <w:proofErr w:type="spellEnd"/>
      <w:r w:rsidRPr="00541513">
        <w:rPr>
          <w:sz w:val="16"/>
          <w:szCs w:val="16"/>
          <w:lang w:val="es-PE"/>
        </w:rPr>
        <w:t xml:space="preserve">. Bus. </w:t>
      </w:r>
      <w:proofErr w:type="spellStart"/>
      <w:r w:rsidRPr="00541513">
        <w:rPr>
          <w:sz w:val="16"/>
          <w:szCs w:val="16"/>
          <w:lang w:val="es-PE"/>
        </w:rPr>
        <w:t>Industry</w:t>
      </w:r>
      <w:proofErr w:type="spellEnd"/>
      <w:r w:rsidRPr="00541513">
        <w:rPr>
          <w:sz w:val="16"/>
          <w:szCs w:val="16"/>
          <w:lang w:val="es-PE"/>
        </w:rPr>
        <w:t>, 5, pp. 35-43.</w:t>
      </w:r>
    </w:p>
    <w:p w14:paraId="21B6754D" w14:textId="29BBF7DE" w:rsidR="00541513" w:rsidRDefault="00541513" w:rsidP="00541513">
      <w:pPr>
        <w:numPr>
          <w:ilvl w:val="0"/>
          <w:numId w:val="4"/>
        </w:numPr>
        <w:jc w:val="both"/>
        <w:rPr>
          <w:sz w:val="16"/>
          <w:szCs w:val="16"/>
        </w:rPr>
      </w:pPr>
      <w:r w:rsidRPr="00541513">
        <w:rPr>
          <w:sz w:val="16"/>
          <w:szCs w:val="16"/>
        </w:rPr>
        <w:t>Hand, D. J., and W. E. Henley (1997). Statistical Classification Methods in Consumer Credit Scoring: A Review. Journal of the Royal Statistical Society: Series A (Statistics in Society), pp. 160: 523-541.</w:t>
      </w:r>
    </w:p>
    <w:p w14:paraId="67FD8632" w14:textId="72D60E75" w:rsidR="00541513" w:rsidRPr="00541513" w:rsidRDefault="00541513" w:rsidP="001845E7">
      <w:pPr>
        <w:numPr>
          <w:ilvl w:val="0"/>
          <w:numId w:val="4"/>
        </w:numPr>
        <w:jc w:val="both"/>
        <w:rPr>
          <w:sz w:val="16"/>
          <w:szCs w:val="16"/>
        </w:rPr>
      </w:pPr>
      <w:r w:rsidRPr="00541513">
        <w:rPr>
          <w:sz w:val="16"/>
          <w:szCs w:val="16"/>
        </w:rPr>
        <w:t>Durand, D. (1941). Risk Elements in Consumer Instalment Financing, Studies in Consumer Instalment Financing.</w:t>
      </w:r>
      <w:r>
        <w:rPr>
          <w:sz w:val="16"/>
          <w:szCs w:val="16"/>
        </w:rPr>
        <w:t xml:space="preserve"> </w:t>
      </w:r>
      <w:r w:rsidRPr="00541513">
        <w:rPr>
          <w:sz w:val="16"/>
          <w:szCs w:val="16"/>
        </w:rPr>
        <w:t xml:space="preserve">New York: National Bureau of Economic Research. </w:t>
      </w:r>
    </w:p>
    <w:p w14:paraId="2B20D751" w14:textId="407CD738" w:rsidR="00541513" w:rsidRDefault="00541513" w:rsidP="00541513">
      <w:pPr>
        <w:numPr>
          <w:ilvl w:val="0"/>
          <w:numId w:val="4"/>
        </w:numPr>
        <w:jc w:val="both"/>
        <w:rPr>
          <w:sz w:val="16"/>
          <w:szCs w:val="16"/>
        </w:rPr>
      </w:pPr>
      <w:r w:rsidRPr="00541513">
        <w:rPr>
          <w:sz w:val="16"/>
          <w:szCs w:val="16"/>
        </w:rPr>
        <w:t>Fisher R. A. (1936). The Use of Multiple Measurements in Taxonomic Problems. Annals of Eugenics, 7(2), pp. pp. 179-188.</w:t>
      </w:r>
    </w:p>
    <w:p w14:paraId="10596540" w14:textId="6CC50A09" w:rsidR="00E63D66" w:rsidRDefault="00E63D66" w:rsidP="00541513">
      <w:pPr>
        <w:numPr>
          <w:ilvl w:val="0"/>
          <w:numId w:val="4"/>
        </w:numPr>
        <w:jc w:val="both"/>
        <w:rPr>
          <w:sz w:val="16"/>
          <w:szCs w:val="16"/>
        </w:rPr>
      </w:pPr>
      <w:r w:rsidRPr="00E63D66">
        <w:rPr>
          <w:sz w:val="16"/>
          <w:szCs w:val="16"/>
        </w:rPr>
        <w:t xml:space="preserve">Myers, J. H. and </w:t>
      </w:r>
      <w:proofErr w:type="spellStart"/>
      <w:r w:rsidRPr="00E63D66">
        <w:rPr>
          <w:sz w:val="16"/>
          <w:szCs w:val="16"/>
        </w:rPr>
        <w:t>Forgy</w:t>
      </w:r>
      <w:proofErr w:type="spellEnd"/>
      <w:r w:rsidRPr="00E63D66">
        <w:rPr>
          <w:sz w:val="16"/>
          <w:szCs w:val="16"/>
        </w:rPr>
        <w:t>, E. W. (1963). The Development of Numerical Credit Evaluation Systems. J. Am. Statist. Ass., 58, pp. 799-806</w:t>
      </w:r>
      <w:r>
        <w:rPr>
          <w:sz w:val="16"/>
          <w:szCs w:val="16"/>
        </w:rPr>
        <w:t>.</w:t>
      </w:r>
    </w:p>
    <w:p w14:paraId="1C88C0BF" w14:textId="51ADDD33" w:rsidR="00F260D0" w:rsidRPr="00E63D66" w:rsidRDefault="00E63D66" w:rsidP="00E63D66">
      <w:pPr>
        <w:numPr>
          <w:ilvl w:val="0"/>
          <w:numId w:val="4"/>
        </w:numPr>
        <w:jc w:val="both"/>
        <w:rPr>
          <w:sz w:val="16"/>
          <w:szCs w:val="16"/>
        </w:rPr>
      </w:pPr>
      <w:r w:rsidRPr="00E63D66">
        <w:rPr>
          <w:sz w:val="16"/>
          <w:szCs w:val="16"/>
        </w:rPr>
        <w:t>Altman, E. I. (1968). Financial Ratios, Discriminant Analysis and the Prediction of Corporate Bankruptcy. Journal of Finance, 23(4), pp. 589-609.</w:t>
      </w:r>
    </w:p>
    <w:p w14:paraId="4557278B" w14:textId="77777777" w:rsidR="00F260D0" w:rsidRPr="00EA08E7" w:rsidRDefault="00F260D0" w:rsidP="00396A0D">
      <w:pPr>
        <w:pStyle w:val="FigureCaption"/>
        <w:rPr>
          <w:b/>
          <w:bCs/>
          <w:color w:val="FF0000"/>
        </w:rPr>
      </w:pPr>
    </w:p>
    <w:p w14:paraId="3B94D643" w14:textId="77777777" w:rsidR="00F260D0" w:rsidRPr="00EA08E7" w:rsidRDefault="00F260D0" w:rsidP="00396A0D">
      <w:pPr>
        <w:pStyle w:val="FigureCaption"/>
        <w:rPr>
          <w:b/>
          <w:bCs/>
          <w:color w:val="FF0000"/>
        </w:rPr>
      </w:pPr>
    </w:p>
    <w:p w14:paraId="4BD79A9B" w14:textId="77777777" w:rsidR="00097FD7" w:rsidRPr="00D421EC" w:rsidRDefault="00097FD7" w:rsidP="00396A0D">
      <w:pPr>
        <w:jc w:val="both"/>
        <w:rPr>
          <w:lang w:val="es-PE"/>
        </w:rPr>
      </w:pPr>
    </w:p>
    <w:sectPr w:rsidR="00097FD7" w:rsidRPr="00D421EC" w:rsidSect="00A95584">
      <w:headerReference w:type="default" r:id="rId3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C51B4" w14:textId="77777777" w:rsidR="005F034B" w:rsidRDefault="005F034B" w:rsidP="00F260D0">
      <w:r>
        <w:separator/>
      </w:r>
    </w:p>
  </w:endnote>
  <w:endnote w:type="continuationSeparator" w:id="0">
    <w:p w14:paraId="18F42FB0" w14:textId="77777777" w:rsidR="005F034B" w:rsidRDefault="005F034B"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10730" w14:textId="77777777" w:rsidR="005F034B" w:rsidRDefault="005F034B" w:rsidP="00F260D0">
      <w:r>
        <w:separator/>
      </w:r>
    </w:p>
  </w:footnote>
  <w:footnote w:type="continuationSeparator" w:id="0">
    <w:p w14:paraId="2F83EA65" w14:textId="77777777" w:rsidR="005F034B" w:rsidRDefault="005F034B" w:rsidP="00F260D0">
      <w:r>
        <w:continuationSeparator/>
      </w:r>
    </w:p>
  </w:footnote>
  <w:footnote w:id="1">
    <w:p w14:paraId="4E92B3DE" w14:textId="77777777" w:rsidR="00396A0D" w:rsidRDefault="00396A0D"/>
    <w:p w14:paraId="023E7151" w14:textId="4861558E" w:rsidR="002702DE" w:rsidRPr="008000CF" w:rsidRDefault="002702DE" w:rsidP="008000CF">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420C7" w14:textId="77777777" w:rsidR="002702DE" w:rsidRPr="008B73BE" w:rsidRDefault="002702DE" w:rsidP="00F260D0">
    <w:pPr>
      <w:framePr w:wrap="auto" w:vAnchor="text" w:hAnchor="margin" w:xAlign="right" w:y="1"/>
      <w:jc w:val="center"/>
      <w:rPr>
        <w:lang w:val="es-PE"/>
      </w:rPr>
    </w:pPr>
    <w:r w:rsidRPr="00F260D0">
      <w:fldChar w:fldCharType="begin"/>
    </w:r>
    <w:r w:rsidRPr="008B73BE">
      <w:rPr>
        <w:lang w:val="es-PE"/>
      </w:rPr>
      <w:instrText xml:space="preserve">PAGE  </w:instrText>
    </w:r>
    <w:r w:rsidRPr="00F260D0">
      <w:fldChar w:fldCharType="separate"/>
    </w:r>
    <w:r w:rsidR="001B7BB6" w:rsidRPr="008B73BE">
      <w:rPr>
        <w:noProof/>
        <w:lang w:val="es-PE"/>
      </w:rPr>
      <w:t>1</w:t>
    </w:r>
    <w:r w:rsidRPr="00F260D0">
      <w:fldChar w:fldCharType="end"/>
    </w:r>
  </w:p>
  <w:p w14:paraId="08EA3941" w14:textId="77777777" w:rsidR="002702DE" w:rsidRPr="00F260D0" w:rsidRDefault="002702DE" w:rsidP="00F260D0">
    <w:pPr>
      <w:jc w:val="center"/>
      <w:rPr>
        <w:lang w:val="es-ES"/>
      </w:rPr>
    </w:pPr>
    <w:r w:rsidRPr="00F260D0">
      <w:rPr>
        <w:lang w:val="es-ES"/>
      </w:rPr>
      <w:t>Reemplazar esta línea con su número de documento de identificación (hacer doble clic aquí para editar) &lt;</w:t>
    </w:r>
  </w:p>
  <w:p w14:paraId="1CA3269E" w14:textId="77777777" w:rsidR="002702DE" w:rsidRPr="008B73BE" w:rsidRDefault="002702DE" w:rsidP="00F260D0">
    <w:pPr>
      <w:ind w:right="360"/>
      <w:jc w:val="center"/>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142C7E59"/>
    <w:multiLevelType w:val="hybridMultilevel"/>
    <w:tmpl w:val="738C28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3A940426"/>
    <w:multiLevelType w:val="hybridMultilevel"/>
    <w:tmpl w:val="C630BA60"/>
    <w:lvl w:ilvl="0" w:tplc="E00E24E4">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DC3293B"/>
    <w:multiLevelType w:val="singleLevel"/>
    <w:tmpl w:val="938A7BAA"/>
    <w:lvl w:ilvl="0">
      <w:start w:val="1"/>
      <w:numFmt w:val="decimal"/>
      <w:lvlText w:val="[%1]"/>
      <w:lvlJc w:val="left"/>
      <w:pPr>
        <w:tabs>
          <w:tab w:val="num" w:pos="360"/>
        </w:tabs>
        <w:ind w:left="360" w:hanging="360"/>
      </w:pPr>
      <w:rPr>
        <w:color w:val="auto"/>
      </w:rPr>
    </w:lvl>
  </w:abstractNum>
  <w:abstractNum w:abstractNumId="17" w15:restartNumberingAfterBreak="0">
    <w:nsid w:val="6DC624F6"/>
    <w:multiLevelType w:val="hybridMultilevel"/>
    <w:tmpl w:val="68FCE4D8"/>
    <w:lvl w:ilvl="0" w:tplc="280A0001">
      <w:start w:val="1"/>
      <w:numFmt w:val="bullet"/>
      <w:lvlText w:val=""/>
      <w:lvlJc w:val="left"/>
      <w:pPr>
        <w:ind w:left="922" w:hanging="360"/>
      </w:pPr>
      <w:rPr>
        <w:rFonts w:ascii="Symbol" w:hAnsi="Symbol" w:hint="default"/>
      </w:rPr>
    </w:lvl>
    <w:lvl w:ilvl="1" w:tplc="280A0003" w:tentative="1">
      <w:start w:val="1"/>
      <w:numFmt w:val="bullet"/>
      <w:lvlText w:val="o"/>
      <w:lvlJc w:val="left"/>
      <w:pPr>
        <w:ind w:left="1642" w:hanging="360"/>
      </w:pPr>
      <w:rPr>
        <w:rFonts w:ascii="Courier New" w:hAnsi="Courier New" w:cs="Courier New" w:hint="default"/>
      </w:rPr>
    </w:lvl>
    <w:lvl w:ilvl="2" w:tplc="280A0005" w:tentative="1">
      <w:start w:val="1"/>
      <w:numFmt w:val="bullet"/>
      <w:lvlText w:val=""/>
      <w:lvlJc w:val="left"/>
      <w:pPr>
        <w:ind w:left="2362" w:hanging="360"/>
      </w:pPr>
      <w:rPr>
        <w:rFonts w:ascii="Wingdings" w:hAnsi="Wingdings" w:hint="default"/>
      </w:rPr>
    </w:lvl>
    <w:lvl w:ilvl="3" w:tplc="280A0001" w:tentative="1">
      <w:start w:val="1"/>
      <w:numFmt w:val="bullet"/>
      <w:lvlText w:val=""/>
      <w:lvlJc w:val="left"/>
      <w:pPr>
        <w:ind w:left="3082" w:hanging="360"/>
      </w:pPr>
      <w:rPr>
        <w:rFonts w:ascii="Symbol" w:hAnsi="Symbol" w:hint="default"/>
      </w:rPr>
    </w:lvl>
    <w:lvl w:ilvl="4" w:tplc="280A0003" w:tentative="1">
      <w:start w:val="1"/>
      <w:numFmt w:val="bullet"/>
      <w:lvlText w:val="o"/>
      <w:lvlJc w:val="left"/>
      <w:pPr>
        <w:ind w:left="3802" w:hanging="360"/>
      </w:pPr>
      <w:rPr>
        <w:rFonts w:ascii="Courier New" w:hAnsi="Courier New" w:cs="Courier New" w:hint="default"/>
      </w:rPr>
    </w:lvl>
    <w:lvl w:ilvl="5" w:tplc="280A0005" w:tentative="1">
      <w:start w:val="1"/>
      <w:numFmt w:val="bullet"/>
      <w:lvlText w:val=""/>
      <w:lvlJc w:val="left"/>
      <w:pPr>
        <w:ind w:left="4522" w:hanging="360"/>
      </w:pPr>
      <w:rPr>
        <w:rFonts w:ascii="Wingdings" w:hAnsi="Wingdings" w:hint="default"/>
      </w:rPr>
    </w:lvl>
    <w:lvl w:ilvl="6" w:tplc="280A0001" w:tentative="1">
      <w:start w:val="1"/>
      <w:numFmt w:val="bullet"/>
      <w:lvlText w:val=""/>
      <w:lvlJc w:val="left"/>
      <w:pPr>
        <w:ind w:left="5242" w:hanging="360"/>
      </w:pPr>
      <w:rPr>
        <w:rFonts w:ascii="Symbol" w:hAnsi="Symbol" w:hint="default"/>
      </w:rPr>
    </w:lvl>
    <w:lvl w:ilvl="7" w:tplc="280A0003" w:tentative="1">
      <w:start w:val="1"/>
      <w:numFmt w:val="bullet"/>
      <w:lvlText w:val="o"/>
      <w:lvlJc w:val="left"/>
      <w:pPr>
        <w:ind w:left="5962" w:hanging="360"/>
      </w:pPr>
      <w:rPr>
        <w:rFonts w:ascii="Courier New" w:hAnsi="Courier New" w:cs="Courier New" w:hint="default"/>
      </w:rPr>
    </w:lvl>
    <w:lvl w:ilvl="8" w:tplc="280A0005" w:tentative="1">
      <w:start w:val="1"/>
      <w:numFmt w:val="bullet"/>
      <w:lvlText w:val=""/>
      <w:lvlJc w:val="left"/>
      <w:pPr>
        <w:ind w:left="6682" w:hanging="360"/>
      </w:pPr>
      <w:rPr>
        <w:rFonts w:ascii="Wingdings" w:hAnsi="Wingdings" w:hint="default"/>
      </w:rPr>
    </w:lvl>
  </w:abstractNum>
  <w:abstractNum w:abstractNumId="18" w15:restartNumberingAfterBreak="0">
    <w:nsid w:val="7AD623AA"/>
    <w:multiLevelType w:val="hybridMultilevel"/>
    <w:tmpl w:val="83AE33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0"/>
  </w:num>
  <w:num w:numId="2">
    <w:abstractNumId w:val="14"/>
  </w:num>
  <w:num w:numId="3">
    <w:abstractNumId w:val="12"/>
  </w:num>
  <w:num w:numId="4">
    <w:abstractNumId w:val="16"/>
  </w:num>
  <w:num w:numId="5">
    <w:abstractNumId w:val="13"/>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1"/>
  </w:num>
  <w:num w:numId="19">
    <w:abstractNumId w:val="10"/>
  </w:num>
  <w:num w:numId="20">
    <w:abstractNumId w:val="10"/>
  </w:num>
  <w:num w:numId="21">
    <w:abstractNumId w:val="15"/>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1770D"/>
    <w:rsid w:val="00026C03"/>
    <w:rsid w:val="00026E95"/>
    <w:rsid w:val="000276D0"/>
    <w:rsid w:val="00043F21"/>
    <w:rsid w:val="000554E8"/>
    <w:rsid w:val="0005782C"/>
    <w:rsid w:val="0007524B"/>
    <w:rsid w:val="00095231"/>
    <w:rsid w:val="00097FD7"/>
    <w:rsid w:val="000A6556"/>
    <w:rsid w:val="000B0AD7"/>
    <w:rsid w:val="000C0BA1"/>
    <w:rsid w:val="000E7034"/>
    <w:rsid w:val="00117D49"/>
    <w:rsid w:val="00121C72"/>
    <w:rsid w:val="0012223F"/>
    <w:rsid w:val="00122915"/>
    <w:rsid w:val="00125A9E"/>
    <w:rsid w:val="001400C8"/>
    <w:rsid w:val="001551CC"/>
    <w:rsid w:val="001867F8"/>
    <w:rsid w:val="00190A62"/>
    <w:rsid w:val="001A7A4B"/>
    <w:rsid w:val="001B7BB6"/>
    <w:rsid w:val="001F3963"/>
    <w:rsid w:val="001F60FC"/>
    <w:rsid w:val="002033AB"/>
    <w:rsid w:val="00211E66"/>
    <w:rsid w:val="002629B3"/>
    <w:rsid w:val="00263568"/>
    <w:rsid w:val="002643FA"/>
    <w:rsid w:val="002702DE"/>
    <w:rsid w:val="00274D3F"/>
    <w:rsid w:val="00280701"/>
    <w:rsid w:val="002C09C9"/>
    <w:rsid w:val="002F7C61"/>
    <w:rsid w:val="00302099"/>
    <w:rsid w:val="00302930"/>
    <w:rsid w:val="003178E7"/>
    <w:rsid w:val="00334099"/>
    <w:rsid w:val="003616D5"/>
    <w:rsid w:val="003628C5"/>
    <w:rsid w:val="00396A0D"/>
    <w:rsid w:val="003979A3"/>
    <w:rsid w:val="003A21D2"/>
    <w:rsid w:val="003A48D9"/>
    <w:rsid w:val="003B0AED"/>
    <w:rsid w:val="003B16C7"/>
    <w:rsid w:val="003D3DE2"/>
    <w:rsid w:val="003E0C8B"/>
    <w:rsid w:val="003E3B72"/>
    <w:rsid w:val="003F4A7F"/>
    <w:rsid w:val="00451F46"/>
    <w:rsid w:val="004A50E7"/>
    <w:rsid w:val="004E2675"/>
    <w:rsid w:val="00537176"/>
    <w:rsid w:val="00541513"/>
    <w:rsid w:val="00554938"/>
    <w:rsid w:val="005612A1"/>
    <w:rsid w:val="00583195"/>
    <w:rsid w:val="005A2177"/>
    <w:rsid w:val="005A29D4"/>
    <w:rsid w:val="005C4039"/>
    <w:rsid w:val="005D69CF"/>
    <w:rsid w:val="005E3D89"/>
    <w:rsid w:val="005F034B"/>
    <w:rsid w:val="006278CB"/>
    <w:rsid w:val="00633013"/>
    <w:rsid w:val="00665540"/>
    <w:rsid w:val="00672119"/>
    <w:rsid w:val="0067647E"/>
    <w:rsid w:val="006A5FA8"/>
    <w:rsid w:val="006A63F8"/>
    <w:rsid w:val="006A7B32"/>
    <w:rsid w:val="006C1CF4"/>
    <w:rsid w:val="006E1905"/>
    <w:rsid w:val="007200B2"/>
    <w:rsid w:val="0072603D"/>
    <w:rsid w:val="00727D29"/>
    <w:rsid w:val="00743F7B"/>
    <w:rsid w:val="00752136"/>
    <w:rsid w:val="007721A7"/>
    <w:rsid w:val="0078093B"/>
    <w:rsid w:val="007845D7"/>
    <w:rsid w:val="0079399A"/>
    <w:rsid w:val="007945BF"/>
    <w:rsid w:val="007B7970"/>
    <w:rsid w:val="007B7E41"/>
    <w:rsid w:val="007D13BD"/>
    <w:rsid w:val="007E4AB0"/>
    <w:rsid w:val="008000CF"/>
    <w:rsid w:val="00814101"/>
    <w:rsid w:val="00834C74"/>
    <w:rsid w:val="00843084"/>
    <w:rsid w:val="00843ECE"/>
    <w:rsid w:val="00864427"/>
    <w:rsid w:val="00867C88"/>
    <w:rsid w:val="00883DE4"/>
    <w:rsid w:val="00893213"/>
    <w:rsid w:val="008B514A"/>
    <w:rsid w:val="008B73BE"/>
    <w:rsid w:val="008D6AA8"/>
    <w:rsid w:val="008F7844"/>
    <w:rsid w:val="00906BB8"/>
    <w:rsid w:val="00911351"/>
    <w:rsid w:val="00937754"/>
    <w:rsid w:val="00952E86"/>
    <w:rsid w:val="00953A8F"/>
    <w:rsid w:val="009563A3"/>
    <w:rsid w:val="00963A7C"/>
    <w:rsid w:val="00967E58"/>
    <w:rsid w:val="00975871"/>
    <w:rsid w:val="009B35CF"/>
    <w:rsid w:val="009D1A86"/>
    <w:rsid w:val="00A002A8"/>
    <w:rsid w:val="00A06E38"/>
    <w:rsid w:val="00A13D44"/>
    <w:rsid w:val="00A17B7C"/>
    <w:rsid w:val="00A43DD2"/>
    <w:rsid w:val="00A51D45"/>
    <w:rsid w:val="00A54336"/>
    <w:rsid w:val="00A66AD1"/>
    <w:rsid w:val="00A735C3"/>
    <w:rsid w:val="00A76A61"/>
    <w:rsid w:val="00A76BA2"/>
    <w:rsid w:val="00A853D1"/>
    <w:rsid w:val="00A94B02"/>
    <w:rsid w:val="00A95584"/>
    <w:rsid w:val="00AB04BE"/>
    <w:rsid w:val="00AC192C"/>
    <w:rsid w:val="00AE5750"/>
    <w:rsid w:val="00AF232E"/>
    <w:rsid w:val="00B0004F"/>
    <w:rsid w:val="00B22218"/>
    <w:rsid w:val="00B31A52"/>
    <w:rsid w:val="00B445B5"/>
    <w:rsid w:val="00B55287"/>
    <w:rsid w:val="00B64D71"/>
    <w:rsid w:val="00B658EA"/>
    <w:rsid w:val="00B73393"/>
    <w:rsid w:val="00B85710"/>
    <w:rsid w:val="00BA03B0"/>
    <w:rsid w:val="00BF0B36"/>
    <w:rsid w:val="00BF5557"/>
    <w:rsid w:val="00C21809"/>
    <w:rsid w:val="00C255F4"/>
    <w:rsid w:val="00C41B6E"/>
    <w:rsid w:val="00C6158D"/>
    <w:rsid w:val="00C770E1"/>
    <w:rsid w:val="00C95A99"/>
    <w:rsid w:val="00CA3EB6"/>
    <w:rsid w:val="00CA72FF"/>
    <w:rsid w:val="00CC267A"/>
    <w:rsid w:val="00CC409B"/>
    <w:rsid w:val="00CE73F0"/>
    <w:rsid w:val="00CF4C59"/>
    <w:rsid w:val="00D24269"/>
    <w:rsid w:val="00D26801"/>
    <w:rsid w:val="00D421EC"/>
    <w:rsid w:val="00D53181"/>
    <w:rsid w:val="00D57769"/>
    <w:rsid w:val="00D725E7"/>
    <w:rsid w:val="00D76A85"/>
    <w:rsid w:val="00D80731"/>
    <w:rsid w:val="00D84957"/>
    <w:rsid w:val="00D859AB"/>
    <w:rsid w:val="00D85BD8"/>
    <w:rsid w:val="00D85E5A"/>
    <w:rsid w:val="00D96019"/>
    <w:rsid w:val="00DA7F65"/>
    <w:rsid w:val="00E1067B"/>
    <w:rsid w:val="00E1449A"/>
    <w:rsid w:val="00E30D7B"/>
    <w:rsid w:val="00E53978"/>
    <w:rsid w:val="00E54B46"/>
    <w:rsid w:val="00E63D66"/>
    <w:rsid w:val="00E74B23"/>
    <w:rsid w:val="00E84D8C"/>
    <w:rsid w:val="00E87C5C"/>
    <w:rsid w:val="00EA08E7"/>
    <w:rsid w:val="00EB489B"/>
    <w:rsid w:val="00F0343F"/>
    <w:rsid w:val="00F260D0"/>
    <w:rsid w:val="00F30F52"/>
    <w:rsid w:val="00F53B01"/>
    <w:rsid w:val="00F60D90"/>
    <w:rsid w:val="00F94BC9"/>
    <w:rsid w:val="00FA1EB3"/>
    <w:rsid w:val="00FA5F1E"/>
    <w:rsid w:val="00FD07C6"/>
    <w:rsid w:val="00FD3E8A"/>
    <w:rsid w:val="00FD5F28"/>
    <w:rsid w:val="00FF24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A6B"/>
  <w15:chartTrackingRefBased/>
  <w15:docId w15:val="{10FDF0BC-18D7-4402-81CB-B44BEC39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semiHidden/>
    <w:unhideWhenUsed/>
    <w:rsid w:val="00F260D0"/>
    <w:pPr>
      <w:tabs>
        <w:tab w:val="center" w:pos="4252"/>
        <w:tab w:val="right" w:pos="8504"/>
      </w:tabs>
    </w:pPr>
  </w:style>
  <w:style w:type="character" w:customStyle="1" w:styleId="EncabezadoCar">
    <w:name w:val="Encabezado Car"/>
    <w:link w:val="Encabezado"/>
    <w:uiPriority w:val="99"/>
    <w:semiHidden/>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semiHidden/>
    <w:unhideWhenUsed/>
    <w:rsid w:val="00F260D0"/>
    <w:pPr>
      <w:tabs>
        <w:tab w:val="center" w:pos="4252"/>
        <w:tab w:val="right" w:pos="8504"/>
      </w:tabs>
    </w:pPr>
  </w:style>
  <w:style w:type="character" w:customStyle="1" w:styleId="PiedepginaCar">
    <w:name w:val="Pie de página Car"/>
    <w:link w:val="Piedepgina"/>
    <w:uiPriority w:val="99"/>
    <w:semiHidden/>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8B73BE"/>
    <w:rPr>
      <w:color w:val="605E5C"/>
      <w:shd w:val="clear" w:color="auto" w:fill="E1DFDD"/>
    </w:rPr>
  </w:style>
  <w:style w:type="paragraph" w:styleId="Prrafodelista">
    <w:name w:val="List Paragraph"/>
    <w:basedOn w:val="Normal"/>
    <w:uiPriority w:val="34"/>
    <w:qFormat/>
    <w:rsid w:val="008000CF"/>
    <w:pPr>
      <w:ind w:left="720"/>
      <w:contextualSpacing/>
    </w:pPr>
  </w:style>
  <w:style w:type="character" w:customStyle="1" w:styleId="italica">
    <w:name w:val="italica"/>
    <w:basedOn w:val="Fuentedeprrafopredeter"/>
    <w:rsid w:val="00AF232E"/>
  </w:style>
  <w:style w:type="paragraph" w:styleId="NormalWeb">
    <w:name w:val="Normal (Web)"/>
    <w:basedOn w:val="Normal"/>
    <w:uiPriority w:val="99"/>
    <w:unhideWhenUsed/>
    <w:rsid w:val="00396A0D"/>
    <w:pPr>
      <w:autoSpaceDE/>
      <w:autoSpaceDN/>
      <w:spacing w:before="100" w:beforeAutospacing="1" w:after="100" w:afterAutospacing="1"/>
    </w:pPr>
    <w:rPr>
      <w:sz w:val="24"/>
      <w:szCs w:val="24"/>
      <w:lang w:val="es-PE" w:eastAsia="es-PE"/>
    </w:rPr>
  </w:style>
  <w:style w:type="character" w:styleId="nfasis">
    <w:name w:val="Emphasis"/>
    <w:basedOn w:val="Fuentedeprrafopredeter"/>
    <w:uiPriority w:val="20"/>
    <w:qFormat/>
    <w:rsid w:val="00396A0D"/>
    <w:rPr>
      <w:i/>
      <w:iCs/>
    </w:rPr>
  </w:style>
  <w:style w:type="paragraph" w:customStyle="1" w:styleId="sub-subsec">
    <w:name w:val="sub-subsec"/>
    <w:basedOn w:val="Normal"/>
    <w:rsid w:val="00396A0D"/>
    <w:pPr>
      <w:autoSpaceDE/>
      <w:autoSpaceDN/>
      <w:spacing w:before="100" w:beforeAutospacing="1" w:after="100" w:afterAutospacing="1"/>
    </w:pPr>
    <w:rPr>
      <w:sz w:val="24"/>
      <w:szCs w:val="24"/>
      <w:lang w:val="es-PE" w:eastAsia="es-PE"/>
    </w:rPr>
  </w:style>
  <w:style w:type="table" w:styleId="Tablaconcuadrcula">
    <w:name w:val="Table Grid"/>
    <w:basedOn w:val="Tablanormal"/>
    <w:uiPriority w:val="59"/>
    <w:rsid w:val="00F3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5306">
      <w:bodyDiv w:val="1"/>
      <w:marLeft w:val="0"/>
      <w:marRight w:val="0"/>
      <w:marTop w:val="0"/>
      <w:marBottom w:val="0"/>
      <w:divBdr>
        <w:top w:val="none" w:sz="0" w:space="0" w:color="auto"/>
        <w:left w:val="none" w:sz="0" w:space="0" w:color="auto"/>
        <w:bottom w:val="none" w:sz="0" w:space="0" w:color="auto"/>
        <w:right w:val="none" w:sz="0" w:space="0" w:color="auto"/>
      </w:divBdr>
    </w:div>
    <w:div w:id="148908390">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996422474">
      <w:bodyDiv w:val="1"/>
      <w:marLeft w:val="0"/>
      <w:marRight w:val="0"/>
      <w:marTop w:val="0"/>
      <w:marBottom w:val="0"/>
      <w:divBdr>
        <w:top w:val="none" w:sz="0" w:space="0" w:color="auto"/>
        <w:left w:val="none" w:sz="0" w:space="0" w:color="auto"/>
        <w:bottom w:val="none" w:sz="0" w:space="0" w:color="auto"/>
        <w:right w:val="none" w:sz="0" w:space="0" w:color="auto"/>
      </w:divBdr>
      <w:divsChild>
        <w:div w:id="132529458">
          <w:marLeft w:val="0"/>
          <w:marRight w:val="0"/>
          <w:marTop w:val="0"/>
          <w:marBottom w:val="0"/>
          <w:divBdr>
            <w:top w:val="none" w:sz="0" w:space="0" w:color="auto"/>
            <w:left w:val="none" w:sz="0" w:space="0" w:color="auto"/>
            <w:bottom w:val="none" w:sz="0" w:space="0" w:color="auto"/>
            <w:right w:val="none" w:sz="0" w:space="0" w:color="auto"/>
          </w:divBdr>
        </w:div>
      </w:divsChild>
    </w:div>
    <w:div w:id="20610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onela.tp@gmail.com" TargetMode="External"/><Relationship Id="rId13" Type="http://schemas.openxmlformats.org/officeDocument/2006/relationships/hyperlink" Target="http://www.scielo.org.mx/scielo.php?script=sci_arttext&amp;pid=S1665-53462016000100103" TargetMode="External"/><Relationship Id="rId18" Type="http://schemas.openxmlformats.org/officeDocument/2006/relationships/hyperlink" Target="http://www.scielo.org.mx/scielo.php?script=sci_arttext&amp;pid=S1665-53462016000100103"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scielo.org.mx/scielo.php?script=sci_arttext&amp;pid=S1665-53462016000100103" TargetMode="External"/><Relationship Id="rId17" Type="http://schemas.openxmlformats.org/officeDocument/2006/relationships/hyperlink" Target="http://www.scielo.org.mx/scielo.php?script=sci_arttext&amp;pid=S1665-53462016000100103"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cielo.org.mx/scielo.php?script=sci_arttext&amp;pid=S1665-53462016000100103" TargetMode="External"/><Relationship Id="rId20" Type="http://schemas.openxmlformats.org/officeDocument/2006/relationships/image" Target="media/image1.png"/><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alyc.org/jatsRepo/2821/282154593002/html/index.html"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cielo.org.mx/scielo.php?script=sci_arttext&amp;pid=S1665-53462016000100103"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mailto:orafaelp@alicorp.com" TargetMode="External"/><Relationship Id="rId19" Type="http://schemas.openxmlformats.org/officeDocument/2006/relationships/hyperlink" Target="http://www.scielo.org.mx/scielo.php?script=sci_arttext&amp;pid=S1665-53462016000100103"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villacorta.unmsm@gmai.com" TargetMode="External"/><Relationship Id="rId14" Type="http://schemas.openxmlformats.org/officeDocument/2006/relationships/hyperlink" Target="http://www.scielo.org.mx/scielo.php?script=sci_arttext&amp;pid=S1665-53462016000100103"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1CC76-339B-4E6F-B530-A92C5E05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5</Pages>
  <Words>2862</Words>
  <Characters>15744</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18569</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Leonela analí Tacure Purizaca</cp:lastModifiedBy>
  <cp:revision>4</cp:revision>
  <dcterms:created xsi:type="dcterms:W3CDTF">2021-05-25T01:23:00Z</dcterms:created>
  <dcterms:modified xsi:type="dcterms:W3CDTF">2021-05-28T14:06:00Z</dcterms:modified>
</cp:coreProperties>
</file>