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9033F" w14:textId="0907D300" w:rsidR="00D11BBF" w:rsidRDefault="00D11BBF">
      <w:pPr>
        <w:pStyle w:val="Heading2"/>
      </w:pPr>
      <w:bookmarkStart w:id="0" w:name="Xe1569e4741c4c80ddb0d6de124f5f2043d0fe81"/>
      <w:bookmarkStart w:id="1" w:name="general-introduction"/>
    </w:p>
    <w:p w14:paraId="353E767B" w14:textId="77777777" w:rsidR="00D11BBF" w:rsidRDefault="00000000">
      <w:pPr>
        <w:pStyle w:val="FirstParagraph"/>
      </w:pPr>
      <w:r>
        <w:rPr>
          <w:b/>
          <w:bCs/>
        </w:rPr>
        <w:t>I. HIV Prevention and Care Among Key Populations</w:t>
      </w:r>
    </w:p>
    <w:p w14:paraId="38542A6B" w14:textId="77777777" w:rsidR="00D11BBF" w:rsidRDefault="00000000">
      <w:pPr>
        <w:pStyle w:val="Heading3"/>
      </w:pPr>
      <w:bookmarkStart w:id="2" w:name="X843c808802206bd7f4e130df12e6a9f1e7e1310"/>
      <w:r>
        <w:t>The Global Burden of HIV and the Disproportionate Impact on Sub-Saharan Africa</w:t>
      </w:r>
    </w:p>
    <w:p w14:paraId="0FEC2DA1" w14:textId="77777777" w:rsidR="00D11BBF" w:rsidRDefault="00000000">
      <w:pPr>
        <w:pStyle w:val="FirstParagraph"/>
      </w:pPr>
      <w:r>
        <w:t>Over four decades since its initial discovery, the human immunodeficiency virus (HIV) remains one of the most pressing global health challenges. In 2024, an estimated 1.3 million people newly acquired HIV, and 630,000 died from causes related to acquired immunodeficiency syndrome (AIDS), which is caused by the virus (1). Although annual new infections are now down by over 60% since their peak in 1995 (1), HIV infection is chronic and lifelong, meaning that every person who acquires the virus and survives adds to the prevalent pool over time. As such, the global number of people living with HIV has continued to rise, from an estimated 26.6 million in 2000 to 40.8 million in 2024 (1). Overall, HIV/AIDS remains the fourth-largest infectious disease contributor to global disability-adjusted life-year (DALY) losses, after lower respiratory infections, diarrhoeal diseases, and malaria (2,3).</w:t>
      </w:r>
    </w:p>
    <w:p w14:paraId="729F3C66" w14:textId="77777777" w:rsidR="00D11BBF" w:rsidRDefault="00000000">
      <w:pPr>
        <w:pStyle w:val="BodyText"/>
      </w:pPr>
      <w:r>
        <w:t>Sub-Saharan Africa (SSA) suffers a disproportionate share of this burden. Of the 40.8 million people worldwide living with HIV in 2024, 26.3 million (65%) are in sub-Saharan Africa, although the region contains only about 15% of the world’s population (4). During the peak of the epidemic in the late 1990s and early 2000s, AIDS became the leading cause of adult mortality in the region (5). By 2005, adult HIV prevalence exceeded 1% in 37 of the 48 sub-Saharan African countries, and the worst-affected countries saw multi-decade declines in life expectancy (4). In Eswatini, for example, adult prevalence reached 27% and life expectancy dropped from 61 to 32 years (4,6), while in Botswana, prevalence peaked at 25% and life expectancy dropped from 65 to roughly 47 years (4,6).</w:t>
      </w:r>
    </w:p>
    <w:p w14:paraId="61DCF6C2" w14:textId="77777777" w:rsidR="00D11BBF" w:rsidRDefault="00000000">
      <w:pPr>
        <w:pStyle w:val="BodyText"/>
      </w:pPr>
      <w:r>
        <w:t>Since that time, significant progress has been made against the epidemic, largely driven by the scale-up of HIV antiretroviral therapy (ART) across the region. Modern ART regimens, typically taken as daily pill formulations of multiple drugs, suppress viral replication to undetectable levels, preventing progression to AIDS and rendering the individual effectively unable to transmit HIV (7). The number of people receiving ART in SSA grew from approximately 5 million in 2010 to about 22 million in 2024. Over that same period, new HIV infections in SSA dropped by 55%, from 1.46 million to 650,000, and AIDS-related deaths dropped by 60%, from 940,000 to 380,000 (4). Despite this progress, the SSA region continues to bear a disproportionate share of the global burden, accounting for 65% of all people living with HIV, 50% of new infections, and 60% of AIDS-related deaths (4).</w:t>
      </w:r>
    </w:p>
    <w:p w14:paraId="74F36B48" w14:textId="77777777" w:rsidR="00D11BBF" w:rsidRDefault="00000000">
      <w:pPr>
        <w:pStyle w:val="Heading3"/>
      </w:pPr>
      <w:bookmarkStart w:id="3" w:name="key-populations-in-the-hiv-epidemic"/>
      <w:bookmarkEnd w:id="2"/>
      <w:r>
        <w:t>Key Populations in the HIV Epidemic</w:t>
      </w:r>
    </w:p>
    <w:p w14:paraId="39679E32" w14:textId="77777777" w:rsidR="00D11BBF" w:rsidRDefault="00000000">
      <w:pPr>
        <w:pStyle w:val="FirstParagraph"/>
      </w:pPr>
      <w:r>
        <w:t xml:space="preserve">Key populations (KPs) are groups of people who, due to social or behavioral factors, have a higher risk and prevalence of HIV. These include sex workers, men who have sex with men (MSM), people who inject drugs (PWID), and people in prisons and other closed settings </w:t>
      </w:r>
      <w:r>
        <w:lastRenderedPageBreak/>
        <w:t>(8). For example, Korenromp et al. found that the risk of acquiring HIV was 23 times higher for MSM, 14 times higher for PWID, and 8.9 times higher for sex workers, compared with the general adult population (9). According to their estimates, KPs and their sex partners accounted for 55% of new adult HIV infections in 2022. This is an increase from 2010, when the figure was 44% (9). Thus, as general-population incidence declines, the global epidemic is increasingly concentrated among these KP groups.</w:t>
      </w:r>
    </w:p>
    <w:p w14:paraId="572CB35D" w14:textId="77777777" w:rsidR="00D11BBF" w:rsidRDefault="00000000">
      <w:pPr>
        <w:pStyle w:val="BodyText"/>
      </w:pPr>
      <w:r>
        <w:t>The reasons for the concentration of HIV among KPs are multifaceted. Part of the elevated risk reflects greater exposure to higher-transmission-risk events. Predominant sexual practices among MSM and transgender women have higher per-act transmission probabilities, sex workers often have more frequent sexual exposures, including unprotected sex, than the general population, and PWID face direct exposure through shared injecting equipment (10,11). But these risk factors are amplified by structural and societal conditions that reduce access to prevention and care services.</w:t>
      </w:r>
    </w:p>
    <w:p w14:paraId="68E9D066" w14:textId="77777777" w:rsidR="00D11BBF" w:rsidRDefault="00000000">
      <w:pPr>
        <w:pStyle w:val="BodyText"/>
      </w:pPr>
      <w:r>
        <w:t>Chief among these is criminalization. As of 2025, 64 countries criminalized same-sex relations, 168 countries partly or wholly criminalized sex work, and 14 countries had laws that effectively criminalized transgender people (1). Such legal environments push KPs underground, exposing them to discrimination and violence, and deterring them from seeking testing and treatment (12–14). When diagnosis and treatment are delayed, individuals carry higher viral loads for longer, increasing the risk of onward transmission and sustaining the high circulation of HIV within these populations. Empirical studies confirm the link between criminalization and poorer HIV outcomes. For example, in a cross-national analysis of 194 countries, those that criminalized same-sex relations had 11 percentage points lower HIV status awareness and 8 percentage points lower viral suppression among people living with HIV, with similar deficits where sex work and drug use were criminalized (15). In one notable case, Vasireddy et al. reported that weekly visits to drop-in centres serving KPs fell dramatically during the 2023 Anti-Homosexuality Act debate in Uganda, with at least four centres closing due to safety incidents (16).</w:t>
      </w:r>
    </w:p>
    <w:p w14:paraId="6CECBC2F" w14:textId="77777777" w:rsidR="00D11BBF" w:rsidRDefault="00000000">
      <w:pPr>
        <w:pStyle w:val="BodyText"/>
      </w:pPr>
      <w:r>
        <w:t xml:space="preserve">Because KPs have a high burden of HIV, play a disproportionate role in transmission, and face unique structural and societal barriers to healthcare access, effective global management of the HIV epidemic requires prevention and treatment programmes tailored to this population. A growing body of evidence supports moving care out of traditional hospital settings and into community-based clinics that offer bundled services, including pre-exposure prophylaxis (PrEP) for preventing infection, HIV testing services, concurrent STI screening and treatment, and antiretroviral therapy for those diagnosed with HIV (17,18). There is also support for combining these clinical services with legal and social support structures, so that barriers beyond the biomedical, such as violence, discrimination, and legal vulnerability, can be addressed in the same visit (17). Combining all such services under one roof, in so-called “One-Stop Shops,” is increasingly considered best practice for KP service delivery. Finally, peer-led and mobile outreach models extend these services beyond fixed clinics, actively seeking out KP communities at venues and hotspots to facilitate engagement with prevention and care (19). However, while these frameworks are widely endorsed, evidence on how they perform at scale </w:t>
      </w:r>
      <w:r>
        <w:lastRenderedPageBreak/>
        <w:t>remains limited, particularly from large programmatic settings in sub-Saharan Africa, where the HIV burden is greatest.</w:t>
      </w:r>
    </w:p>
    <w:p w14:paraId="50FC3CD3" w14:textId="77777777" w:rsidR="00D11BBF" w:rsidRDefault="00000000">
      <w:pPr>
        <w:pStyle w:val="Heading3"/>
      </w:pPr>
      <w:bookmarkStart w:id="4" w:name="X4d4f713461dcd17b1eccda2da6f2a6eb91fc53c"/>
      <w:bookmarkEnd w:id="3"/>
      <w:r>
        <w:t>Key Populations in Nigeria and the Programmatic Response</w:t>
      </w:r>
    </w:p>
    <w:p w14:paraId="77B65E1D" w14:textId="77777777" w:rsidR="00D11BBF" w:rsidRDefault="00000000">
      <w:pPr>
        <w:pStyle w:val="FirstParagraph"/>
      </w:pPr>
      <w:r>
        <w:t>Nigeria, the most populous country in Africa with over 220 million inhabitants, has the fourth-largest HIV epidemic globally (20,21). While the overall adult HIV prevalence is relatively low (estimated at 1.3% in the 2018 national household survey (22)), the epidemic is severely concentrated among KPs. The 2020 Integrated Biological and Behavioural Surveillance Survey (IBBSS), which surveyed 17,975 KP members across 12 states, found HIV prevalence of 15.5% among FSWs, 25.0% among MSM, 28.8% among transgender individuals, and 10.9% among PWID, all far exceeding the general population rate (23).</w:t>
      </w:r>
    </w:p>
    <w:p w14:paraId="2A457B38" w14:textId="77777777" w:rsidR="00D11BBF" w:rsidRDefault="00000000">
      <w:pPr>
        <w:pStyle w:val="BodyText"/>
      </w:pPr>
      <w:r>
        <w:t>A hostile legal environment for KPs in Nigeria compounds their burden of HIV disease. The Same-Sex Marriage Prohibition Act of 2014 criminalized same-sex relationships with penalties of up to 14 years’ imprisonment (12,24), and its broad provisions also frequently affect transgender individuals, for whom no legal pathway to gender recognition exists (24). Drug use is very strongly penalized, with sentences of up to 25 years’ imprisonment for certain substances under the National Drug Law Enforcement Agency Act, further restricting access to harm reduction services for PWID (25). Sex work occupies a grey legal zone: selling sex is not itself a criminal offence, but soliciting clients and procurement of sex are criminalized under Sections 223–225A of the Criminal Code Act (24,26). Together, these laws push KPs underground, raising barriers to HIV prevention, testing, and treatment (12,13,15).</w:t>
      </w:r>
    </w:p>
    <w:p w14:paraId="4694D069" w14:textId="77777777" w:rsidR="00D11BBF" w:rsidRDefault="00000000">
      <w:pPr>
        <w:pStyle w:val="BodyText"/>
      </w:pPr>
      <w:r>
        <w:t>In response to the concentrated HIV burden among key populations, the Key Population Community HIV Services Action and Response (KP-CARE 1) programme was established in Nigeria with support from USAID and implemented by Heartland Alliance LTD/GTE (27,28). The programme delivers HIV prevention, testing, care, and treatment services for FSWs, MSM, PWID, and transgender individuals across multiple Nigerian states through a differentiated service delivery model centred on community-based One-Stop Shops (OSS) and mobile outreach (27–29). These OSS provide HIV testing and counselling, ART initiation and refills, pre-exposure prophylaxis (PrEP), sexually transmitted infection screening and treatment, and psychosocial support in KP-friendly settings designed to reduce stigma and improve access. In addition, venue-based and hotspot outreach helps link clients from brothels, bars, and other gathering places into prevention and treatment services (18,27,29,30).</w:t>
      </w:r>
    </w:p>
    <w:p w14:paraId="560C2768" w14:textId="77777777" w:rsidR="00D11BBF" w:rsidRDefault="00000000">
      <w:pPr>
        <w:pStyle w:val="BodyText"/>
      </w:pPr>
      <w:r>
        <w:t>The KP-CARE 1 programme has an electronic data management system and database containing information on clients enrolled in prevention, testing and care services. This system is a rich source of large-scale routine programmatic data that can be used for both programme evaluations and research. Papers 1 and 2 in this thesis use this data to analyse outcomes along the HIV prevention and care cascades.</w:t>
      </w:r>
    </w:p>
    <w:p w14:paraId="2B50A3C3" w14:textId="77777777" w:rsidR="00D11BBF" w:rsidRDefault="00000000">
      <w:pPr>
        <w:pStyle w:val="Heading3"/>
      </w:pPr>
      <w:bookmarkStart w:id="5" w:name="X46de467a3791b4289dd39848e909712497ad29a"/>
      <w:bookmarkEnd w:id="4"/>
      <w:r>
        <w:lastRenderedPageBreak/>
        <w:t>HIV Prevention: Pre-Exposure Prophylaxis and the Challenge of Continuation</w:t>
      </w:r>
    </w:p>
    <w:p w14:paraId="4FA747A8" w14:textId="77777777" w:rsidR="00D11BBF" w:rsidRDefault="00000000">
      <w:pPr>
        <w:pStyle w:val="FirstParagraph"/>
      </w:pPr>
      <w:r>
        <w:t>Pre-exposure prophylaxis (PrEP) drugs are antiretroviral medications (ARVs) taken by HIV-negative people to prevent HIV acquisition. The most common PrEP medications consist of daily oral tablets of tenofovir disoproxil fumarate combined with either emtricitabine (FTC) or lamivudine (3TC) (31). Clinical trial and cohort evidence shows that tenofovir-based PrEP can substantially reduce HIV acquisition when taken consistently (32–34).</w:t>
      </w:r>
    </w:p>
    <w:p w14:paraId="5F74CD5F" w14:textId="77777777" w:rsidR="00D11BBF" w:rsidRDefault="00000000">
      <w:pPr>
        <w:pStyle w:val="BodyText"/>
      </w:pPr>
      <w:r>
        <w:t>Despite their proven biological efficacy, the overall impact of PrEP regimens is limited by low uptake among key populations and low continuation after starting. In a global meta-analysis of 59 studies covering over 43,000 participants, 41% had discontinued PrEP within six months of starting, and among those continuing, 37.7% had suboptimal adherence patterns. In sub-Saharan Africa, discontinuation was 47.5% (35). Commonly reported reasons for discontinuation included side effects (25 studies), low perceived risk of infection (21 studies), cost or lack of health insurance (10 studies), and inaccessible care (nine studies). Issues of cost and access are likely to be worse for key populations, who often face criminalization, stigma, and other barriers to routine health services.</w:t>
      </w:r>
    </w:p>
    <w:p w14:paraId="1EF7B172" w14:textId="77777777" w:rsidR="00D11BBF" w:rsidRDefault="00000000">
      <w:pPr>
        <w:pStyle w:val="BodyText"/>
      </w:pPr>
      <w:r>
        <w:t>In Nigeria, PrEP rollout for key populations is an important component of the national HIV prevention strategy (36). The KP-CARE-1 programme works to provide PrEP to eligible KP clients using a provider-facilitated approach in which individuals testing HIV-negative are offered oral PrEP as part of a comprehensive prevention package. Paper 1 of this thesis analyzes data from over 43,000 KP clients who initiated PrEP through the KP-CARE-1 programme. The large sample size makes it one of the largest PrEP continuation studies among key populations in sub-Saharan Africa. We report the 6-month continuation rates and identify factors associated with sustained PrEP use across different KP groups.</w:t>
      </w:r>
    </w:p>
    <w:p w14:paraId="1F5F2687" w14:textId="77777777" w:rsidR="00D11BBF" w:rsidRDefault="00000000">
      <w:pPr>
        <w:pStyle w:val="Heading3"/>
      </w:pPr>
      <w:bookmarkStart w:id="6" w:name="X35d591705340016ca04c06f2ea2191673a0b57d"/>
      <w:bookmarkEnd w:id="5"/>
      <w:r>
        <w:t>The HIV Care Cascade: Viral Load Testing and Suppression</w:t>
      </w:r>
    </w:p>
    <w:p w14:paraId="2055C0CB" w14:textId="77777777" w:rsidR="00D11BBF" w:rsidRDefault="00000000">
      <w:pPr>
        <w:pStyle w:val="FirstParagraph"/>
      </w:pPr>
      <w:r>
        <w:t>The HIV Care Cascade is a conceptual model used to monitor the progression of people with HIV through key stages of medical care. It includes testing and diagnosis, linkage to care, initiation of ART, adherence to treatment, viral load testing and viral suppression (37). Attrition happens at each stage of this cascade; understanding each point of attrition is important for evaluating and improving HIV programmes.</w:t>
      </w:r>
    </w:p>
    <w:p w14:paraId="14D1E49F" w14:textId="77777777" w:rsidR="00D11BBF" w:rsidRDefault="00000000">
      <w:pPr>
        <w:pStyle w:val="BodyText"/>
      </w:pPr>
      <w:r>
        <w:t>Viral suppression is defined as having a very low viral load, commonly &lt; 1000 copies/mL, and is the main goal of ART. Successful viral suppression improves health outcomes and greatly reduces the risk of onward HIV transmission. It is captured as the last step in the UNAIDS 95-95-95 targets, which are global goals that aim for at least 95% of people living with HIV to know their status, 95% of those diagnosed to receive ART, and 95% of those on treatment to achieve viral suppression. In 2024, global estimates were still below these targets, with an estimated 87% knowing their status, 77% of those accessing ART, and 73% of those on treatment being suppressed (1).</w:t>
      </w:r>
    </w:p>
    <w:p w14:paraId="533C5611" w14:textId="77777777" w:rsidR="00D11BBF" w:rsidRDefault="00000000">
      <w:pPr>
        <w:pStyle w:val="BodyText"/>
      </w:pPr>
      <w:r>
        <w:t xml:space="preserve">Viral load testing and suppression are especially critical for female sex workers living with HIV because they have a high transmission potential, given their high number of sexual </w:t>
      </w:r>
      <w:r>
        <w:lastRenderedPageBreak/>
        <w:t>partners. Existing FSW cascade evidence in sub-Saharan Africa is limited and usually is not based on large programme datasets (38).</w:t>
      </w:r>
    </w:p>
    <w:p w14:paraId="4CBEADC1" w14:textId="77777777" w:rsidR="00D11BBF" w:rsidRDefault="00000000">
      <w:pPr>
        <w:pStyle w:val="BodyText"/>
      </w:pPr>
      <w:r>
        <w:t>This thesis (paper 2) addresses this gap by analyzing routine programmatic data from nearly 35,000 FSWs enrolled in the Nigerian KP programme to identify factors associated with receipt of viral load testing and achievement of viral suppression.</w:t>
      </w:r>
    </w:p>
    <w:p w14:paraId="7881DC43" w14:textId="52F066D0" w:rsidR="00D11BBF" w:rsidRDefault="00000000">
      <w:pPr>
        <w:pStyle w:val="Bibliography"/>
      </w:pPr>
      <w:bookmarkStart w:id="7" w:name="annexes"/>
      <w:bookmarkStart w:id="8" w:name="refs"/>
      <w:bookmarkStart w:id="9" w:name="ref-Nnko2019"/>
      <w:bookmarkEnd w:id="1"/>
      <w:bookmarkEnd w:id="6"/>
      <w:r>
        <w:t xml:space="preserve"> </w:t>
      </w:r>
      <w:bookmarkEnd w:id="0"/>
      <w:bookmarkEnd w:id="7"/>
      <w:bookmarkEnd w:id="8"/>
      <w:bookmarkEnd w:id="9"/>
    </w:p>
    <w:sectPr w:rsidR="00D11BB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84B5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8C7E2B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03ECCEF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1254244752">
    <w:abstractNumId w:val="0"/>
  </w:num>
  <w:num w:numId="2" w16cid:durableId="925583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1520931">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16cid:durableId="8534191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D11BBF"/>
    <w:rsid w:val="00D11BBF"/>
    <w:rsid w:val="00E74E2C"/>
    <w:rsid w:val="00EE6D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00A4C"/>
  <w15:docId w15:val="{A45A8820-47DC-F94E-8CE1-66DD727A5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1898</Words>
  <Characters>11448</Characters>
  <Application>Microsoft Office Word</Application>
  <DocSecurity>0</DocSecurity>
  <Lines>178</Lines>
  <Paragraphs>45</Paragraphs>
  <ScaleCrop>false</ScaleCrop>
  <Company/>
  <LinksUpToDate>false</LinksUpToDate>
  <CharactersWithSpaces>13301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Draft: HIV Care Cascade + Data Science Capacity Building</dc:title>
  <dc:creator/>
  <cp:keywords/>
  <cp:lastModifiedBy>Kenechukwu Nwosu</cp:lastModifiedBy>
  <cp:revision>2</cp:revision>
  <dcterms:created xsi:type="dcterms:W3CDTF">2026-04-25T12:14:00Z</dcterms:created>
  <dcterms:modified xsi:type="dcterms:W3CDTF">2026-04-25T12:17:00Z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vancouver.csl</vt:lpwstr>
  </property>
  <property fmtid="{D5CDD505-2E9C-101B-9397-08002B2CF9AE}" pid="4" name="editor_options">
    <vt:lpwstr/>
  </property>
  <property fmtid="{D5CDD505-2E9C-101B-9397-08002B2CF9AE}" pid="5" name="link-citations">
    <vt:lpwstr>False</vt:lpwstr>
  </property>
  <property fmtid="{D5CDD505-2E9C-101B-9397-08002B2CF9AE}" pid="6" name="output">
    <vt:lpwstr/>
  </property>
</Properties>
</file>