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2230BE" w14:textId="44A65ACD" w:rsidR="15527982" w:rsidRPr="00DC1ADB" w:rsidRDefault="00A05B21" w:rsidP="00DC1ADB">
      <w:pPr>
        <w:rPr>
          <w:b/>
          <w:bCs/>
          <w:sz w:val="52"/>
          <w:szCs w:val="52"/>
        </w:rPr>
      </w:pPr>
      <w:bookmarkStart w:id="0" w:name="OLE_LINK129"/>
      <w:bookmarkStart w:id="1" w:name="OLE_LINK130"/>
      <w:bookmarkStart w:id="2" w:name="OLE_LINK139"/>
      <w:bookmarkStart w:id="3" w:name="OLE_LINK143"/>
      <w:bookmarkStart w:id="4" w:name="OLE_LINK13"/>
      <w:bookmarkStart w:id="5" w:name="OLE_LINK14"/>
      <w:r w:rsidRPr="00DC1ADB">
        <w:rPr>
          <w:b/>
          <w:bCs/>
          <w:sz w:val="52"/>
          <w:szCs w:val="52"/>
        </w:rPr>
        <w:t xml:space="preserve">SARS-CoV-2 </w:t>
      </w:r>
      <w:r w:rsidR="00DC1ADB" w:rsidRPr="00DC1ADB">
        <w:rPr>
          <w:b/>
          <w:bCs/>
          <w:sz w:val="52"/>
          <w:szCs w:val="52"/>
        </w:rPr>
        <w:t>A</w:t>
      </w:r>
      <w:r w:rsidRPr="00DC1ADB">
        <w:rPr>
          <w:b/>
          <w:bCs/>
          <w:sz w:val="52"/>
          <w:szCs w:val="52"/>
        </w:rPr>
        <w:t>ntibod</w:t>
      </w:r>
      <w:r w:rsidR="0071038D" w:rsidRPr="00DC1ADB">
        <w:rPr>
          <w:b/>
          <w:bCs/>
          <w:sz w:val="52"/>
          <w:szCs w:val="52"/>
        </w:rPr>
        <w:t xml:space="preserve">y </w:t>
      </w:r>
      <w:r w:rsidR="00DC1ADB" w:rsidRPr="00DC1ADB">
        <w:rPr>
          <w:b/>
          <w:bCs/>
          <w:sz w:val="52"/>
          <w:szCs w:val="52"/>
        </w:rPr>
        <w:t>S</w:t>
      </w:r>
      <w:r w:rsidR="0071038D" w:rsidRPr="00DC1ADB">
        <w:rPr>
          <w:b/>
          <w:bCs/>
          <w:sz w:val="52"/>
          <w:szCs w:val="52"/>
        </w:rPr>
        <w:t xml:space="preserve">eroprevalence in </w:t>
      </w:r>
      <w:r w:rsidR="00333BA8" w:rsidRPr="00DC1ADB">
        <w:rPr>
          <w:b/>
          <w:bCs/>
          <w:sz w:val="52"/>
          <w:szCs w:val="52"/>
        </w:rPr>
        <w:t>Yaounde, Cameroon</w:t>
      </w:r>
    </w:p>
    <w:bookmarkEnd w:id="0"/>
    <w:bookmarkEnd w:id="1"/>
    <w:bookmarkEnd w:id="2"/>
    <w:bookmarkEnd w:id="3"/>
    <w:p w14:paraId="608CA783" w14:textId="5FFF3B22" w:rsidR="00B04609" w:rsidRDefault="1AC11BDA" w:rsidP="00DC1ADB">
      <w:pPr>
        <w:rPr>
          <w:vertAlign w:val="superscript"/>
        </w:rPr>
      </w:pPr>
      <w:r w:rsidRPr="1AC11BDA">
        <w:t>Joshua Longbottom MSc†,</w:t>
      </w:r>
      <w:r w:rsidRPr="1AC11BDA">
        <w:rPr>
          <w:vertAlign w:val="superscript"/>
        </w:rPr>
        <w:t>1, 2, 3</w:t>
      </w:r>
      <w:r w:rsidRPr="1AC11BDA">
        <w:t xml:space="preserve"> Freya M. Shearer BSc,</w:t>
      </w:r>
      <w:r w:rsidRPr="1AC11BDA">
        <w:rPr>
          <w:vertAlign w:val="superscript"/>
        </w:rPr>
        <w:t>1</w:t>
      </w:r>
      <w:r w:rsidRPr="1AC11BDA">
        <w:t xml:space="preserve"> Maria Devine MSc,</w:t>
      </w:r>
      <w:r w:rsidRPr="1AC11BDA">
        <w:rPr>
          <w:vertAlign w:val="superscript"/>
        </w:rPr>
        <w:t>1</w:t>
      </w:r>
      <w:r w:rsidRPr="1AC11BDA">
        <w:t xml:space="preserve"> Gabriel </w:t>
      </w:r>
      <w:proofErr w:type="spellStart"/>
      <w:r w:rsidRPr="1AC11BDA">
        <w:t>Alcoba</w:t>
      </w:r>
      <w:proofErr w:type="spellEnd"/>
      <w:r w:rsidRPr="1AC11BDA">
        <w:t xml:space="preserve"> MD MPH,</w:t>
      </w:r>
      <w:r w:rsidRPr="1AC11BDA">
        <w:rPr>
          <w:vertAlign w:val="superscript"/>
        </w:rPr>
        <w:t>4</w:t>
      </w:r>
      <w:r w:rsidRPr="1AC11BDA">
        <w:t xml:space="preserve"> Francois </w:t>
      </w:r>
      <w:proofErr w:type="spellStart"/>
      <w:r w:rsidRPr="1AC11BDA">
        <w:t>Chappuis</w:t>
      </w:r>
      <w:proofErr w:type="spellEnd"/>
      <w:r w:rsidRPr="1AC11BDA">
        <w:t xml:space="preserve"> MD PhD,</w:t>
      </w:r>
      <w:r w:rsidRPr="1AC11BDA">
        <w:rPr>
          <w:vertAlign w:val="superscript"/>
        </w:rPr>
        <w:t>4</w:t>
      </w:r>
      <w:r w:rsidRPr="1AC11BDA">
        <w:t xml:space="preserve"> Daniel J. Weiss PhD,</w:t>
      </w:r>
      <w:r w:rsidRPr="1AC11BDA">
        <w:rPr>
          <w:vertAlign w:val="superscript"/>
        </w:rPr>
        <w:t>1</w:t>
      </w:r>
      <w:r w:rsidRPr="1AC11BDA">
        <w:t xml:space="preserve"> Sarah E. Ray</w:t>
      </w:r>
      <w:r w:rsidR="00093287">
        <w:t xml:space="preserve"> B.S.</w:t>
      </w:r>
      <w:r w:rsidRPr="1AC11BDA">
        <w:t>,</w:t>
      </w:r>
      <w:r w:rsidRPr="1AC11BDA">
        <w:rPr>
          <w:vertAlign w:val="superscript"/>
        </w:rPr>
        <w:t>5</w:t>
      </w:r>
      <w:r w:rsidRPr="1AC11BDA">
        <w:t xml:space="preserve"> Nicolas Ray PhD,</w:t>
      </w:r>
      <w:r w:rsidRPr="1AC11BDA">
        <w:rPr>
          <w:vertAlign w:val="superscript"/>
        </w:rPr>
        <w:t>6</w:t>
      </w:r>
      <w:r w:rsidRPr="1AC11BDA">
        <w:t xml:space="preserve"> David A. </w:t>
      </w:r>
      <w:proofErr w:type="spellStart"/>
      <w:r w:rsidRPr="1AC11BDA">
        <w:t>Warrell</w:t>
      </w:r>
      <w:proofErr w:type="spellEnd"/>
      <w:r w:rsidRPr="1AC11BDA">
        <w:t xml:space="preserve"> FMedSci,</w:t>
      </w:r>
      <w:r w:rsidRPr="1AC11BDA">
        <w:rPr>
          <w:vertAlign w:val="superscript"/>
        </w:rPr>
        <w:t>7</w:t>
      </w:r>
      <w:r w:rsidRPr="1AC11BDA">
        <w:t xml:space="preserve"> Rafael Ruiz</w:t>
      </w:r>
      <w:r w:rsidR="00AD3248">
        <w:t xml:space="preserve"> </w:t>
      </w:r>
      <w:r w:rsidRPr="1AC11BDA">
        <w:t xml:space="preserve">de </w:t>
      </w:r>
      <w:proofErr w:type="spellStart"/>
      <w:r w:rsidRPr="1AC11BDA">
        <w:t>Castañeda</w:t>
      </w:r>
      <w:proofErr w:type="spellEnd"/>
      <w:r w:rsidRPr="1AC11BDA">
        <w:t xml:space="preserve"> PhD,</w:t>
      </w:r>
      <w:r w:rsidRPr="1AC11BDA">
        <w:rPr>
          <w:vertAlign w:val="superscript"/>
        </w:rPr>
        <w:t>8</w:t>
      </w:r>
      <w:r w:rsidRPr="1AC11BDA">
        <w:t xml:space="preserve"> David J. Williams PhD,</w:t>
      </w:r>
      <w:r w:rsidRPr="1AC11BDA">
        <w:rPr>
          <w:vertAlign w:val="superscript"/>
        </w:rPr>
        <w:t>9</w:t>
      </w:r>
      <w:r w:rsidRPr="1AC11BDA">
        <w:t xml:space="preserve"> Simon I. Hay DSc†,</w:t>
      </w:r>
      <w:r w:rsidRPr="1AC11BDA">
        <w:rPr>
          <w:vertAlign w:val="superscript"/>
        </w:rPr>
        <w:t>1,5</w:t>
      </w:r>
      <w:r w:rsidRPr="1AC11BDA">
        <w:t xml:space="preserve"> David M. Pigott DPhil</w:t>
      </w:r>
      <w:r w:rsidRPr="1AC11BDA">
        <w:rPr>
          <w:vertAlign w:val="superscript"/>
        </w:rPr>
        <w:t>5</w:t>
      </w:r>
    </w:p>
    <w:p w14:paraId="5E2E7963" w14:textId="77777777" w:rsidR="00B04609" w:rsidRDefault="00B04609" w:rsidP="00DC1ADB"/>
    <w:p w14:paraId="569E1204" w14:textId="764B0926" w:rsidR="00B04609" w:rsidRDefault="1AC11BDA" w:rsidP="00DC1ADB">
      <w:r w:rsidRPr="1AC11BDA">
        <w:rPr>
          <w:vertAlign w:val="superscript"/>
        </w:rPr>
        <w:t>1</w:t>
      </w:r>
      <w:r w:rsidRPr="1AC11BDA">
        <w:t>Big Data Institute, Li Ka Shing Centre for Health Information and Discovery, University of Oxford, Oxford, UK</w:t>
      </w:r>
    </w:p>
    <w:p w14:paraId="37AADC2F" w14:textId="49737B57" w:rsidR="008E2A06" w:rsidRDefault="1AC11BDA" w:rsidP="00DC1ADB">
      <w:r w:rsidRPr="1AC11BDA">
        <w:rPr>
          <w:vertAlign w:val="superscript"/>
        </w:rPr>
        <w:t>2</w:t>
      </w:r>
      <w:r w:rsidRPr="1AC11BDA">
        <w:t>Centre for Health Informatics, Computing and Statistics, Lancaster Medical School, Lancaster University, Lancaster, UK</w:t>
      </w:r>
    </w:p>
    <w:p w14:paraId="6E4FA746" w14:textId="394BB642" w:rsidR="008E2A06" w:rsidRDefault="1AC11BDA" w:rsidP="00DC1ADB">
      <w:r w:rsidRPr="1AC11BDA">
        <w:rPr>
          <w:vertAlign w:val="superscript"/>
        </w:rPr>
        <w:t>3</w:t>
      </w:r>
      <w:r w:rsidRPr="1AC11BDA">
        <w:t>Department of Vector Biology, Liverpool School of Tropical Medicine, Liverpool, UK</w:t>
      </w:r>
    </w:p>
    <w:p w14:paraId="0DB2C877" w14:textId="74348957" w:rsidR="005704EA" w:rsidRDefault="1AC11BDA" w:rsidP="00DC1ADB">
      <w:r w:rsidRPr="1AC11BDA">
        <w:rPr>
          <w:vertAlign w:val="superscript"/>
        </w:rPr>
        <w:t>4</w:t>
      </w:r>
      <w:r w:rsidRPr="1AC11BDA">
        <w:t xml:space="preserve">University Hospitals of Geneva (HUG) and Médecins Sans </w:t>
      </w:r>
      <w:proofErr w:type="spellStart"/>
      <w:r w:rsidRPr="1AC11BDA">
        <w:t>Frontières</w:t>
      </w:r>
      <w:proofErr w:type="spellEnd"/>
      <w:r w:rsidRPr="1AC11BDA">
        <w:t xml:space="preserve"> (MSF), Switzerland</w:t>
      </w:r>
    </w:p>
    <w:p w14:paraId="5ACADDF5" w14:textId="0C36155B" w:rsidR="00411356" w:rsidRDefault="1AC11BDA" w:rsidP="00DC1ADB">
      <w:r w:rsidRPr="1AC11BDA">
        <w:rPr>
          <w:vertAlign w:val="superscript"/>
        </w:rPr>
        <w:t>5</w:t>
      </w:r>
      <w:r w:rsidRPr="1AC11BDA">
        <w:t xml:space="preserve">Institute for Health Metrics and Evaluation, University of Washington, Seattle, </w:t>
      </w:r>
      <w:r w:rsidR="00E90A45">
        <w:t xml:space="preserve">WA, </w:t>
      </w:r>
      <w:r w:rsidRPr="1AC11BDA">
        <w:t>USA</w:t>
      </w:r>
    </w:p>
    <w:p w14:paraId="7492387A" w14:textId="5348C75B" w:rsidR="007F2454" w:rsidRDefault="1AC11BDA" w:rsidP="00DC1ADB">
      <w:r w:rsidRPr="1AC11BDA">
        <w:rPr>
          <w:vertAlign w:val="superscript"/>
        </w:rPr>
        <w:t>6</w:t>
      </w:r>
      <w:r w:rsidRPr="1AC11BDA">
        <w:t>EnviroSPACE Lab, Institute for Environmental Sciences, University of Geneva, Geneva, Switzerland</w:t>
      </w:r>
    </w:p>
    <w:p w14:paraId="438C4A8D" w14:textId="1226A6FC" w:rsidR="00C3295A" w:rsidRDefault="1AC11BDA" w:rsidP="00DC1ADB">
      <w:r w:rsidRPr="1AC11BDA">
        <w:rPr>
          <w:vertAlign w:val="superscript"/>
        </w:rPr>
        <w:t>7</w:t>
      </w:r>
      <w:r w:rsidRPr="1AC11BDA">
        <w:t>Nuffield Department of Clinical Medicine, University of Oxford, Oxford, UK</w:t>
      </w:r>
    </w:p>
    <w:p w14:paraId="4D262450" w14:textId="25D01DC6" w:rsidR="00757ABF" w:rsidRDefault="1AC11BDA" w:rsidP="00DC1ADB">
      <w:r w:rsidRPr="1AC11BDA">
        <w:rPr>
          <w:vertAlign w:val="superscript"/>
        </w:rPr>
        <w:t>8</w:t>
      </w:r>
      <w:r w:rsidRPr="1AC11BDA">
        <w:t>Institute of Global Health, Faculty of Medicine, University of Geneva, Geneva, Switzerland</w:t>
      </w:r>
    </w:p>
    <w:p w14:paraId="2DA948F3" w14:textId="1BCEFCD8" w:rsidR="5D3CFA8E" w:rsidRDefault="1AC11BDA" w:rsidP="00DC1ADB">
      <w:r w:rsidRPr="1AC11BDA">
        <w:rPr>
          <w:vertAlign w:val="superscript"/>
        </w:rPr>
        <w:t>9</w:t>
      </w:r>
      <w:r w:rsidRPr="1AC11BDA">
        <w:t>Australian Venom Research Unit, Department of Pharmacology and Therapeutics, University of Melbourne</w:t>
      </w:r>
      <w:r w:rsidR="00E90A45">
        <w:t>, Melbourne, VIC, Australia</w:t>
      </w:r>
    </w:p>
    <w:p w14:paraId="4D5FAD88" w14:textId="77777777" w:rsidR="00E034D1" w:rsidRDefault="00E034D1" w:rsidP="00DC1ADB"/>
    <w:p w14:paraId="37E237E2" w14:textId="53509022" w:rsidR="00B04609" w:rsidRDefault="1AC11BDA" w:rsidP="00DC1ADB">
      <w:r w:rsidRPr="1AC11BDA">
        <w:t>†Corresponding authors:</w:t>
      </w:r>
    </w:p>
    <w:p w14:paraId="4C212332" w14:textId="5F871576" w:rsidR="6F947877" w:rsidRDefault="1AC11BDA" w:rsidP="00DC1ADB">
      <w:pPr>
        <w:rPr>
          <w:lang w:val="en-US"/>
        </w:rPr>
      </w:pPr>
      <w:r w:rsidRPr="1AC11BDA">
        <w:rPr>
          <w:lang w:val="en-US"/>
        </w:rPr>
        <w:t>Simon I Hay</w:t>
      </w:r>
    </w:p>
    <w:p w14:paraId="27F19D65" w14:textId="606AF044" w:rsidR="6F947877" w:rsidRDefault="1AC11BDA" w:rsidP="00DC1ADB">
      <w:pPr>
        <w:rPr>
          <w:lang w:val="en-US"/>
        </w:rPr>
      </w:pPr>
      <w:r w:rsidRPr="1AC11BDA">
        <w:rPr>
          <w:lang w:val="en-US"/>
        </w:rPr>
        <w:t>Director of Geospatial Science</w:t>
      </w:r>
    </w:p>
    <w:p w14:paraId="0A299008" w14:textId="2C191495" w:rsidR="6F947877" w:rsidRDefault="1AC11BDA" w:rsidP="00DC1ADB">
      <w:pPr>
        <w:rPr>
          <w:lang w:val="en-US"/>
        </w:rPr>
      </w:pPr>
      <w:r w:rsidRPr="1AC11BDA">
        <w:rPr>
          <w:lang w:val="en-US"/>
        </w:rPr>
        <w:t>Professor of Global Health</w:t>
      </w:r>
    </w:p>
    <w:p w14:paraId="320AE711" w14:textId="0ABCB8A9" w:rsidR="6F947877" w:rsidRDefault="1AC11BDA" w:rsidP="00DC1ADB">
      <w:pPr>
        <w:rPr>
          <w:lang w:val="en-US"/>
        </w:rPr>
      </w:pPr>
      <w:r w:rsidRPr="1AC11BDA">
        <w:rPr>
          <w:lang w:val="en-US"/>
        </w:rPr>
        <w:t>Institute for Health Metrics and Evaluation</w:t>
      </w:r>
    </w:p>
    <w:p w14:paraId="5E11FFE7" w14:textId="692FE23A" w:rsidR="6F947877" w:rsidRDefault="1AC11BDA" w:rsidP="00DC1ADB">
      <w:pPr>
        <w:rPr>
          <w:lang w:val="en-US"/>
        </w:rPr>
      </w:pPr>
      <w:r w:rsidRPr="1AC11BDA">
        <w:rPr>
          <w:lang w:val="en-US"/>
        </w:rPr>
        <w:t>University of Washington, 23</w:t>
      </w:r>
      <w:r w:rsidR="0000774E">
        <w:rPr>
          <w:lang w:val="en-US"/>
        </w:rPr>
        <w:t>01</w:t>
      </w:r>
      <w:r w:rsidRPr="1AC11BDA">
        <w:rPr>
          <w:lang w:val="en-US"/>
        </w:rPr>
        <w:t xml:space="preserve"> 5th Ave Suite 600</w:t>
      </w:r>
    </w:p>
    <w:p w14:paraId="4BCDB5A2" w14:textId="7257638F" w:rsidR="6F947877" w:rsidRDefault="1AC11BDA" w:rsidP="00DC1ADB">
      <w:pPr>
        <w:rPr>
          <w:lang w:val="en-US"/>
        </w:rPr>
      </w:pPr>
      <w:r w:rsidRPr="1AC11BDA">
        <w:rPr>
          <w:lang w:val="en-US"/>
        </w:rPr>
        <w:t>Seattle, WA 98121</w:t>
      </w:r>
    </w:p>
    <w:p w14:paraId="306DC7B0" w14:textId="3A4D5163" w:rsidR="6F947877" w:rsidRDefault="1AC11BDA" w:rsidP="00DC1ADB">
      <w:pPr>
        <w:rPr>
          <w:lang w:val="en-US"/>
        </w:rPr>
      </w:pPr>
      <w:r w:rsidRPr="1AC11BDA">
        <w:rPr>
          <w:lang w:val="en-US"/>
        </w:rPr>
        <w:t>USA</w:t>
      </w:r>
    </w:p>
    <w:p w14:paraId="789498F7" w14:textId="721E084D" w:rsidR="6F947877" w:rsidRDefault="1AC11BDA" w:rsidP="00DC1ADB">
      <w:pPr>
        <w:rPr>
          <w:lang w:val="en-US"/>
        </w:rPr>
      </w:pPr>
      <w:r w:rsidRPr="1AC11BDA">
        <w:rPr>
          <w:lang w:val="en-US"/>
        </w:rPr>
        <w:t>Phone: +1-206-897-2800</w:t>
      </w:r>
    </w:p>
    <w:p w14:paraId="6B2A13BA" w14:textId="59AD1A21" w:rsidR="6F947877" w:rsidRDefault="1AC11BDA" w:rsidP="00DC1ADB">
      <w:r w:rsidRPr="1AC11BDA">
        <w:rPr>
          <w:lang w:val="en-US"/>
        </w:rPr>
        <w:t>Fax: +1-206-897-2899</w:t>
      </w:r>
    </w:p>
    <w:p w14:paraId="3CAF1853" w14:textId="24E91129" w:rsidR="6F947877" w:rsidRDefault="1AC11BDA" w:rsidP="00DC1ADB">
      <w:pPr>
        <w:rPr>
          <w:color w:val="0563C1"/>
          <w:u w:val="single"/>
        </w:rPr>
      </w:pPr>
      <w:r w:rsidRPr="1AC11BDA">
        <w:rPr>
          <w:lang w:val="en-US"/>
        </w:rPr>
        <w:t>Email:</w:t>
      </w:r>
      <w:r w:rsidRPr="1AC11BDA">
        <w:rPr>
          <w:color w:val="0563C1"/>
          <w:u w:val="single"/>
          <w:lang w:val="en-US"/>
        </w:rPr>
        <w:t xml:space="preserve"> </w:t>
      </w:r>
      <w:hyperlink r:id="rId8">
        <w:r w:rsidRPr="1AC11BDA">
          <w:rPr>
            <w:color w:val="0563C1"/>
            <w:u w:val="single"/>
            <w:lang w:val="en-US"/>
          </w:rPr>
          <w:t>sihay@uw.edu</w:t>
        </w:r>
      </w:hyperlink>
    </w:p>
    <w:p w14:paraId="4CD3763B" w14:textId="09B10BE8" w:rsidR="6F947877" w:rsidRDefault="6F947877" w:rsidP="00DC1ADB"/>
    <w:p w14:paraId="434CB3C9" w14:textId="77777777" w:rsidR="00B04609" w:rsidRDefault="1AC11BDA" w:rsidP="00DC1ADB">
      <w:r w:rsidRPr="1AC11BDA">
        <w:t>Joshua Longbottom</w:t>
      </w:r>
    </w:p>
    <w:p w14:paraId="474E67D3" w14:textId="77777777" w:rsidR="00CF71BF" w:rsidRDefault="00CF71BF" w:rsidP="00DC1ADB">
      <w:r w:rsidRPr="00CF71BF">
        <w:t xml:space="preserve">Department of Vector Biology, </w:t>
      </w:r>
    </w:p>
    <w:p w14:paraId="5E679A75" w14:textId="77777777" w:rsidR="00CF71BF" w:rsidRDefault="00CF71BF" w:rsidP="00DC1ADB">
      <w:r w:rsidRPr="00CF71BF">
        <w:t xml:space="preserve">Liverpool School of Tropical Medicine, </w:t>
      </w:r>
    </w:p>
    <w:p w14:paraId="0C7033AD" w14:textId="2F00FE78" w:rsidR="00B04609" w:rsidRDefault="00CF71BF" w:rsidP="00DC1ADB">
      <w:r>
        <w:t xml:space="preserve">Liverpool, </w:t>
      </w:r>
      <w:r w:rsidRPr="00CF71BF">
        <w:t>L3 5QA</w:t>
      </w:r>
      <w:r w:rsidR="1AC11BDA" w:rsidRPr="1AC11BDA">
        <w:t>UK</w:t>
      </w:r>
    </w:p>
    <w:p w14:paraId="7FBB1539" w14:textId="06AF2753" w:rsidR="00B04609" w:rsidRDefault="1AC11BDA" w:rsidP="00DC1ADB">
      <w:pPr>
        <w:rPr>
          <w:rStyle w:val="Hyperlink"/>
        </w:rPr>
      </w:pPr>
      <w:r w:rsidRPr="1AC11BDA">
        <w:t xml:space="preserve">Email: </w:t>
      </w:r>
      <w:hyperlink r:id="rId9">
        <w:r w:rsidRPr="1AC11BDA">
          <w:rPr>
            <w:rStyle w:val="Hyperlink"/>
          </w:rPr>
          <w:t>joshua.longbottom@gmail.com</w:t>
        </w:r>
      </w:hyperlink>
    </w:p>
    <w:p w14:paraId="0884523A" w14:textId="77777777" w:rsidR="002B76E9" w:rsidRDefault="002B76E9" w:rsidP="00DC1ADB"/>
    <w:p w14:paraId="15567439" w14:textId="62B1A1A2" w:rsidR="002B76E9" w:rsidRDefault="002B76E9" w:rsidP="00DC1ADB">
      <w:r>
        <w:t>Main text word count:</w:t>
      </w:r>
      <w:r w:rsidR="00621814">
        <w:t xml:space="preserve"> 3483</w:t>
      </w:r>
    </w:p>
    <w:p w14:paraId="0ACD76AF" w14:textId="529EF425" w:rsidR="00025752" w:rsidRDefault="002B76E9" w:rsidP="00DC1ADB">
      <w:r>
        <w:t>Abstract word count:</w:t>
      </w:r>
      <w:r w:rsidR="00621814">
        <w:t xml:space="preserve"> 312</w:t>
      </w:r>
    </w:p>
    <w:p w14:paraId="58E49EB9" w14:textId="7CC1C373" w:rsidR="00B04609" w:rsidRPr="00FF7689" w:rsidRDefault="008C5B75" w:rsidP="00DC1ADB">
      <w:pPr>
        <w:pStyle w:val="Heading1"/>
      </w:pPr>
      <w:bookmarkStart w:id="6" w:name="_mcr3vzcf8628" w:colFirst="0" w:colLast="0"/>
      <w:bookmarkStart w:id="7" w:name="OLE_LINK127"/>
      <w:bookmarkStart w:id="8" w:name="OLE_LINK128"/>
      <w:bookmarkEnd w:id="6"/>
      <w:r>
        <w:lastRenderedPageBreak/>
        <w:t>Summary</w:t>
      </w:r>
    </w:p>
    <w:p w14:paraId="44396EC7" w14:textId="77777777" w:rsidR="00B04609" w:rsidRPr="00FF7689" w:rsidRDefault="1AC11BDA" w:rsidP="00DC1ADB">
      <w:pPr>
        <w:pStyle w:val="Heading2"/>
      </w:pPr>
      <w:bookmarkStart w:id="9" w:name="_rak13zu5xit6" w:colFirst="0" w:colLast="0"/>
      <w:bookmarkEnd w:id="9"/>
      <w:r w:rsidRPr="1AC11BDA">
        <w:t>Background</w:t>
      </w:r>
    </w:p>
    <w:p w14:paraId="0DD393A6" w14:textId="26F1CD33" w:rsidR="00B37072" w:rsidRDefault="00472622" w:rsidP="00DC1ADB">
      <w:r>
        <w:t xml:space="preserve">The </w:t>
      </w:r>
      <w:r w:rsidR="00122DFE">
        <w:t xml:space="preserve">degree of </w:t>
      </w:r>
      <w:r w:rsidR="00CC4FF6">
        <w:t xml:space="preserve">spread </w:t>
      </w:r>
      <w:r w:rsidR="00C53938">
        <w:t xml:space="preserve">of </w:t>
      </w:r>
      <w:r w:rsidR="00122DFE" w:rsidRPr="00122DFE">
        <w:t>severe acute respiratory syndrome coronavirus-2 (SARS-CoV-2)</w:t>
      </w:r>
      <w:r w:rsidR="00122DFE">
        <w:t xml:space="preserve"> </w:t>
      </w:r>
      <w:r w:rsidR="00C53938">
        <w:t>SARS-CoV-2 in</w:t>
      </w:r>
      <w:r w:rsidR="00606A95">
        <w:t xml:space="preserve"> many</w:t>
      </w:r>
      <w:r w:rsidR="00C53938">
        <w:t xml:space="preserve"> African countries </w:t>
      </w:r>
      <w:r w:rsidR="00606A95">
        <w:t>is</w:t>
      </w:r>
      <w:r w:rsidR="00930476">
        <w:t xml:space="preserve"> not</w:t>
      </w:r>
      <w:r w:rsidR="006A4214">
        <w:t xml:space="preserve"> well understood</w:t>
      </w:r>
      <w:r w:rsidR="00122DFE">
        <w:t xml:space="preserve">. </w:t>
      </w:r>
      <w:r w:rsidR="00C53938">
        <w:t xml:space="preserve">Experience elsewhere suggests that </w:t>
      </w:r>
      <w:r w:rsidR="006F74D1">
        <w:t xml:space="preserve">official PCR case counts </w:t>
      </w:r>
      <w:r w:rsidR="00580A66">
        <w:t>underestimate</w:t>
      </w:r>
      <w:r w:rsidR="00960D40">
        <w:t xml:space="preserve"> severalfold</w:t>
      </w:r>
      <w:r w:rsidR="00580A66">
        <w:t xml:space="preserve"> </w:t>
      </w:r>
      <w:r w:rsidR="00960D40">
        <w:t xml:space="preserve">the </w:t>
      </w:r>
      <w:r w:rsidR="00016595">
        <w:t xml:space="preserve">true extent of </w:t>
      </w:r>
      <w:r w:rsidR="00F14B0F">
        <w:t>community infection</w:t>
      </w:r>
      <w:r w:rsidR="00960D40">
        <w:t xml:space="preserve">. </w:t>
      </w:r>
    </w:p>
    <w:p w14:paraId="0F9A23B6" w14:textId="77777777" w:rsidR="00B04609" w:rsidRPr="00FF7689" w:rsidRDefault="1AC11BDA" w:rsidP="00DC1ADB">
      <w:pPr>
        <w:pStyle w:val="Heading2"/>
      </w:pPr>
      <w:bookmarkStart w:id="10" w:name="_pnb936uis09c" w:colFirst="0" w:colLast="0"/>
      <w:bookmarkEnd w:id="10"/>
      <w:r w:rsidRPr="1AC11BDA">
        <w:t>Methods</w:t>
      </w:r>
    </w:p>
    <w:p w14:paraId="720E2A37" w14:textId="7CBC7701" w:rsidR="00B04609" w:rsidRPr="005F051B" w:rsidRDefault="005F51E3" w:rsidP="00DC1ADB">
      <w:pPr>
        <w:rPr>
          <w:lang w:val="en-CH"/>
        </w:rPr>
      </w:pPr>
      <w:bookmarkStart w:id="11" w:name="_f1lt0f9bvwmy" w:colFirst="0" w:colLast="0"/>
      <w:bookmarkEnd w:id="11"/>
      <w:r>
        <w:t xml:space="preserve">In this cross-sectional community survey, </w:t>
      </w:r>
      <w:r w:rsidR="006079EC">
        <w:t xml:space="preserve">households were the primary sampling unit, and their residences were randomly </w:t>
      </w:r>
      <w:r w:rsidR="005F0D01">
        <w:t xml:space="preserve">selected </w:t>
      </w:r>
      <w:r w:rsidR="006079EC">
        <w:t xml:space="preserve">from an Open </w:t>
      </w:r>
      <w:r>
        <w:t>Street Map building footprint</w:t>
      </w:r>
      <w:r w:rsidR="006079EC">
        <w:t xml:space="preserve">. </w:t>
      </w:r>
      <w:proofErr w:type="spellStart"/>
      <w:r w:rsidR="007D6775">
        <w:t>Fingerprick</w:t>
      </w:r>
      <w:proofErr w:type="spellEnd"/>
      <w:r w:rsidR="007D6775">
        <w:t xml:space="preserve"> blood samples were taken from a</w:t>
      </w:r>
      <w:r w:rsidR="006C70F5">
        <w:t>dults and children</w:t>
      </w:r>
      <w:r w:rsidR="00945F36">
        <w:t xml:space="preserve"> above 5</w:t>
      </w:r>
      <w:r w:rsidR="00C25F19">
        <w:t xml:space="preserve"> </w:t>
      </w:r>
      <w:r w:rsidR="007D6775">
        <w:t xml:space="preserve">and </w:t>
      </w:r>
      <w:r w:rsidR="00C25F19">
        <w:t xml:space="preserve">tested for antibodies against </w:t>
      </w:r>
      <w:r w:rsidR="006079EC">
        <w:t>SARS-CoV-2</w:t>
      </w:r>
      <w:r w:rsidR="00E56B17">
        <w:t xml:space="preserve"> </w:t>
      </w:r>
      <w:r w:rsidR="00C25F19">
        <w:t xml:space="preserve">using the Abbott IgG/IgM </w:t>
      </w:r>
      <w:proofErr w:type="spellStart"/>
      <w:r w:rsidR="00C25F19">
        <w:t>PanBio</w:t>
      </w:r>
      <w:proofErr w:type="spellEnd"/>
      <w:r w:rsidR="00C25F19">
        <w:t xml:space="preserve"> test</w:t>
      </w:r>
      <w:r w:rsidR="007D6775">
        <w:t>, a lateral-flow point-of-care test that</w:t>
      </w:r>
      <w:r w:rsidR="009F7347">
        <w:t xml:space="preserve"> detects IgG and IgM </w:t>
      </w:r>
      <w:r w:rsidR="00C27DD3">
        <w:t>isotypes</w:t>
      </w:r>
      <w:r w:rsidR="00BE3AD0">
        <w:t xml:space="preserve"> that bind to the </w:t>
      </w:r>
      <w:r w:rsidR="001218FE" w:rsidRPr="001218FE">
        <w:rPr>
          <w:lang w:val="en-CH"/>
        </w:rPr>
        <w:t>SARS-CoV-2 nucleoprotein</w:t>
      </w:r>
      <w:r w:rsidR="001218FE">
        <w:rPr>
          <w:lang w:val="en-US"/>
        </w:rPr>
        <w:t xml:space="preserve">. </w:t>
      </w:r>
      <w:r w:rsidR="006079EC">
        <w:t xml:space="preserve">We also administered questionnaires assessing sociodemographic information from the residents.  </w:t>
      </w:r>
      <w:r w:rsidR="00722A89">
        <w:t xml:space="preserve"> </w:t>
      </w:r>
    </w:p>
    <w:p w14:paraId="58C46B08" w14:textId="44B1A64D" w:rsidR="00B04609" w:rsidRPr="00FF7689" w:rsidRDefault="1AC11BDA" w:rsidP="005F051B">
      <w:pPr>
        <w:pStyle w:val="Heading2"/>
      </w:pPr>
      <w:r w:rsidRPr="1AC11BDA">
        <w:t>Findings</w:t>
      </w:r>
    </w:p>
    <w:p w14:paraId="07D3B1CD" w14:textId="77777777" w:rsidR="004C5D6A" w:rsidRDefault="004C5D6A" w:rsidP="00DC1ADB">
      <w:pPr>
        <w:pStyle w:val="Heading2"/>
      </w:pPr>
      <w:bookmarkStart w:id="12" w:name="_pqesc19fqo" w:colFirst="0" w:colLast="0"/>
      <w:bookmarkEnd w:id="12"/>
    </w:p>
    <w:p w14:paraId="6452A383" w14:textId="51B0D477" w:rsidR="00B04609" w:rsidRPr="00FF7689" w:rsidRDefault="1AC11BDA" w:rsidP="00DC1ADB">
      <w:pPr>
        <w:pStyle w:val="Heading2"/>
      </w:pPr>
      <w:r w:rsidRPr="1AC11BDA">
        <w:t>Interpretation</w:t>
      </w:r>
    </w:p>
    <w:p w14:paraId="1EB96795" w14:textId="77777777" w:rsidR="00B20132" w:rsidRDefault="0010027A" w:rsidP="00DC1ADB">
      <w:r>
        <w:t xml:space="preserve">The number of </w:t>
      </w:r>
      <w:r w:rsidR="00912964">
        <w:t xml:space="preserve">individuals </w:t>
      </w:r>
      <w:r w:rsidR="00A95BB9">
        <w:t xml:space="preserve">in the Cité Verte population </w:t>
      </w:r>
      <w:r w:rsidR="00912964">
        <w:t xml:space="preserve">who </w:t>
      </w:r>
      <w:r w:rsidR="009C18DB">
        <w:t xml:space="preserve">have been </w:t>
      </w:r>
      <w:r w:rsidR="00B20132">
        <w:t xml:space="preserve">challenged with SARS-CoV-2 infection is order of magnitude greater than the official case count. </w:t>
      </w:r>
    </w:p>
    <w:p w14:paraId="5854F920" w14:textId="77777777" w:rsidR="00B20132" w:rsidRDefault="00B20132" w:rsidP="00DC1ADB"/>
    <w:p w14:paraId="0745F784" w14:textId="6AD55DA3" w:rsidR="0081084D" w:rsidRDefault="00B20132" w:rsidP="00DC1ADB">
      <w:r>
        <w:t xml:space="preserve">However, a </w:t>
      </w:r>
      <w:r w:rsidR="007D683C">
        <w:t>substantial population remains unexposed</w:t>
      </w:r>
      <w:r w:rsidR="00A60408">
        <w:t>...</w:t>
      </w:r>
    </w:p>
    <w:bookmarkEnd w:id="7"/>
    <w:bookmarkEnd w:id="8"/>
    <w:p w14:paraId="41B14815" w14:textId="77777777" w:rsidR="00106C19" w:rsidRPr="00E73B06" w:rsidRDefault="00106C19" w:rsidP="00DC1ADB"/>
    <w:p w14:paraId="6EEBBDCD" w14:textId="77777777" w:rsidR="00B04609" w:rsidRPr="00FF7689" w:rsidRDefault="1AC11BDA" w:rsidP="00DC1ADB">
      <w:pPr>
        <w:pStyle w:val="Heading2"/>
      </w:pPr>
      <w:r w:rsidRPr="1AC11BDA">
        <w:t>Funding</w:t>
      </w:r>
    </w:p>
    <w:p w14:paraId="2B4E17E2" w14:textId="02A50767" w:rsidR="00DC1ADB" w:rsidRDefault="0072107C" w:rsidP="00DC1ADB">
      <w:bookmarkStart w:id="13" w:name="_xernmnk24e6e" w:colFirst="0" w:colLast="0"/>
      <w:bookmarkEnd w:id="13"/>
      <w:r>
        <w:t>GIZ</w:t>
      </w:r>
    </w:p>
    <w:p w14:paraId="1AC26F85" w14:textId="44E414DD" w:rsidR="00DD630B" w:rsidRPr="00DC1ADB" w:rsidRDefault="00DC1ADB" w:rsidP="00DC1ADB">
      <w:pPr>
        <w:spacing w:after="160"/>
      </w:pPr>
      <w:r>
        <w:br w:type="page"/>
      </w:r>
    </w:p>
    <w:p w14:paraId="424DB8AF" w14:textId="63400D60" w:rsidR="00B04609" w:rsidRPr="007B396A" w:rsidRDefault="1AC11BDA" w:rsidP="00DC1ADB">
      <w:pPr>
        <w:pStyle w:val="Heading1"/>
      </w:pPr>
      <w:r w:rsidRPr="1AC11BDA">
        <w:lastRenderedPageBreak/>
        <w:t>Research in context</w:t>
      </w:r>
    </w:p>
    <w:p w14:paraId="2209E67D" w14:textId="79AE7C9C" w:rsidR="00B04609" w:rsidRPr="007B396A" w:rsidRDefault="1AC11BDA" w:rsidP="00DC1ADB">
      <w:pPr>
        <w:pStyle w:val="Heading2"/>
      </w:pPr>
      <w:bookmarkStart w:id="14" w:name="_oj5la67npi84" w:colFirst="0" w:colLast="0"/>
      <w:bookmarkEnd w:id="14"/>
      <w:r w:rsidRPr="1AC11BDA">
        <w:t>Evidence before this study</w:t>
      </w:r>
    </w:p>
    <w:p w14:paraId="16193B48" w14:textId="6E87642A" w:rsidR="0072107C" w:rsidRDefault="0072107C" w:rsidP="00DC1ADB">
      <w:bookmarkStart w:id="15" w:name="OLE_LINK148"/>
      <w:bookmarkStart w:id="16" w:name="OLE_LINK149"/>
    </w:p>
    <w:p w14:paraId="1F4143DC" w14:textId="77777777" w:rsidR="00150181" w:rsidRPr="007B396A" w:rsidRDefault="1AC11BDA" w:rsidP="00DC1ADB">
      <w:pPr>
        <w:pStyle w:val="Heading2"/>
      </w:pPr>
      <w:bookmarkStart w:id="17" w:name="_2ev418c32gz4" w:colFirst="0" w:colLast="0"/>
      <w:bookmarkEnd w:id="15"/>
      <w:bookmarkEnd w:id="16"/>
      <w:bookmarkEnd w:id="17"/>
      <w:r w:rsidRPr="1AC11BDA">
        <w:t>Added value of this study</w:t>
      </w:r>
    </w:p>
    <w:p w14:paraId="286777DE" w14:textId="5BF2B23D" w:rsidR="000F7964" w:rsidRDefault="00686A5C" w:rsidP="00DC1ADB">
      <w:r>
        <w:t>Text</w:t>
      </w:r>
    </w:p>
    <w:p w14:paraId="3F93B3CC" w14:textId="77777777" w:rsidR="000F7964" w:rsidRDefault="000F7964" w:rsidP="00DC1ADB"/>
    <w:p w14:paraId="2EB08BAB" w14:textId="6880DFCD" w:rsidR="00B04609" w:rsidRPr="007B396A" w:rsidRDefault="1AC11BDA" w:rsidP="00DC1ADB">
      <w:pPr>
        <w:pStyle w:val="Heading2"/>
      </w:pPr>
      <w:bookmarkStart w:id="18" w:name="_en3f11j6t06x" w:colFirst="0" w:colLast="0"/>
      <w:bookmarkEnd w:id="18"/>
      <w:r w:rsidRPr="1AC11BDA">
        <w:t>Implications of all the available evidence</w:t>
      </w:r>
    </w:p>
    <w:p w14:paraId="5A673989" w14:textId="592BAB8D" w:rsidR="00583203" w:rsidRDefault="00686A5C" w:rsidP="00DC1ADB">
      <w:pPr>
        <w:rPr>
          <w:b/>
          <w:bCs/>
        </w:rPr>
      </w:pPr>
      <w:r>
        <w:t>Text</w:t>
      </w:r>
      <w:r w:rsidR="16738B5D" w:rsidRPr="1AC11BDA">
        <w:br w:type="page"/>
      </w:r>
      <w:bookmarkStart w:id="19" w:name="_pm1syihhar7h" w:colFirst="0" w:colLast="0"/>
      <w:bookmarkEnd w:id="19"/>
    </w:p>
    <w:p w14:paraId="15AEFA6C" w14:textId="749AE713" w:rsidR="00B04609" w:rsidRPr="00561E87" w:rsidRDefault="1AC11BDA" w:rsidP="00DC1ADB">
      <w:pPr>
        <w:pStyle w:val="Heading1"/>
      </w:pPr>
      <w:bookmarkStart w:id="20" w:name="OLE_LINK131"/>
      <w:bookmarkStart w:id="21" w:name="OLE_LINK132"/>
      <w:r w:rsidRPr="1AC11BDA">
        <w:lastRenderedPageBreak/>
        <w:t>Introduction</w:t>
      </w:r>
    </w:p>
    <w:p w14:paraId="5C00C1A9" w14:textId="77777777" w:rsidR="005A570F" w:rsidRPr="005A570F" w:rsidRDefault="005A570F" w:rsidP="005A570F">
      <w:bookmarkStart w:id="22" w:name="OLE_LINK137"/>
      <w:bookmarkStart w:id="23" w:name="OLE_LINK138"/>
      <w:bookmarkStart w:id="24" w:name="OLE_LINK125"/>
      <w:bookmarkStart w:id="25" w:name="OLE_LINK126"/>
      <w:bookmarkStart w:id="26" w:name="OLE_LINK142"/>
      <w:bookmarkStart w:id="27" w:name="OLE_LINK133"/>
      <w:bookmarkStart w:id="28" w:name="OLE_LINK134"/>
      <w:r w:rsidRPr="005A570F">
        <w:t xml:space="preserve">Coronavirus disease 2019 (COVID-19) </w:t>
      </w:r>
      <w:bookmarkEnd w:id="22"/>
      <w:bookmarkEnd w:id="23"/>
      <w:r w:rsidRPr="005A570F">
        <w:t>is caused by the</w:t>
      </w:r>
      <w:bookmarkStart w:id="29" w:name="OLE_LINK135"/>
      <w:bookmarkStart w:id="30" w:name="OLE_LINK136"/>
      <w:r w:rsidRPr="005A570F">
        <w:t xml:space="preserve"> </w:t>
      </w:r>
      <w:bookmarkStart w:id="31" w:name="OLE_LINK146"/>
      <w:bookmarkStart w:id="32" w:name="OLE_LINK147"/>
      <w:r w:rsidRPr="005A570F">
        <w:t>severe acute respiratory syndrome coronavirus-2 (SARS-CoV-2)</w:t>
      </w:r>
      <w:bookmarkEnd w:id="31"/>
      <w:bookmarkEnd w:id="32"/>
      <w:r w:rsidRPr="005A570F">
        <w:t xml:space="preserve">, </w:t>
      </w:r>
      <w:bookmarkEnd w:id="29"/>
      <w:bookmarkEnd w:id="30"/>
      <w:r w:rsidRPr="005A570F">
        <w:t>which was identified for the first time in China at the end of 2019.</w:t>
      </w:r>
      <w:r w:rsidRPr="005A570F">
        <w:fldChar w:fldCharType="begin"/>
      </w:r>
      <w:r w:rsidRPr="005A570F">
        <w:instrText xml:space="preserve"> ADDIN ZOTERO_ITEM CSL_CITATION {"citationID":"AReP7gB7","properties":{"formattedCitation":"\\super 1\\nosupersub{}","plainCitation":"1","noteIndex":0},"citationItems":[{"id":28,"uris":["http://zotero.org/users/6990598/items/6MKH2K43"],"uri":["http://zotero.org/users/6990598/items/6MKH2K43"],"itemData":{"id":28,"type":"article-journal","container-title":"Journal of Medical Virology","DOI":"10.1002/jmv.25678","ISSN":"0146-6615","issue":"4","journalAbbreviation":"J Med Virol","note":"PMID: 31950516\nPMCID: PMC7166628","page":"401-402","source":"PubMed Central","title":"Outbreak of pneumonia of unknown etiology in Wuhan, China: The mystery and the miracle","title-short":"Outbreak of pneumonia of unknown etiology in Wuhan, China","volume":"92","author":[{"family":"Lu","given":"Hongzhou"},{"family":"Stratton","given":"Charles W."},{"family":"Tang","given":"Yi‐Wei"}],"issued":{"date-parts":[["2020",4]]}}}],"schema":"https://github.com/citation-style-language/schema/raw/master/csl-citation.json"} </w:instrText>
      </w:r>
      <w:r w:rsidRPr="005A570F">
        <w:fldChar w:fldCharType="separate"/>
      </w:r>
      <w:r w:rsidRPr="005A570F">
        <w:rPr>
          <w:vertAlign w:val="superscript"/>
        </w:rPr>
        <w:t>1</w:t>
      </w:r>
      <w:r w:rsidRPr="005A570F">
        <w:fldChar w:fldCharType="end"/>
      </w:r>
      <w:r w:rsidRPr="005A570F">
        <w:t xml:space="preserve"> The virus quickly spread globally, and the World Health Organization declared COVID-19 to be a pandemic on March 11, 2020. As at December 1, 2020, there have been over 67,000,000 notified cases, with over 1,500,000 reported deaths.</w:t>
      </w:r>
      <w:r w:rsidRPr="005A570F">
        <w:fldChar w:fldCharType="begin"/>
      </w:r>
      <w:r w:rsidRPr="005A570F">
        <w:instrText xml:space="preserve"> ADDIN ZOTERO_ITEM CSL_CITATION {"citationID":"WKlgeDx7","properties":{"formattedCitation":"\\super 2\\nosupersub{}","plainCitation":"2","noteIndex":0},"citationItems":[{"id":23,"uris":["http://zotero.org/users/6990598/items/9YD2HSGM"],"uri":["http://zotero.org/users/6990598/items/9YD2HSGM"],"itemData":{"id":23,"type":"webpage","abstract":"Data as received by WHO from national authorities, as of 10am CET 29 November 2020","language":"en","title":"Weekly epidemiological update - 1 December 2020","URL":"https://www.who.int/publications/m/item/weekly-epidemiological-update---1-december-2020","author":[{"family":"World Health Organization","given":""}],"accessed":{"date-parts":[["2020",12,8]]}}}],"schema":"https://github.com/citation-style-language/schema/raw/master/csl-citation.json"} </w:instrText>
      </w:r>
      <w:r w:rsidRPr="005A570F">
        <w:fldChar w:fldCharType="separate"/>
      </w:r>
      <w:r w:rsidRPr="005A570F">
        <w:rPr>
          <w:vertAlign w:val="superscript"/>
        </w:rPr>
        <w:t>2</w:t>
      </w:r>
      <w:r w:rsidRPr="005A570F">
        <w:fldChar w:fldCharType="end"/>
      </w:r>
      <w:r w:rsidRPr="005A570F">
        <w:t xml:space="preserve">  </w:t>
      </w:r>
    </w:p>
    <w:p w14:paraId="24124810" w14:textId="77777777" w:rsidR="005A570F" w:rsidRPr="005A570F" w:rsidRDefault="005A570F" w:rsidP="005A570F"/>
    <w:p w14:paraId="6C635537" w14:textId="77777777" w:rsidR="005A570F" w:rsidRPr="005A570F" w:rsidRDefault="005A570F" w:rsidP="005A570F">
      <w:r w:rsidRPr="005A570F">
        <w:t>Given the rapid spread of the epidemic in Europe and the Americas, and the handicapped response by countries with the richest health systems, the outlook for less developed countries, and sub-Saharan Africa in particular, seemed dire. High numbers of deaths were expected due to weaknesses in health systems, difficulties in enforcing hygiene measures, and perceived health vulnerabilities of the population.</w:t>
      </w:r>
      <w:r w:rsidRPr="005A570F">
        <w:fldChar w:fldCharType="begin"/>
      </w:r>
      <w:r w:rsidRPr="005A570F">
        <w:instrText xml:space="preserve"> ADDIN ZOTERO_ITEM CSL_CITATION {"citationID":"ZJ5l3Lk5","properties":{"formattedCitation":"\\super 3\\nosupersub{}","plainCitation":"3","noteIndex":0},"citationItems":[{"id":31,"uris":["http://zotero.org/users/6990598/items/P2L2SWYS"],"uri":["http://zotero.org/users/6990598/items/P2L2SWYS"],"itemData":{"id":31,"type":"webpage","abstract":"There has been 200 suspected cases on the continent but nearly all have been confirmed negative.","container-title":"TheJournal.ie","language":"en","title":"WHO warns Africa is ill-equipped to deal with coronavirus due to 'weaker health systems'","URL":"https://www.thejournal.ie/world-health-organisation-african-coronavirus-5017867-Feb2020/","author":[{"family":"AFP","given":""}],"accessed":{"date-parts":[["2020",12,8]]}}}],"schema":"https://github.com/citation-style-language/schema/raw/master/csl-citation.json"} </w:instrText>
      </w:r>
      <w:r w:rsidRPr="005A570F">
        <w:fldChar w:fldCharType="separate"/>
      </w:r>
      <w:r w:rsidRPr="005A570F">
        <w:rPr>
          <w:vertAlign w:val="superscript"/>
        </w:rPr>
        <w:t>3</w:t>
      </w:r>
      <w:r w:rsidRPr="005A570F">
        <w:fldChar w:fldCharType="end"/>
      </w:r>
      <w:r w:rsidRPr="005A570F">
        <w:rPr>
          <w:vertAlign w:val="superscript"/>
        </w:rPr>
        <w:t>,</w:t>
      </w:r>
      <w:r w:rsidRPr="005A570F">
        <w:fldChar w:fldCharType="begin"/>
      </w:r>
      <w:r w:rsidRPr="005A570F">
        <w:instrText xml:space="preserve"> ADDIN ZOTERO_ITEM CSL_CITATION {"citationID":"XwGmshBT","properties":{"formattedCitation":"\\super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But the trajectory of the epidemic on the continent appears to have gone against expectation. Despite having over 2,200,200 infections as of December 1,</w:t>
      </w:r>
      <w:r w:rsidRPr="005A570F">
        <w:fldChar w:fldCharType="begin"/>
      </w:r>
      <w:r w:rsidRPr="005A570F">
        <w:instrText xml:space="preserve"> ADDIN ZOTERO_ITEM CSL_CITATION {"citationID":"FsPRhTmM","properties":{"formattedCitation":"\\super 2\\nosupersub{}","plainCitation":"2","noteIndex":0},"citationItems":[{"id":23,"uris":["http://zotero.org/users/6990598/items/9YD2HSGM"],"uri":["http://zotero.org/users/6990598/items/9YD2HSGM"],"itemData":{"id":23,"type":"webpage","abstract":"Data as received by WHO from national authorities, as of 10am CET 29 November 2020","language":"en","title":"Weekly epidemiological update - 1 December 2020","URL":"https://www.who.int/publications/m/item/weekly-epidemiological-update---1-december-2020","author":[{"family":"World Health Organization","given":""}],"accessed":{"date-parts":[["2020",12,8]]}}}],"schema":"https://github.com/citation-style-language/schema/raw/master/csl-citation.json"} </w:instrText>
      </w:r>
      <w:r w:rsidRPr="005A570F">
        <w:fldChar w:fldCharType="separate"/>
      </w:r>
      <w:r w:rsidRPr="005A570F">
        <w:rPr>
          <w:vertAlign w:val="superscript"/>
        </w:rPr>
        <w:t>2</w:t>
      </w:r>
      <w:r w:rsidRPr="005A570F">
        <w:fldChar w:fldCharType="end"/>
      </w:r>
      <w:r w:rsidRPr="005A570F">
        <w:t xml:space="preserve"> Africa remains the least affected region and the mortality rate, even if not well documented, remains lower than expected.</w:t>
      </w:r>
      <w:r w:rsidRPr="005A570F">
        <w:fldChar w:fldCharType="begin"/>
      </w:r>
      <w:r w:rsidRPr="005A570F">
        <w:instrText xml:space="preserve"> ADDIN ZOTERO_ITEM CSL_CITATION {"citationID":"jwv2fiRt","properties":{"formattedCitation":"\\super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w:t>
      </w:r>
    </w:p>
    <w:p w14:paraId="39C92328" w14:textId="77777777" w:rsidR="005A570F" w:rsidRPr="005A570F" w:rsidRDefault="005A570F" w:rsidP="005A570F"/>
    <w:p w14:paraId="6A6684EF" w14:textId="57F3CF45" w:rsidR="004263A8" w:rsidRDefault="00A63E13" w:rsidP="005A570F">
      <w:bookmarkStart w:id="33" w:name="OLE_LINK140"/>
      <w:bookmarkStart w:id="34" w:name="OLE_LINK141"/>
      <w:bookmarkStart w:id="35" w:name="OLE_LINK172"/>
      <w:r w:rsidRPr="00A63E13">
        <w:t>Several theories have been advanced to explain the seemingly mild trajectory of the SARS-CoV-2 epidemic in Africa</w:t>
      </w:r>
      <w:r w:rsidR="005A570F" w:rsidRPr="005A570F">
        <w:t xml:space="preserve">: </w:t>
      </w:r>
      <w:r w:rsidR="004263A8" w:rsidRPr="004263A8">
        <w:t>it has been hypothesized that sub-Saharan Africa's warm climate, young population, or cross-reactive immunity from other infections are mitigating factors</w:t>
      </w:r>
      <w:r w:rsidR="005A570F" w:rsidRPr="005A570F">
        <w:t>.</w:t>
      </w:r>
      <w:r w:rsidR="005A570F" w:rsidRPr="005A570F">
        <w:fldChar w:fldCharType="begin"/>
      </w:r>
      <w:r w:rsidR="005A570F" w:rsidRPr="005A570F">
        <w:instrText xml:space="preserve"> ADDIN ZOTERO_ITEM CSL_CITATION {"citationID":"WtQZYOpg","properties":{"formattedCitation":"\\super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005A570F" w:rsidRPr="005A570F">
        <w:fldChar w:fldCharType="separate"/>
      </w:r>
      <w:r w:rsidR="005A570F" w:rsidRPr="005A570F">
        <w:rPr>
          <w:vertAlign w:val="superscript"/>
        </w:rPr>
        <w:t>4</w:t>
      </w:r>
      <w:r w:rsidR="005A570F" w:rsidRPr="005A570F">
        <w:fldChar w:fldCharType="end"/>
      </w:r>
      <w:r w:rsidR="005A570F" w:rsidRPr="005A570F">
        <w:t xml:space="preserve"> But an informed explanation of the epidemic trajectory requires accurate numbers on the actual extent of population infection. </w:t>
      </w:r>
      <w:r w:rsidR="004263A8">
        <w:t>W</w:t>
      </w:r>
      <w:r w:rsidR="004263A8" w:rsidRPr="004263A8">
        <w:t xml:space="preserve">as the spread of the virus </w:t>
      </w:r>
      <w:r w:rsidR="00D21977">
        <w:t>largely impeded</w:t>
      </w:r>
      <w:r w:rsidR="004263A8" w:rsidRPr="004263A8">
        <w:t>, or was virus spread widely without the majority of the population exhibiting clinical symptoms?</w:t>
      </w:r>
    </w:p>
    <w:p w14:paraId="2308271C" w14:textId="77777777" w:rsidR="004263A8" w:rsidRDefault="004263A8" w:rsidP="005A570F"/>
    <w:p w14:paraId="745678E4" w14:textId="7A0EC0D2" w:rsidR="005A570F" w:rsidRPr="005A570F" w:rsidRDefault="005A570F" w:rsidP="005A570F">
      <w:r w:rsidRPr="005A570F">
        <w:t>And, as is the case elsewhere,</w:t>
      </w:r>
      <w:r w:rsidRPr="005A570F">
        <w:fldChar w:fldCharType="begin"/>
      </w:r>
      <w:r w:rsidRPr="005A570F">
        <w:instrText xml:space="preserve"> ADDIN ZOTERO_ITEM CSL_CITATION {"citationID":"68rP30UC","properties":{"formattedCitation":"\\super 5\\nosupersub{}","plainCitation":"5","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5A570F">
        <w:fldChar w:fldCharType="separate"/>
      </w:r>
      <w:r w:rsidRPr="005A570F">
        <w:rPr>
          <w:vertAlign w:val="superscript"/>
        </w:rPr>
        <w:t>5</w:t>
      </w:r>
      <w:r w:rsidRPr="005A570F">
        <w:fldChar w:fldCharType="end"/>
      </w:r>
      <w:r w:rsidRPr="005A570F">
        <w:t xml:space="preserve"> the officially reported case counts in Africa significantly underestimate the extent of spread.</w:t>
      </w:r>
      <w:r w:rsidRPr="005A570F">
        <w:fldChar w:fldCharType="begin"/>
      </w:r>
      <w:r w:rsidRPr="005A570F">
        <w:instrText xml:space="preserve"> ADDIN ZOTERO_ITEM CSL_CITATION {"citationID":"epBNjjkc","properties":{"formattedCitation":"\\super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w:t>
      </w:r>
    </w:p>
    <w:bookmarkEnd w:id="24"/>
    <w:bookmarkEnd w:id="25"/>
    <w:bookmarkEnd w:id="26"/>
    <w:bookmarkEnd w:id="33"/>
    <w:bookmarkEnd w:id="34"/>
    <w:bookmarkEnd w:id="35"/>
    <w:p w14:paraId="3468A7FB" w14:textId="77777777" w:rsidR="005A570F" w:rsidRPr="005A570F" w:rsidRDefault="005A570F" w:rsidP="005A570F"/>
    <w:p w14:paraId="2E012A6A" w14:textId="77777777" w:rsidR="005A570F" w:rsidRPr="005A570F" w:rsidRDefault="005A570F" w:rsidP="005A570F">
      <w:r w:rsidRPr="005A570F">
        <w:t>In this context, the use of serological antibody tests to detect exposure to SARS-CoV-2 is valuable. A number of validated SARS-CoV-2 antibody tests now exist on the market,</w:t>
      </w:r>
      <w:r w:rsidRPr="005A570F">
        <w:fldChar w:fldCharType="begin"/>
      </w:r>
      <w:r w:rsidRPr="005A570F">
        <w:instrText xml:space="preserve"> ADDIN ZOTERO_ITEM CSL_CITATION {"citationID":"3zhGBr6h","properties":{"formattedCitation":"\\super 6\\nosupersub{}","plainCitation":"6","noteIndex":0},"citationItems":[{"id":42,"uris":["http://zotero.org/users/6990598/items/DK6EEX9S"],"uri":["http://zotero.org/users/6990598/items/DK6EEX9S"],"itemData":{"id":42,"type":"article-journal","abstract":"Numerous SARS-CoV-2 rapid serological tests have been developed, but their accuracy has usually been assessed using very few samples, and rigorous comparisons between these tests are scarce. In this study, we evaluated and compared 10 commercially-available SARS-CoV-2 rapid serological tests using the STARD methodology (Standards for Reporting of Diagnostic Accuracy Studies). 250 sera from 159 PCR-confirmed SARS-CoV-2 patients (collected from 0 to 32 days after onset of symptoms) were tested with rapid serological tests. Control sera (N = 254) were retrieved from pre-COVID periods from patients with other coronavirus infections (N = 11), positive rheumatoid factors (N = 3), IgG/IgM hyperglobulinemia (N = 9), malaria (n = 5), or no documented viral infection (N = 226). All samples were tested using rapid lateral flow immunoassays (LFIA) from 10 manufacturers. Only four tests achieved ≥98% specificity, with other tests ranging from 75.7%-99.2%. Sensitivities varied by the day of sample collection, from 31.7%-55.4% (Days 0-9), 65.9%-92.9% (Days 10-14), and 81.0%-95.2% (&gt;14 days) after the onset of symptoms, respectively. Only three tests evaluated met French Health Authorities’ thresholds for SARS-CoV-2 serological tests (≥90% sensitivity + ≥98% specificity). Overall, the performances between tests varied greatly, with only a third meeting acceptable specificity and sensitivity thresholds. Knowing the analytical performance of these tests will allow clinicians and most importantly laboratorians to use them with more confidence, could help determine the general population’s immunological status, and may help to diagnose some patients with false-negative RT-PCR results.","container-title":"Journal of Clinical Microbiology","DOI":"10.1128/JCM.02342-20","ISSN":"0095-1137, 1098-660X","language":"en","note":"publisher: American Society for Microbiology Journals\nsection: Immunoassays\nPMID: 33239381","source":"jcm.asm.org","title":"Evaluating Ten Commercially-Available SARS-CoV-2 Rapid Serological Tests Using the STARD (Standards for Reporting of Diagnostic Accuracy Studies) Method.","URL":"https://jcm.asm.org/content/early/2020/11/24/JCM.02342-20","author":[{"family":"Dortet","given":"Laurent"},{"family":"Ronat","given":"Jean-Baptiste"},{"family":"Vauloup-Fellous","given":"Christelle"},{"family":"Langendorf","given":"Céline"},{"family":"Mendels","given":"David-Alexis"},{"family":"Emeraud","given":"Cécile"},{"family":"Oueslati","given":"Saoussen"},{"family":"Girlich","given":"Delphine"},{"family":"Chauvin","given":"Anthony"},{"family":"Afdjei","given":"Ali"},{"family":"Bernabeu","given":"Sandrine"},{"family":"Pape","given":"Samuel Le"},{"family":"Kallala","given":"Rim"},{"family":"Rochard","given":"Alice"},{"family":"Verstuyft","given":"Celine"},{"family":"Fortineau","given":"Nicolas"},{"family":"Roque-Afonso","given":"Anne-Marie"},{"family":"Naas","given":"Thierry"}],"accessed":{"date-parts":[["2020",12,8]]},"issued":{"date-parts":[["2020",11,25]]}}}],"schema":"https://github.com/citation-style-language/schema/raw/master/csl-citation.json"} </w:instrText>
      </w:r>
      <w:r w:rsidRPr="005A570F">
        <w:fldChar w:fldCharType="separate"/>
      </w:r>
      <w:r w:rsidRPr="005A570F">
        <w:rPr>
          <w:vertAlign w:val="superscript"/>
        </w:rPr>
        <w:t>6</w:t>
      </w:r>
      <w:r w:rsidRPr="005A570F">
        <w:fldChar w:fldCharType="end"/>
      </w:r>
      <w:r w:rsidRPr="005A570F">
        <w:t xml:space="preserve"> and some of these are point-of-care lateral-flow immunoassays, which are affordable, easy to use and provide quick results. Although concerns about sensitivity and specificity remain, these antibody tests offer the opportunity to more accurately assess the prior infection rate of populations in regions where PCR-based testing has been uncommon.</w:t>
      </w:r>
      <w:r w:rsidRPr="005A570F">
        <w:fldChar w:fldCharType="begin"/>
      </w:r>
      <w:r w:rsidRPr="005A570F">
        <w:instrText xml:space="preserve"> ADDIN ZOTERO_ITEM CSL_CITATION {"citationID":"c8TOVZkD","properties":{"formattedCitation":"\\super 5\\nosupersub{}","plainCitation":"5","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5A570F">
        <w:fldChar w:fldCharType="separate"/>
      </w:r>
      <w:r w:rsidRPr="005A570F">
        <w:rPr>
          <w:vertAlign w:val="superscript"/>
        </w:rPr>
        <w:t>5</w:t>
      </w:r>
      <w:r w:rsidRPr="005A570F">
        <w:fldChar w:fldCharType="end"/>
      </w:r>
      <w:r w:rsidRPr="005A570F">
        <w:t xml:space="preserve"> </w:t>
      </w:r>
    </w:p>
    <w:p w14:paraId="7DC5035D" w14:textId="77777777" w:rsidR="005A570F" w:rsidRPr="005A570F" w:rsidRDefault="005A570F" w:rsidP="005A570F"/>
    <w:p w14:paraId="67129C55" w14:textId="4A97AD87" w:rsidR="005A570F" w:rsidRPr="005A570F" w:rsidRDefault="005A570F" w:rsidP="00A60408">
      <w:r w:rsidRPr="005A570F">
        <w:t xml:space="preserve">This report presents the protocol and results of our study using a lateral-flow immunoassay to assess the seroprevalence of anti-SARS-CoV-2 IgG and IgM antibodies in a region of Yaounde, the capital of Cameroon. </w:t>
      </w:r>
    </w:p>
    <w:bookmarkEnd w:id="20"/>
    <w:bookmarkEnd w:id="21"/>
    <w:bookmarkEnd w:id="27"/>
    <w:bookmarkEnd w:id="28"/>
    <w:p w14:paraId="1F925FFB" w14:textId="77777777" w:rsidR="005216D6" w:rsidRDefault="005216D6" w:rsidP="00DC1ADB"/>
    <w:p w14:paraId="0C66BECF" w14:textId="77777777" w:rsidR="00C1664F" w:rsidRDefault="00C1664F" w:rsidP="00DC1ADB"/>
    <w:p w14:paraId="65C2C681" w14:textId="77777777" w:rsidR="005216D6" w:rsidRDefault="005216D6" w:rsidP="00DC1ADB"/>
    <w:p w14:paraId="7B946EC3" w14:textId="77777777" w:rsidR="008D2669" w:rsidRDefault="008D2669" w:rsidP="00DC1ADB">
      <w:bookmarkStart w:id="36" w:name="_jsi9y0suox8x" w:colFirst="0" w:colLast="0"/>
      <w:bookmarkEnd w:id="36"/>
    </w:p>
    <w:p w14:paraId="24EAB356" w14:textId="0BC17D79" w:rsidR="00FC58CC" w:rsidRDefault="00FC58CC" w:rsidP="00DC1ADB"/>
    <w:p w14:paraId="3A906E00" w14:textId="5AEEA057" w:rsidR="00974279" w:rsidRDefault="00974279" w:rsidP="00DC1ADB">
      <w:r>
        <w:br w:type="page"/>
      </w:r>
    </w:p>
    <w:p w14:paraId="693E1833" w14:textId="262AC3B9" w:rsidR="00D72CD6" w:rsidRPr="00D72CD6" w:rsidRDefault="00163EBE" w:rsidP="00A56A08">
      <w:pPr>
        <w:pStyle w:val="Heading1"/>
      </w:pPr>
      <w:r>
        <w:lastRenderedPageBreak/>
        <w:t>Methods</w:t>
      </w:r>
    </w:p>
    <w:p w14:paraId="0C03B5C4" w14:textId="07A6C418" w:rsidR="00F95D8F" w:rsidRDefault="00F95D8F" w:rsidP="00F95D8F">
      <w:pPr>
        <w:pStyle w:val="Heading2"/>
      </w:pPr>
      <w:bookmarkStart w:id="37" w:name="_9ifwxpef9nln" w:colFirst="0" w:colLast="0"/>
      <w:bookmarkStart w:id="38" w:name="OLE_LINK170"/>
      <w:bookmarkStart w:id="39" w:name="OLE_LINK171"/>
      <w:bookmarkStart w:id="40" w:name="OLE_LINK177"/>
      <w:bookmarkStart w:id="41" w:name="OLE_LINK178"/>
      <w:bookmarkEnd w:id="37"/>
      <w:r>
        <w:t>Sampling</w:t>
      </w:r>
      <w:r w:rsidR="00DC43CD">
        <w:t xml:space="preserve"> </w:t>
      </w:r>
    </w:p>
    <w:bookmarkEnd w:id="38"/>
    <w:bookmarkEnd w:id="39"/>
    <w:bookmarkEnd w:id="40"/>
    <w:bookmarkEnd w:id="41"/>
    <w:p w14:paraId="0560D69B" w14:textId="77777777" w:rsidR="00F95D8F" w:rsidRDefault="00F95D8F" w:rsidP="00F95D8F"/>
    <w:p w14:paraId="6F15A6D6" w14:textId="01544D8D" w:rsidR="00F95D8F" w:rsidRDefault="00F95D8F" w:rsidP="00F95D8F">
      <w:r>
        <w:t xml:space="preserve">On the basis of power calculations </w:t>
      </w:r>
      <w:r>
        <w:t xml:space="preserve">(with an assumed prevalence of 20%, </w:t>
      </w:r>
      <w:r>
        <w:t xml:space="preserve">a precision of 5% and </w:t>
      </w:r>
      <w:r>
        <w:t xml:space="preserve">a confidence level of 95%) </w:t>
      </w:r>
      <w:r>
        <w:t xml:space="preserve">we estimated 245 people would be sufficient. This sample was increased to 1000 people (&gt;245 households) for improved precision. </w:t>
      </w:r>
    </w:p>
    <w:p w14:paraId="2CAE583A" w14:textId="77777777" w:rsidR="00F95D8F" w:rsidRDefault="00F95D8F" w:rsidP="00F95D8F"/>
    <w:p w14:paraId="662A1195" w14:textId="3BBC9045" w:rsidR="00435FBA" w:rsidRDefault="00F95D8F" w:rsidP="00F95D8F">
      <w:pPr>
        <w:rPr>
          <w:rFonts w:eastAsia="Arial" w:cs="Arial"/>
          <w:szCs w:val="19"/>
        </w:rPr>
      </w:pPr>
      <w:r w:rsidRPr="00BB7F4B">
        <w:rPr>
          <w:rFonts w:eastAsia="Arial" w:cs="Arial"/>
          <w:szCs w:val="19"/>
        </w:rPr>
        <w:t>Houses were randomly selected from a pre-processed set of all</w:t>
      </w:r>
      <w:r>
        <w:rPr>
          <w:rFonts w:eastAsia="Arial" w:cs="Arial"/>
          <w:szCs w:val="19"/>
        </w:rPr>
        <w:t xml:space="preserve"> presumed residential</w:t>
      </w:r>
      <w:r w:rsidRPr="00BB7F4B">
        <w:rPr>
          <w:rFonts w:eastAsia="Arial" w:cs="Arial"/>
          <w:szCs w:val="19"/>
        </w:rPr>
        <w:t xml:space="preserve"> buildings </w:t>
      </w:r>
      <w:r>
        <w:rPr>
          <w:rFonts w:eastAsia="Arial" w:cs="Arial"/>
          <w:szCs w:val="19"/>
        </w:rPr>
        <w:t xml:space="preserve">on an </w:t>
      </w:r>
      <w:r>
        <w:t xml:space="preserve">OpenStreetMap </w:t>
      </w:r>
      <w:r>
        <w:rPr>
          <w:rFonts w:eastAsia="Arial" w:cs="Arial"/>
          <w:szCs w:val="19"/>
        </w:rPr>
        <w:t>footprint</w:t>
      </w:r>
      <w:r>
        <w:rPr>
          <w:rFonts w:eastAsia="Arial" w:cs="Arial"/>
          <w:szCs w:val="19"/>
        </w:rPr>
        <w:fldChar w:fldCharType="begin"/>
      </w:r>
      <w:r>
        <w:rPr>
          <w:rFonts w:eastAsia="Arial" w:cs="Arial"/>
          <w:szCs w:val="19"/>
        </w:rPr>
        <w:instrText xml:space="preserve"> ADDIN ZOTERO_ITEM CSL_CITATION {"citationID":"bv3UKgeS","properties":{"formattedCitation":"\\super 7\\nosupersub{}","plainCitation":"7","noteIndex":0},"citationItems":[{"id":97,"uris":["http://zotero.org/users/6990598/items/KVTM2A64"],"uri":["http://zotero.org/users/6990598/items/KVTM2A64"],"itemData":{"id":97,"type":"webpage","abstract":"OpenStreetMap is a map of the world, created by people like you and free to use under an open licence.","container-title":"OpenStreetMap","language":"en-GB","title":"OpenStreetMap","URL":"https://www.openstreetmap.org/","accessed":{"date-parts":[["2021",2,5]]}}}],"schema":"https://github.com/citation-style-language/schema/raw/master/csl-citation.json"} </w:instrText>
      </w:r>
      <w:r>
        <w:rPr>
          <w:rFonts w:eastAsia="Arial" w:cs="Arial"/>
          <w:szCs w:val="19"/>
        </w:rPr>
        <w:fldChar w:fldCharType="separate"/>
      </w:r>
      <w:r w:rsidRPr="00F95D8F">
        <w:rPr>
          <w:vertAlign w:val="superscript"/>
        </w:rPr>
        <w:t>7</w:t>
      </w:r>
      <w:r>
        <w:rPr>
          <w:rFonts w:eastAsia="Arial" w:cs="Arial"/>
          <w:szCs w:val="19"/>
        </w:rPr>
        <w:fldChar w:fldCharType="end"/>
      </w:r>
      <w:r>
        <w:rPr>
          <w:rFonts w:eastAsia="Arial" w:cs="Arial"/>
          <w:szCs w:val="19"/>
        </w:rPr>
        <w:t xml:space="preserve">. However, some non-residential buildings were </w:t>
      </w:r>
      <w:r w:rsidR="00B325BD">
        <w:rPr>
          <w:rFonts w:eastAsia="Arial" w:cs="Arial"/>
          <w:szCs w:val="19"/>
        </w:rPr>
        <w:t xml:space="preserve">still </w:t>
      </w:r>
      <w:r>
        <w:rPr>
          <w:rFonts w:eastAsia="Arial" w:cs="Arial"/>
          <w:szCs w:val="19"/>
        </w:rPr>
        <w:t>encountered by the surveyors (XX%). In these case</w:t>
      </w:r>
      <w:r w:rsidR="008F6A3B">
        <w:rPr>
          <w:rFonts w:eastAsia="Arial" w:cs="Arial"/>
          <w:szCs w:val="19"/>
        </w:rPr>
        <w:t>s</w:t>
      </w:r>
      <w:r>
        <w:rPr>
          <w:rFonts w:eastAsia="Arial" w:cs="Arial"/>
          <w:szCs w:val="19"/>
        </w:rPr>
        <w:t xml:space="preserve">, the next residential building to the right was used as a replacement. </w:t>
      </w:r>
      <w:r w:rsidRPr="00BB7F4B">
        <w:rPr>
          <w:rFonts w:eastAsia="Arial" w:cs="Arial"/>
          <w:szCs w:val="19"/>
        </w:rPr>
        <w:t xml:space="preserve"> </w:t>
      </w:r>
    </w:p>
    <w:p w14:paraId="18CCF125" w14:textId="77777777" w:rsidR="00F95D8F" w:rsidRDefault="00F95D8F" w:rsidP="00F95D8F">
      <w:pPr>
        <w:rPr>
          <w:rFonts w:eastAsia="Arial" w:cs="Arial"/>
          <w:szCs w:val="19"/>
        </w:rPr>
      </w:pPr>
    </w:p>
    <w:p w14:paraId="153E74DB" w14:textId="54927009" w:rsidR="00435FBA" w:rsidRDefault="00F95D8F" w:rsidP="00F95D8F">
      <w:pPr>
        <w:rPr>
          <w:rFonts w:eastAsia="Arial" w:cs="Arial"/>
          <w:szCs w:val="19"/>
        </w:rPr>
      </w:pPr>
      <w:r w:rsidRPr="000D097E">
        <w:rPr>
          <w:rFonts w:eastAsia="Arial" w:cs="Arial"/>
          <w:szCs w:val="19"/>
        </w:rPr>
        <w:t xml:space="preserve">In each household, all </w:t>
      </w:r>
      <w:r w:rsidR="007076A2">
        <w:rPr>
          <w:rFonts w:eastAsia="Arial" w:cs="Arial"/>
          <w:szCs w:val="19"/>
        </w:rPr>
        <w:t xml:space="preserve">consenting residents between </w:t>
      </w:r>
      <w:r w:rsidRPr="000D097E">
        <w:rPr>
          <w:rFonts w:eastAsia="Arial" w:cs="Arial"/>
          <w:szCs w:val="19"/>
        </w:rPr>
        <w:t xml:space="preserve">5 and 80 years </w:t>
      </w:r>
      <w:r w:rsidR="007076A2">
        <w:rPr>
          <w:rFonts w:eastAsia="Arial" w:cs="Arial"/>
          <w:szCs w:val="19"/>
        </w:rPr>
        <w:t>in each household were surveyed.</w:t>
      </w:r>
      <w:r w:rsidRPr="000D097E">
        <w:rPr>
          <w:rFonts w:eastAsia="Arial" w:cs="Arial"/>
          <w:szCs w:val="19"/>
        </w:rPr>
        <w:t xml:space="preserve"> </w:t>
      </w:r>
    </w:p>
    <w:p w14:paraId="5655421C" w14:textId="79771CF2" w:rsidR="00435FBA" w:rsidRDefault="00435FBA" w:rsidP="00435FBA">
      <w:pPr>
        <w:pStyle w:val="Heading2"/>
      </w:pPr>
      <w:r>
        <w:t>Testing</w:t>
      </w:r>
    </w:p>
    <w:p w14:paraId="3A5202AE" w14:textId="77777777" w:rsidR="006C4239" w:rsidRPr="006C4239" w:rsidRDefault="006C4239" w:rsidP="006C4239"/>
    <w:p w14:paraId="41AE85B8" w14:textId="77777777" w:rsidR="000D48F1" w:rsidRDefault="00DC43CD" w:rsidP="00157BC6">
      <w:pPr>
        <w:spacing w:after="160"/>
      </w:pPr>
      <w:r>
        <w:t xml:space="preserve">The test used was </w:t>
      </w:r>
      <w:r w:rsidR="006C4239" w:rsidRPr="006C4239">
        <w:t xml:space="preserve">the Abbott </w:t>
      </w:r>
      <w:proofErr w:type="spellStart"/>
      <w:r w:rsidR="006C4239" w:rsidRPr="006C4239">
        <w:t>Panbio</w:t>
      </w:r>
      <w:proofErr w:type="spellEnd"/>
      <w:r w:rsidR="006C4239" w:rsidRPr="006C4239">
        <w:t>™ COVID-19 IgG/IGM Rapid Test Device, an immunochromatographic test for the qualitative detection of IgG and IgM antibodies to SARS-CoV-2</w:t>
      </w:r>
      <w:r w:rsidR="00FE490E">
        <w:t xml:space="preserve"> (with a </w:t>
      </w:r>
      <w:r w:rsidR="006C4239" w:rsidRPr="006C4239">
        <w:t>manufacturer-estimated sensitivity and specificity of the test are 95.8% and 94% respectively</w:t>
      </w:r>
      <w:r w:rsidR="00FE490E">
        <w:t>)</w:t>
      </w:r>
      <w:r w:rsidR="000D48F1">
        <w:t xml:space="preserve">. </w:t>
      </w:r>
    </w:p>
    <w:p w14:paraId="4DA2488A" w14:textId="2B25D8ED" w:rsidR="006C4239" w:rsidRPr="006C4239" w:rsidRDefault="006C4239" w:rsidP="00157BC6">
      <w:pPr>
        <w:spacing w:after="160"/>
      </w:pPr>
      <w:r w:rsidRPr="006C4239">
        <w:t>The tests were performed on capillary blood which was collected from a finger prick from all the consenting participants</w:t>
      </w:r>
      <w:r w:rsidR="00157BC6">
        <w:t>. A questionnaire was also administered in tandem with the testing.</w:t>
      </w:r>
    </w:p>
    <w:p w14:paraId="10770C98" w14:textId="2E6D53A0" w:rsidR="00260DBD" w:rsidRPr="00A56A08" w:rsidRDefault="00636030" w:rsidP="00A56A08">
      <w:pPr>
        <w:pStyle w:val="Heading2"/>
      </w:pPr>
      <w:r>
        <w:t>Data analysis</w:t>
      </w:r>
      <w:bookmarkStart w:id="42" w:name="_Toc60353396"/>
      <w:bookmarkStart w:id="43" w:name="OLE_LINK45"/>
      <w:bookmarkStart w:id="44" w:name="OLE_LINK46"/>
    </w:p>
    <w:p w14:paraId="2570B821" w14:textId="0086BBD3" w:rsidR="00260DBD" w:rsidRPr="00260DBD" w:rsidRDefault="00260DBD" w:rsidP="00260DBD">
      <w:pPr>
        <w:spacing w:after="160"/>
        <w:rPr>
          <w:b/>
          <w:lang w:val="en-US"/>
        </w:rPr>
      </w:pPr>
      <w:r w:rsidRPr="00260DBD">
        <w:rPr>
          <w:b/>
          <w:lang w:val="en-US"/>
        </w:rPr>
        <w:t>Seroprevalence estimation</w:t>
      </w:r>
      <w:bookmarkEnd w:id="42"/>
    </w:p>
    <w:bookmarkEnd w:id="43"/>
    <w:bookmarkEnd w:id="44"/>
    <w:p w14:paraId="7669385D" w14:textId="61B5AFA3" w:rsidR="00260DBD" w:rsidRPr="00260DBD" w:rsidRDefault="00260DBD" w:rsidP="00260DBD">
      <w:pPr>
        <w:spacing w:after="160"/>
        <w:rPr>
          <w:lang w:val="en-CH"/>
        </w:rPr>
      </w:pPr>
      <w:r w:rsidRPr="00260DBD">
        <w:rPr>
          <w:lang w:val="en-US"/>
        </w:rPr>
        <w:t>Seroprevalence values were weighted within each age or sex stratum to match the age-sex distribution of the Yaounde population, as sourced from the 2018 Cameroon DHS</w:t>
      </w:r>
      <w:r w:rsidRPr="00260DBD">
        <w:rPr>
          <w:lang w:val="en-CH"/>
        </w:rPr>
        <w:fldChar w:fldCharType="begin"/>
      </w:r>
      <w:r w:rsidRPr="00260DBD">
        <w:rPr>
          <w:lang w:val="en-CH"/>
        </w:rPr>
        <w:instrText xml:space="preserve"> ADDIN ZOTERO_ITEM CSL_CITATION {"citationID":"f7VNw5Cg","properties":{"formattedCitation":"\\super 8\\nosupersub{}","plainCitation":"8","noteIndex":0},"citationItems":[{"id":51,"uris":["http://zotero.org/users/6990598/items/AQRYHXKP"],"uri":["http://zotero.org/users/6990598/items/AQRYHXKP"],"itemData":{"id":51,"type":"report","event-place":"Yaoundé, Cameroun et Rockville, Maryland, USA","publisher":"Institut National de la Statistique/INS et ICF","publisher-place":"Yaoundé, Cameroun et Rockville, Maryland, USA","title":"Enquête Démographique et de Santé du Cameroun 2018"}}],"schema":"https://github.com/citation-style-language/schema/raw/master/csl-citation.json"} </w:instrText>
      </w:r>
      <w:r w:rsidRPr="00260DBD">
        <w:rPr>
          <w:lang w:val="en-CH"/>
        </w:rPr>
        <w:fldChar w:fldCharType="separate"/>
      </w:r>
      <w:r w:rsidRPr="00260DBD">
        <w:rPr>
          <w:vertAlign w:val="superscript"/>
        </w:rPr>
        <w:t>8</w:t>
      </w:r>
      <w:r w:rsidRPr="00260DBD">
        <w:fldChar w:fldCharType="end"/>
      </w:r>
      <w:r w:rsidRPr="00260DBD">
        <w:rPr>
          <w:lang w:val="en-CH"/>
        </w:rPr>
        <w:t>.</w:t>
      </w:r>
    </w:p>
    <w:p w14:paraId="3DA43269" w14:textId="67CB1E7B" w:rsidR="00260DBD" w:rsidRPr="00260DBD" w:rsidRDefault="00260DBD" w:rsidP="00260DBD">
      <w:pPr>
        <w:spacing w:after="160"/>
        <w:rPr>
          <w:lang w:val="en-CH"/>
        </w:rPr>
      </w:pPr>
      <w:r w:rsidRPr="00260DBD">
        <w:rPr>
          <w:lang w:val="en-US"/>
        </w:rPr>
        <w:t>We used the Rogan-</w:t>
      </w:r>
      <w:proofErr w:type="spellStart"/>
      <w:r w:rsidRPr="00260DBD">
        <w:rPr>
          <w:lang w:val="en-US"/>
        </w:rPr>
        <w:t>Gladen</w:t>
      </w:r>
      <w:proofErr w:type="spellEnd"/>
      <w:r w:rsidRPr="00260DBD">
        <w:rPr>
          <w:lang w:val="en-US"/>
        </w:rPr>
        <w:t xml:space="preserve"> formula to adjust IgG s</w:t>
      </w:r>
      <w:r w:rsidRPr="00260DBD">
        <w:rPr>
          <w:lang w:val="en-CH"/>
        </w:rPr>
        <w:t xml:space="preserve">eroprevalence </w:t>
      </w:r>
      <w:r w:rsidRPr="00260DBD">
        <w:rPr>
          <w:lang w:val="en-US"/>
        </w:rPr>
        <w:t xml:space="preserve">estimates to account for </w:t>
      </w:r>
      <w:r w:rsidRPr="00260DBD">
        <w:rPr>
          <w:lang w:val="en-CH"/>
        </w:rPr>
        <w:t>test performance</w:t>
      </w:r>
      <w:r w:rsidRPr="00260DBD">
        <w:rPr>
          <w:lang w:val="en-US"/>
        </w:rPr>
        <w:t>.</w:t>
      </w:r>
      <w:r w:rsidRPr="00260DBD">
        <w:rPr>
          <w:lang w:val="en-CH"/>
        </w:rPr>
        <w:fldChar w:fldCharType="begin"/>
      </w:r>
      <w:r w:rsidRPr="00260DBD">
        <w:rPr>
          <w:lang w:val="en-CH"/>
        </w:rPr>
        <w:instrText xml:space="preserve"> ADDIN ZOTERO_ITEM CSL_CITATION {"citationID":"LKCAKz5h","properties":{"formattedCitation":"\\super 9\\nosupersub{}","plainCitation":"9","noteIndex":0},"citationItems":[{"id":49,"uris":["http://zotero.org/users/6990598/items/YWASLDTL"],"uri":["http://zotero.org/users/6990598/items/YWASLDTL"],"itemData":{"id":49,"type":"article-journal","container-title":"American Journal of Epidemiology","DOI":"10.1093/oxfordjournals.aje.a112510","ISSN":"1476-6256, 0002-9262","issue":"1","language":"en","page":"71-76","source":"DOI.org (Crossref)","title":"Estimating prevalence from the results of a screening test","volume":"107","author":[{"family":"Rogan","given":"Walter J."},{"family":"Gladen","given":"Beth"}],"issued":{"date-parts":[["1978",1]]}}}],"schema":"https://github.com/citation-style-language/schema/raw/master/csl-citation.json"} </w:instrText>
      </w:r>
      <w:r w:rsidRPr="00260DBD">
        <w:rPr>
          <w:lang w:val="en-CH"/>
        </w:rPr>
        <w:fldChar w:fldCharType="separate"/>
      </w:r>
      <w:r w:rsidRPr="00260DBD">
        <w:rPr>
          <w:vertAlign w:val="superscript"/>
        </w:rPr>
        <w:t>9</w:t>
      </w:r>
      <w:r w:rsidRPr="00260DBD">
        <w:fldChar w:fldCharType="end"/>
      </w:r>
      <w:r w:rsidRPr="00260DBD">
        <w:rPr>
          <w:lang w:val="en-US"/>
        </w:rPr>
        <w:t xml:space="preserve"> sensitivity estimate provided by </w:t>
      </w:r>
      <w:r w:rsidRPr="00260DBD">
        <w:rPr>
          <w:lang w:val="en-CH"/>
        </w:rPr>
        <w:t>Batra and others</w:t>
      </w:r>
      <w:r w:rsidRPr="00260DBD">
        <w:rPr>
          <w:lang w:val="en-US"/>
        </w:rPr>
        <w:t>’ validation study of the Abbott test, which</w:t>
      </w:r>
      <w:r w:rsidRPr="00260DBD">
        <w:t xml:space="preserve"> found a sensitivity of 91.5% (75 correct diagnoses out of 82 samples) when applied on sera collected from hospitalized COVID-19 patients 14 – 56 days post symptom onset.</w:t>
      </w:r>
      <w:r w:rsidRPr="00260DBD">
        <w:rPr>
          <w:lang w:val="en-CH"/>
        </w:rPr>
        <w:fldChar w:fldCharType="begin"/>
      </w:r>
      <w:r w:rsidRPr="00260DBD">
        <w:rPr>
          <w:lang w:val="en-CH"/>
        </w:rPr>
        <w:instrText xml:space="preserve"> ADDIN ZOTERO_ITEM CSL_CITATION {"citationID":"rTuAEd4S","properties":{"formattedCitation":"\\super 10\\nosupersub{}","plainCitation":"10","noteIndex":0},"citationItems":[{"id":53,"uris":["http://zotero.org/users/6990598/items/KS9BKRPN"],"uri":["http://zotero.org/users/6990598/items/KS9BKRPN"],"itemData":{"id":53,"type":"article-journal","container-title":"Journal of Clinical Virology","DOI":"10.1016/j.jcv.2020.104645","ISSN":"13866532","journalAbbreviation":"Journal of Clinical Virology","language":"en","page":"104645","source":"DOI.org (Crossref)","title":"A comparative evaluation between the Abbott Panbio™ COVID-19 IgG/IgM rapid test device and Abbott Architect™ SARS CoV-2 IgG assay","volume":"132","author":[{"family":"Batra","given":"Rahul"},{"family":"Olivieri","given":"Luis Gonzalez"},{"family":"Rubin","given":"Delfin"},{"family":"Vallari","given":"Ana"},{"family":"Pearce","given":"Sandra"},{"family":"Olivo","given":"Ana"},{"family":"Prostko","given":"John"},{"family":"Nebbia","given":"Gaia"},{"family":"Douthwaite","given":"Sam"},{"family":"Rodgers","given":"Mary"},{"family":"Cloherty","given":"Gavin"}],"issued":{"date-parts":[["2020",11]]}}}],"schema":"https://github.com/citation-style-language/schema/raw/master/csl-citation.json"} </w:instrText>
      </w:r>
      <w:r w:rsidRPr="00260DBD">
        <w:rPr>
          <w:lang w:val="en-CH"/>
        </w:rPr>
        <w:fldChar w:fldCharType="separate"/>
      </w:r>
      <w:r w:rsidRPr="00260DBD">
        <w:rPr>
          <w:vertAlign w:val="superscript"/>
        </w:rPr>
        <w:t>10</w:t>
      </w:r>
      <w:r w:rsidRPr="00260DBD">
        <w:fldChar w:fldCharType="end"/>
      </w:r>
      <w:r w:rsidRPr="00260DBD">
        <w:t xml:space="preserve"> We measured specificity by applying the test on a panel of 246 pre-pandemic (2017) samples from hospital patients in Yaounde. The IgG test correctly diagnosed 230 of 246 samples (93.5% specificity).</w:t>
      </w:r>
      <w:r w:rsidRPr="00260DBD">
        <w:rPr>
          <w:lang w:val="en-CH"/>
        </w:rPr>
        <w:t xml:space="preserve"> </w:t>
      </w:r>
    </w:p>
    <w:p w14:paraId="6AE5F6CD" w14:textId="77777777" w:rsidR="002C292F" w:rsidRPr="00600766" w:rsidRDefault="002C292F" w:rsidP="00600766">
      <w:pPr>
        <w:pStyle w:val="Heading3"/>
      </w:pPr>
      <w:bookmarkStart w:id="45" w:name="_Toc60353397"/>
      <w:r w:rsidRPr="00600766">
        <w:lastRenderedPageBreak/>
        <w:t>Risk factor analysis</w:t>
      </w:r>
      <w:bookmarkEnd w:id="45"/>
    </w:p>
    <w:p w14:paraId="7ECB478E" w14:textId="77777777" w:rsidR="002C292F" w:rsidRPr="00BB7F4B" w:rsidRDefault="002C292F" w:rsidP="002C292F">
      <w:pPr>
        <w:tabs>
          <w:tab w:val="left" w:pos="43"/>
          <w:tab w:val="left" w:pos="284"/>
        </w:tabs>
        <w:ind w:left="-2"/>
        <w:rPr>
          <w:rFonts w:eastAsia="Arial" w:cs="Arial"/>
          <w:szCs w:val="19"/>
        </w:rPr>
      </w:pPr>
      <w:bookmarkStart w:id="46" w:name="OLE_LINK183"/>
      <w:r w:rsidRPr="00BB7F4B">
        <w:rPr>
          <w:rFonts w:eastAsia="Arial" w:cs="Arial"/>
          <w:szCs w:val="19"/>
        </w:rPr>
        <w:t>For seropositivity risk factor analysis, we used logistic models with household random effects to account for within-household clustering. In the logistic models, the following prospective risk factors were analysed</w:t>
      </w:r>
      <w:bookmarkStart w:id="47" w:name="OLE_LINK64"/>
      <w:bookmarkStart w:id="48" w:name="OLE_LINK67"/>
      <w:r w:rsidRPr="00BB7F4B">
        <w:rPr>
          <w:rFonts w:eastAsia="Arial" w:cs="Arial"/>
          <w:szCs w:val="19"/>
        </w:rPr>
        <w:t xml:space="preserve">: sex, age, education, BMI group, occupation, contact with an international traveller since March 1st, contact with a suspected or confirmed COVID case since March 1st, presence of comorbidities (combining hypertension, respiratory illness, diabetes, tuberculosis, HIV, cardiovascular illness and “other illnesses” which were not explicitly listed in questionnaire), whether or not the respondent is the breadwinner, adherence to social distancing rules, location of the household (one of nine health zones), number of household members, and whether or not there are children in the household. </w:t>
      </w:r>
      <w:bookmarkEnd w:id="47"/>
      <w:bookmarkEnd w:id="48"/>
      <w:r w:rsidRPr="00BB7F4B">
        <w:rPr>
          <w:rFonts w:eastAsia="Arial" w:cs="Arial"/>
          <w:szCs w:val="19"/>
        </w:rPr>
        <w:t xml:space="preserve">Each variable was first analysed in a univariate model. </w:t>
      </w:r>
      <w:r>
        <w:rPr>
          <w:rFonts w:eastAsia="Arial" w:cs="Arial"/>
          <w:szCs w:val="19"/>
        </w:rPr>
        <w:t xml:space="preserve">Then </w:t>
      </w:r>
      <w:r w:rsidRPr="00BB7F4B">
        <w:rPr>
          <w:rFonts w:eastAsia="Arial" w:cs="Arial"/>
          <w:szCs w:val="19"/>
        </w:rPr>
        <w:t>variables with p &lt; 0.10 for at least one factor level were entered into the multivariable analysis</w:t>
      </w:r>
      <w:r>
        <w:rPr>
          <w:rFonts w:eastAsia="Arial" w:cs="Arial"/>
          <w:szCs w:val="19"/>
        </w:rPr>
        <w:t xml:space="preserve">. All such variables are </w:t>
      </w:r>
      <w:r w:rsidRPr="00BB7F4B">
        <w:rPr>
          <w:rFonts w:eastAsia="Arial" w:cs="Arial"/>
          <w:szCs w:val="19"/>
        </w:rPr>
        <w:t xml:space="preserve">shown in the regression tables. </w:t>
      </w:r>
    </w:p>
    <w:bookmarkEnd w:id="46"/>
    <w:p w14:paraId="6A8C3E49" w14:textId="77777777" w:rsidR="00417721" w:rsidRDefault="00417721">
      <w:pPr>
        <w:spacing w:after="160"/>
      </w:pPr>
    </w:p>
    <w:p w14:paraId="79450369" w14:textId="77777777" w:rsidR="00600766" w:rsidRDefault="00417721" w:rsidP="00A56A08">
      <w:pPr>
        <w:pStyle w:val="Heading2"/>
      </w:pPr>
      <w:r>
        <w:t>Ethical considerations</w:t>
      </w:r>
    </w:p>
    <w:p w14:paraId="443E93A7" w14:textId="77777777" w:rsidR="00432E46" w:rsidRPr="00432E46" w:rsidRDefault="00432E46" w:rsidP="00432E46">
      <w:r w:rsidRPr="00432E46">
        <w:t>The study protocol obtained the ethical clearance and the administrative authorization of the Ministry of Health of Cameroon. Every adult participant (21 years or above) signed an informed consent. For minors, a person with parental authority was asked to sign the consent form and, if the age was equal to or above 15 years, an assent was also requested. Questionnaires were coded and names of participants were recorded in a confidential list available only to the study team. Before starting the study, all the team members were trained on research ethics, good clinical practices and study protocol and procedures.</w:t>
      </w:r>
    </w:p>
    <w:p w14:paraId="1BE4B1E9" w14:textId="264871B2" w:rsidR="00F95D8F" w:rsidRDefault="00F95D8F" w:rsidP="00432E46">
      <w:pPr>
        <w:rPr>
          <w:sz w:val="48"/>
          <w:szCs w:val="48"/>
        </w:rPr>
      </w:pPr>
      <w:r>
        <w:br w:type="page"/>
      </w:r>
    </w:p>
    <w:p w14:paraId="42536CE8" w14:textId="33A35445" w:rsidR="00B04609" w:rsidRPr="00915869" w:rsidRDefault="00163EBE" w:rsidP="00DC1ADB">
      <w:pPr>
        <w:pStyle w:val="Heading1"/>
        <w:rPr>
          <w:bCs/>
        </w:rPr>
      </w:pPr>
      <w:r w:rsidRPr="00286ADB">
        <w:lastRenderedPageBreak/>
        <w:t>Results</w:t>
      </w:r>
    </w:p>
    <w:p w14:paraId="645006D9" w14:textId="0B275A8F" w:rsidR="00480522" w:rsidRDefault="007E0402" w:rsidP="00DC1ADB">
      <w:r>
        <w:t>Global distribution of venomous snake species</w:t>
      </w:r>
    </w:p>
    <w:p w14:paraId="2889A7A5" w14:textId="65DFABB8" w:rsidR="00294CD1" w:rsidRDefault="16738B5D" w:rsidP="00DC1ADB">
      <w:r w:rsidRPr="16738B5D">
        <w:t>Global variation in market antivenom availability</w:t>
      </w:r>
    </w:p>
    <w:p w14:paraId="67010B9D" w14:textId="77777777" w:rsidR="006D46FC" w:rsidRDefault="006D46FC" w:rsidP="00DC1ADB">
      <w:pPr>
        <w:rPr>
          <w:highlight w:val="white"/>
        </w:rPr>
      </w:pPr>
    </w:p>
    <w:p w14:paraId="253656EA" w14:textId="54776694" w:rsidR="00294CD1" w:rsidRDefault="16738B5D" w:rsidP="00DC1ADB">
      <w:r w:rsidRPr="16738B5D">
        <w:t>Populations lacking access to quality health</w:t>
      </w:r>
      <w:r w:rsidR="009069BA">
        <w:t xml:space="preserve"> </w:t>
      </w:r>
      <w:r w:rsidRPr="16738B5D">
        <w:t>care</w:t>
      </w:r>
    </w:p>
    <w:p w14:paraId="2A11531A" w14:textId="4C9041FC" w:rsidR="00AC00EE" w:rsidRDefault="00AC00EE" w:rsidP="00DC1ADB"/>
    <w:p w14:paraId="57D3DC6C" w14:textId="77777777" w:rsidR="008C3E76" w:rsidRDefault="008C3E76" w:rsidP="00DC1ADB"/>
    <w:p w14:paraId="4CFAB358" w14:textId="77777777" w:rsidR="002F1C80" w:rsidRDefault="002F1C80" w:rsidP="00DC1ADB">
      <w:r>
        <w:br w:type="page"/>
      </w:r>
    </w:p>
    <w:p w14:paraId="58D818D6" w14:textId="612CB2B8" w:rsidR="00B63D4D" w:rsidRPr="00B63D4D" w:rsidRDefault="16738B5D" w:rsidP="00DC1ADB">
      <w:pPr>
        <w:pStyle w:val="Heading1"/>
        <w:rPr>
          <w:sz w:val="24"/>
          <w:szCs w:val="24"/>
          <w:highlight w:val="white"/>
        </w:rPr>
      </w:pPr>
      <w:r w:rsidRPr="007F2B64">
        <w:lastRenderedPageBreak/>
        <w:t>Disc</w:t>
      </w:r>
      <w:r w:rsidR="00163EBE" w:rsidRPr="007F2B64">
        <w:t>ussion</w:t>
      </w:r>
    </w:p>
    <w:p w14:paraId="5C8C466D" w14:textId="751A773B" w:rsidR="00CC3D6C" w:rsidRDefault="00CC3D6C" w:rsidP="00DC1ADB"/>
    <w:p w14:paraId="467D4FBA" w14:textId="358164E5" w:rsidR="00CC3D6C" w:rsidRDefault="00CC3D6C" w:rsidP="00DC1ADB">
      <w:r>
        <w:t xml:space="preserve">“Concerns have been raised regarding the use of </w:t>
      </w:r>
      <w:proofErr w:type="spellStart"/>
      <w:r>
        <w:t>pointof</w:t>
      </w:r>
      <w:proofErr w:type="spellEnd"/>
      <w:r>
        <w:t xml:space="preserve">-contact antibody tests for clinical decision making and for so-called immune passports. However, use of such tests for large-scale, population-based, seroprevalence studies is less controversial, provided that sensitivity and specificity are sufficiently high and appropriately corrected for.37,38 “ - </w:t>
      </w:r>
      <w:r w:rsidRPr="00CC3D6C">
        <w:t>https://www.thelancet.com/pdfs/journals/langlo/PIIS2214-109X(20)30387-9.pdf</w:t>
      </w:r>
    </w:p>
    <w:p w14:paraId="135CFB43" w14:textId="2273A2D1" w:rsidR="00CC3D6C" w:rsidRDefault="00CC3D6C" w:rsidP="00DC1ADB"/>
    <w:p w14:paraId="5342B27C" w14:textId="77777777" w:rsidR="00DE35B4" w:rsidRDefault="00DE35B4" w:rsidP="00DC1ADB">
      <w:r>
        <w:t>“Our results have strong face validity, showing a high correlation with reported death rates, an increase over time as the pandemic progressed, and distribution by age, socioeconomic status, and household size that would be expected. “ https://doi.org/10.1016/ S2214-109X(20)30387-9</w:t>
      </w:r>
    </w:p>
    <w:p w14:paraId="29450F37" w14:textId="55E18A86" w:rsidR="00DE35B4" w:rsidRDefault="00DE35B4" w:rsidP="00DC1ADB"/>
    <w:p w14:paraId="488C189C" w14:textId="0A99D7DA" w:rsidR="004A0EDF" w:rsidRDefault="004A0EDF" w:rsidP="00DC1ADB">
      <w:r>
        <w:t xml:space="preserve">Important </w:t>
      </w:r>
      <w:r w:rsidR="00026B37">
        <w:t xml:space="preserve">doubts exist regarding the use of rapid point-of-care antibody tests in clinical settings, due to their far-from-perfect specificity values (CITE). This is valid as a worry regarding clinical use, but it less important for population-based surveys, where estimates can be adjusted for sensitivity and specificity, as we have done here.  </w:t>
      </w:r>
    </w:p>
    <w:p w14:paraId="0CC9A5CA" w14:textId="77777777" w:rsidR="004A0EDF" w:rsidRDefault="004A0EDF" w:rsidP="00DC1ADB"/>
    <w:p w14:paraId="51D6C664" w14:textId="38CFD35F" w:rsidR="00DE35B4" w:rsidRDefault="004A0EDF" w:rsidP="00DC1ADB">
      <w:r>
        <w:t xml:space="preserve">Confidence in our results is increased by the fact seropositivity showed the correlations with household size and COVID-like symptoms that would be expected.  </w:t>
      </w:r>
    </w:p>
    <w:p w14:paraId="1E8EB0C5" w14:textId="77777777" w:rsidR="007941B4" w:rsidRDefault="00026B37" w:rsidP="00DC1ADB">
      <w:r>
        <w:t xml:space="preserve">Understanding </w:t>
      </w:r>
      <w:r w:rsidR="000A0A76">
        <w:t xml:space="preserve">what populations have already </w:t>
      </w:r>
      <w:r w:rsidR="007941B4">
        <w:t xml:space="preserve">developed antibodies to SARS-CoV-2 is vital for public health planning. It allows to understand whether large-scale spread––additional waves of infection––are still possible. It also provides data that allows us to do a retrospective review of public health prevention measures: that is, it allows us to ask questions like: to what extent were these measures effective? And, how can hygiene measures be reinforced for future epidemics. </w:t>
      </w:r>
    </w:p>
    <w:p w14:paraId="6B459468" w14:textId="77777777" w:rsidR="007941B4" w:rsidRDefault="007941B4" w:rsidP="00DC1ADB"/>
    <w:p w14:paraId="4939E2FF" w14:textId="23195562" w:rsidR="00DE35B4" w:rsidRDefault="007941B4" w:rsidP="00DC1ADB">
      <w:r>
        <w:t>By studying a random sample of</w:t>
      </w:r>
      <w:r w:rsidR="00C07C14">
        <w:t xml:space="preserve"> participants in a West African city, this study gives an idea of what levels of spread might be reasonable to expect in similar cities in Africa where </w:t>
      </w:r>
      <w:proofErr w:type="spellStart"/>
      <w:r w:rsidR="00C07C14">
        <w:t>serosurveys</w:t>
      </w:r>
      <w:proofErr w:type="spellEnd"/>
      <w:r w:rsidR="00C07C14">
        <w:t xml:space="preserve"> have not been done. </w:t>
      </w:r>
      <w:r>
        <w:t xml:space="preserve"> </w:t>
      </w:r>
      <w:r w:rsidR="00C07C14">
        <w:t xml:space="preserve">The analysis therefore provides valuable data to inform </w:t>
      </w:r>
      <w:r w:rsidR="00EB719F">
        <w:t xml:space="preserve">practice and research. </w:t>
      </w:r>
    </w:p>
    <w:p w14:paraId="23910A5D" w14:textId="56E2B246" w:rsidR="00A65E2B" w:rsidRDefault="00A65E2B" w:rsidP="00DC1ADB"/>
    <w:p w14:paraId="536D78DD" w14:textId="77777777" w:rsidR="001C7B5F" w:rsidRDefault="00EB719F" w:rsidP="00DC1ADB">
      <w:r>
        <w:t xml:space="preserve">While the estimates arrived at in this cannot serve as a stand-in for other African cities where </w:t>
      </w:r>
      <w:proofErr w:type="spellStart"/>
      <w:r>
        <w:t>serosurveys</w:t>
      </w:r>
      <w:proofErr w:type="spellEnd"/>
      <w:r>
        <w:t xml:space="preserve"> have not been done, we should expect that the extent of spread here (</w:t>
      </w:r>
      <w:r w:rsidR="001C7B5F">
        <w:t xml:space="preserve">and especially the high degree of underreporting) should not be too far from what might be expected in similarly-dense African cities with like climates. </w:t>
      </w:r>
    </w:p>
    <w:p w14:paraId="68831ADC" w14:textId="77777777" w:rsidR="001C7B5F" w:rsidRDefault="001C7B5F" w:rsidP="00DC1ADB"/>
    <w:p w14:paraId="51DE0B3C" w14:textId="10A718C1" w:rsidR="00EB719F" w:rsidRDefault="001C7B5F" w:rsidP="00DC1ADB">
      <w:r>
        <w:t xml:space="preserve">Other studies have shown similarly high extents of spread in African cities. A preprint from Nigeria showed that up to XX% of individuals in Niger state were positive for </w:t>
      </w:r>
      <w:proofErr w:type="spellStart"/>
      <w:r>
        <w:t>anti SARS-CoV-2</w:t>
      </w:r>
      <w:proofErr w:type="spellEnd"/>
      <w:r>
        <w:t xml:space="preserve"> antibodies. </w:t>
      </w:r>
    </w:p>
    <w:p w14:paraId="18D21B4B" w14:textId="77777777" w:rsidR="001C7B5F" w:rsidRDefault="001C7B5F" w:rsidP="00DC1ADB"/>
    <w:p w14:paraId="2BA4A625" w14:textId="718F1D18" w:rsidR="00F96E3F" w:rsidRPr="002F5FB9" w:rsidRDefault="00F96E3F" w:rsidP="00DC1ADB">
      <w:pPr>
        <w:pStyle w:val="Heading2"/>
      </w:pPr>
      <w:r w:rsidRPr="002952F1">
        <w:lastRenderedPageBreak/>
        <w:t>Limitations</w:t>
      </w:r>
    </w:p>
    <w:p w14:paraId="39831B33" w14:textId="5109443D" w:rsidR="00597907" w:rsidRDefault="00597907" w:rsidP="00DC1ADB">
      <w:r>
        <w:t xml:space="preserve">Future </w:t>
      </w:r>
      <w:proofErr w:type="spellStart"/>
      <w:r w:rsidR="0077447D">
        <w:t>serosurveys</w:t>
      </w:r>
      <w:proofErr w:type="spellEnd"/>
      <w:r w:rsidR="0077447D">
        <w:t xml:space="preserve"> might focus on some of the limitations of the present study.</w:t>
      </w:r>
    </w:p>
    <w:p w14:paraId="6B8BC361" w14:textId="42738D05" w:rsidR="0077447D" w:rsidRDefault="0077447D" w:rsidP="00DC1ADB"/>
    <w:p w14:paraId="62544ED9" w14:textId="30C4970B" w:rsidR="0034018A" w:rsidRDefault="00C046DD" w:rsidP="00DC1ADB">
      <w:r>
        <w:t xml:space="preserve">Our study is limited by our lack of knowledge of </w:t>
      </w:r>
      <w:r w:rsidR="008C0B0A">
        <w:t xml:space="preserve">the time </w:t>
      </w:r>
      <w:r w:rsidR="001727FC">
        <w:t xml:space="preserve">since infection </w:t>
      </w:r>
      <w:r w:rsidR="00337CE7">
        <w:t>of each of the study participants. Because of this, our sensitivity estimates are crude, time-</w:t>
      </w:r>
      <w:r w:rsidR="0034018A">
        <w:t xml:space="preserve">indifferent estimates. This is an important limitation because we know that even IgG antibody levels decline over time. </w:t>
      </w:r>
      <w:r w:rsidR="004F7FCD">
        <w:t>However, one recent study found that IgG antibodies were present up to 8 months after infection.</w:t>
      </w:r>
      <w:r w:rsidR="0072107C">
        <w:fldChar w:fldCharType="begin"/>
      </w:r>
      <w:r w:rsidR="0078252A">
        <w:instrText xml:space="preserve"> ADDIN ZOTERO_ITEM CSL_CITATION {"citationID":"WlbUHM0c","properties":{"formattedCitation":"\\super 8\\nosupersub{}","plainCitation":"8","noteIndex":0},"citationItems":[{"id":67,"uris":["http://zotero.org/users/6990598/items/YBRTIP4S"],"uri":["http://zotero.org/users/6990598/items/YBRTIP4S"],"itemData":{"id":67,"type":"article-journal","abstract":"Understanding immune memory to SARS-CoV-2 is critical for improving diagnostics and vaccines, and for assessing the likely future course of the COVID-19 pandemic. We analyzed multiple compartments of circulating immune memory to SARS-CoV-2 in 254 samples from 188 COVID-19 cases, including 43 samples at ≥ 6 months post-infection. IgG to the Spike protein was relatively stable over 6+ months. Spike-specific memory B cells were more abundant at 6 months than at 1 month post symptom onset. SARS-CoV-2-specific CD4+ T cells and CD8+ T cells declined with a half-life of 3-5 months. By studying antibody, memory B cell, CD4+ T cell, and CD8+ T cell memory to SARS-CoV-2 in an integrated manner, we observed that each component of SARS-CoV-2 immune memory exhibited distinct kinetics.","container-title":"Science","DOI":"10.1126/science.abf4063","ISSN":"0036-8075, 1095-9203","language":"en","note":"publisher: American Association for the Advancement of Science\nsection: Research Article\nPMID: 33408181","source":"science.sciencemag.org","title":"Immunological memory to SARS-CoV-2 assessed for up to 8 months after infection","URL":"https://science.sciencemag.org/content/early/2021/01/06/science.abf4063","author":[{"family":"Dan","given":"Jennifer M."},{"family":"Mateus","given":"Jose"},{"family":"Kato","given":"Yu"},{"family":"Hastie","given":"Kathryn M."},{"family":"Yu","given":"Esther Dawen"},{"family":"Faliti","given":"Caterina E."},{"family":"Grifoni","given":"Alba"},{"family":"Ramirez","given":"Sydney I."},{"family":"Haupt","given":"Sonya"},{"family":"Frazier","given":"April"},{"family":"Nakao","given":"Catherine"},{"family":"Rayaprolu","given":"Vamseedhar"},{"family":"Rawlings","given":"Stephen A."},{"family":"Peters","given":"Bjoern"},{"family":"Krammer","given":"Florian"},{"family":"Simon","given":"Viviana"},{"family":"Saphire","given":"Erica Ollmann"},{"family":"Smith","given":"Davey M."},{"family":"Weiskopf","given":"Daniela"},{"family":"Sette","given":"Alessandro"},{"family":"Crotty","given":"Shane"}],"accessed":{"date-parts":[["2021",1,13]]},"issued":{"date-parts":[["2021",1,6]]}}}],"schema":"https://github.com/citation-style-language/schema/raw/master/csl-citation.json"} </w:instrText>
      </w:r>
      <w:r w:rsidR="0072107C">
        <w:fldChar w:fldCharType="separate"/>
      </w:r>
      <w:r w:rsidR="0078252A" w:rsidRPr="0078252A">
        <w:rPr>
          <w:vertAlign w:val="superscript"/>
        </w:rPr>
        <w:t>8</w:t>
      </w:r>
      <w:r w:rsidR="0072107C">
        <w:fldChar w:fldCharType="end"/>
      </w:r>
      <w:r w:rsidR="004F7FCD">
        <w:t xml:space="preserve"> </w:t>
      </w:r>
    </w:p>
    <w:p w14:paraId="0D40DB0E" w14:textId="77777777" w:rsidR="00597907" w:rsidRDefault="00597907" w:rsidP="00DC1ADB"/>
    <w:p w14:paraId="5A3ED304" w14:textId="01BAB60B" w:rsidR="00D06099" w:rsidRDefault="00D06099" w:rsidP="00DC1ADB">
      <w:r>
        <w:br w:type="page"/>
      </w:r>
    </w:p>
    <w:p w14:paraId="72E67260" w14:textId="77777777" w:rsidR="00AD370D" w:rsidRDefault="00AD370D" w:rsidP="00DC1ADB"/>
    <w:p w14:paraId="10297A15" w14:textId="563ABA17" w:rsidR="00AD370D" w:rsidRPr="00AD370D" w:rsidRDefault="16738B5D" w:rsidP="0072107C">
      <w:pPr>
        <w:pStyle w:val="Heading1"/>
      </w:pPr>
      <w:r w:rsidRPr="16738B5D">
        <w:t>Contributors</w:t>
      </w:r>
    </w:p>
    <w:p w14:paraId="4D28B2F0" w14:textId="225F0521" w:rsidR="00AD370D" w:rsidRPr="00A90917" w:rsidRDefault="16738B5D" w:rsidP="00DC1ADB">
      <w:r w:rsidRPr="16738B5D">
        <w:t>JL, DMP</w:t>
      </w:r>
      <w:r w:rsidR="000533A3">
        <w:t>,</w:t>
      </w:r>
      <w:r w:rsidRPr="16738B5D">
        <w:t xml:space="preserve"> and SIH conceived and planned the study. JL wrote the computer code, and designed and carried out the analyses with input from FMS and DMP. </w:t>
      </w:r>
      <w:proofErr w:type="spellStart"/>
      <w:r w:rsidRPr="16738B5D">
        <w:t>DJWe</w:t>
      </w:r>
      <w:proofErr w:type="spellEnd"/>
      <w:r w:rsidRPr="16738B5D">
        <w:t xml:space="preserve"> constructed the accessibility covariate data layer. JL produced all output figures. </w:t>
      </w:r>
      <w:proofErr w:type="spellStart"/>
      <w:r w:rsidRPr="16738B5D">
        <w:t>DJWi</w:t>
      </w:r>
      <w:proofErr w:type="spellEnd"/>
      <w:r w:rsidRPr="16738B5D">
        <w:t xml:space="preserve">, DAW, NR, </w:t>
      </w:r>
      <w:proofErr w:type="spellStart"/>
      <w:r w:rsidRPr="16738B5D">
        <w:t>RRdC</w:t>
      </w:r>
      <w:proofErr w:type="spellEnd"/>
      <w:r w:rsidRPr="16738B5D">
        <w:t xml:space="preserve">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DC1ADB"/>
    <w:p w14:paraId="480435A8" w14:textId="77777777" w:rsidR="00C35917" w:rsidRPr="00C35917" w:rsidRDefault="16738B5D" w:rsidP="0072107C">
      <w:pPr>
        <w:pStyle w:val="Heading1"/>
      </w:pPr>
      <w:r w:rsidRPr="16738B5D">
        <w:t>Declarations of interests</w:t>
      </w:r>
    </w:p>
    <w:p w14:paraId="6144B150" w14:textId="6AE7691C" w:rsidR="00C35917" w:rsidRDefault="16738B5D" w:rsidP="00DC1ADB">
      <w:r w:rsidRPr="16738B5D">
        <w:t>The authors declare no competing interests.</w:t>
      </w:r>
    </w:p>
    <w:p w14:paraId="4AB8495D" w14:textId="240E3F73" w:rsidR="00C35917" w:rsidRDefault="00C35917" w:rsidP="00DC1ADB"/>
    <w:p w14:paraId="51A4E1C3" w14:textId="6B4761E8" w:rsidR="00C35917" w:rsidRDefault="16738B5D" w:rsidP="0072107C">
      <w:pPr>
        <w:pStyle w:val="Heading1"/>
      </w:pPr>
      <w:r w:rsidRPr="16738B5D">
        <w:t>Acknowledgements</w:t>
      </w:r>
    </w:p>
    <w:p w14:paraId="2C83E922" w14:textId="4BB9C491" w:rsidR="00C35917" w:rsidRDefault="16738B5D" w:rsidP="00DC1ADB">
      <w:r w:rsidRPr="16738B5D">
        <w:t>SIH is funded by grants from the Bill &amp; Melinda Gates Foundation (OPP1093011, OPP1106023, OPP1132415</w:t>
      </w:r>
      <w:r w:rsidR="000E4F1E">
        <w:t>,</w:t>
      </w:r>
      <w:r w:rsidRPr="16738B5D">
        <w:t xml:space="preserve"> </w:t>
      </w:r>
      <w:r w:rsidRPr="16738B5D">
        <w:rPr>
          <w:rFonts w:asciiTheme="minorHAnsi" w:hAnsiTheme="minorHAnsi" w:cstheme="minorBidi"/>
          <w:lang w:val="en-US" w:eastAsia="en-US"/>
        </w:rPr>
        <w:t>OPP1159934</w:t>
      </w:r>
      <w:r w:rsidR="004A57BC">
        <w:rPr>
          <w:rFonts w:asciiTheme="minorHAnsi" w:hAnsiTheme="minorHAnsi" w:cstheme="minorBidi"/>
          <w:lang w:val="en-US" w:eastAsia="en-US"/>
        </w:rPr>
        <w:t>,</w:t>
      </w:r>
      <w:r w:rsidR="000E4F1E">
        <w:rPr>
          <w:rFonts w:asciiTheme="minorHAnsi" w:hAnsiTheme="minorHAnsi" w:cstheme="minorBidi"/>
          <w:lang w:val="en-US" w:eastAsia="en-US"/>
        </w:rPr>
        <w:t xml:space="preserve"> and OPP1176062</w:t>
      </w:r>
      <w:r w:rsidRPr="16738B5D">
        <w:t>)</w:t>
      </w:r>
      <w:r w:rsidR="004A57BC">
        <w:t>,</w:t>
      </w:r>
      <w:r w:rsidR="000E4F1E">
        <w:t xml:space="preserve"> the </w:t>
      </w:r>
      <w:proofErr w:type="spellStart"/>
      <w:r w:rsidR="000E4F1E">
        <w:t>Wellcome</w:t>
      </w:r>
      <w:proofErr w:type="spellEnd"/>
      <w:r w:rsidR="000E4F1E">
        <w:t xml:space="preserve"> Trust (#209142</w:t>
      </w:r>
      <w:r w:rsidR="00FB286C">
        <w:t xml:space="preserve"> and Senior Research Fellowship #</w:t>
      </w:r>
      <w:r w:rsidR="00FB286C" w:rsidRPr="00FB286C">
        <w:t>095066</w:t>
      </w:r>
      <w:r w:rsidR="000E4F1E">
        <w:t>)</w:t>
      </w:r>
      <w:r w:rsidR="004A57BC">
        <w:t>,</w:t>
      </w:r>
      <w:r w:rsidR="000E4F1E">
        <w:t xml:space="preserve"> and the Fleming Fund</w:t>
      </w:r>
      <w:r w:rsidRPr="16738B5D">
        <w:t>. OPP1093011 also supports JL and DMP.</w:t>
      </w:r>
      <w:r w:rsidR="000E4F1E">
        <w:t xml:space="preserve"> The Fleming Fund also supports MD.</w:t>
      </w:r>
      <w:r>
        <w:t xml:space="preserve"> </w:t>
      </w:r>
      <w:r w:rsidRPr="16738B5D">
        <w:t xml:space="preserve">FMS is supported by a scholarship from The Rhodes Trust. NR, FC, </w:t>
      </w:r>
      <w:proofErr w:type="spellStart"/>
      <w:r w:rsidRPr="16738B5D">
        <w:t>RRdC</w:t>
      </w:r>
      <w:proofErr w:type="spellEnd"/>
      <w:r w:rsidRPr="16738B5D">
        <w:t xml:space="preserve"> and GA are partly supported by a grant from the Swiss National Science Foundation (315130_176271). </w:t>
      </w:r>
      <w:proofErr w:type="spellStart"/>
      <w:r w:rsidRPr="16738B5D">
        <w:t>DJWi</w:t>
      </w:r>
      <w:proofErr w:type="spellEnd"/>
      <w:r w:rsidRPr="16738B5D">
        <w:t xml:space="preserve"> is supported by a Doherty Biomedical Postdoctoral Fellowship from the Australian National Health and Medical Research Council (NHMRC). We thank C A Design Services for assistance with expert opinion range map digiti</w:t>
      </w:r>
      <w:r w:rsidR="009A52B3">
        <w:t>s</w:t>
      </w:r>
      <w:r w:rsidRPr="16738B5D">
        <w:t>ation.</w:t>
      </w:r>
    </w:p>
    <w:p w14:paraId="15328036" w14:textId="61349377" w:rsidR="00C35917" w:rsidRPr="00D54995" w:rsidRDefault="00C35917" w:rsidP="00DC1ADB"/>
    <w:p w14:paraId="473ABA73" w14:textId="77777777" w:rsidR="00E11100" w:rsidRDefault="00E11100" w:rsidP="00DC1ADB">
      <w:r>
        <w:br w:type="page"/>
      </w:r>
    </w:p>
    <w:p w14:paraId="5CA31B6E" w14:textId="6B200A5E" w:rsidR="00915869" w:rsidRPr="007F2B64" w:rsidRDefault="16738B5D" w:rsidP="00DC1ADB">
      <w:pPr>
        <w:pStyle w:val="Heading1"/>
      </w:pPr>
      <w:r w:rsidRPr="000047D5">
        <w:lastRenderedPageBreak/>
        <w:t>Figures and Tables</w:t>
      </w:r>
    </w:p>
    <w:p w14:paraId="44C17708" w14:textId="134A6640" w:rsidR="004F5E4C" w:rsidRDefault="004F5E4C" w:rsidP="00DC1ADB">
      <w:r w:rsidRPr="004F5E4C">
        <w:rPr>
          <w:b/>
          <w:bCs/>
        </w:rPr>
        <w:t>Figure 1. Conceptual overview of vulnerability to snakebite envenoming.</w:t>
      </w:r>
      <w:r>
        <w:rPr>
          <w:rFonts w:ascii="MyriadPro-Bold" w:eastAsia="Times New Roman" w:hAnsi="MyriadPro-Bold" w:cs="MyriadPro-Bold"/>
          <w:b/>
          <w:bCs/>
          <w:sz w:val="20"/>
          <w:szCs w:val="20"/>
        </w:rPr>
        <w:t xml:space="preserve"> </w:t>
      </w:r>
      <w:r w:rsidRPr="004F5E4C">
        <w:t>Vulnerability can be considered as the intersection of populations who live within the range of venomous snakes which have no antivenoms available, cannot easily access health care, and have poor</w:t>
      </w:r>
      <w:r w:rsidR="00107FA4">
        <w:t>-</w:t>
      </w:r>
      <w:r w:rsidRPr="004F5E4C">
        <w:t>quality health care in delivery of antivenoms or ensuring necessary stocks. The intersection of all three defines the most vulnerable peoples. The figure to the right indicates that these factors vary in space and that by overlaying these features, the most vulnerable populations can be identified spatially (represented here by the boxes outlined in black).</w:t>
      </w:r>
    </w:p>
    <w:p w14:paraId="28416F81" w14:textId="77777777" w:rsidR="0072107C" w:rsidRDefault="0072107C" w:rsidP="00DC1ADB">
      <w:pPr>
        <w:rPr>
          <w:rFonts w:asciiTheme="minorHAnsi" w:hAnsiTheme="minorHAnsi" w:cstheme="minorBidi"/>
          <w:color w:val="1F497D"/>
        </w:rPr>
      </w:pPr>
    </w:p>
    <w:p w14:paraId="4955B665" w14:textId="014ECE6C" w:rsidR="00E80FED" w:rsidRDefault="00E80FED" w:rsidP="00DC1ADB">
      <w:bookmarkStart w:id="49" w:name="_Hlk512598040"/>
      <w:r w:rsidRPr="0072107C">
        <w:rPr>
          <w:b/>
          <w:bCs/>
        </w:rPr>
        <w:t>Figure 2. Venomous snake species ranges, and number of medically important venomous snake species per 5 x 5km location for which no effective</w:t>
      </w:r>
      <w:r w:rsidR="00153454" w:rsidRPr="0072107C">
        <w:rPr>
          <w:b/>
          <w:bCs/>
        </w:rPr>
        <w:t xml:space="preserve"> therapy is currently listed by </w:t>
      </w:r>
      <w:r w:rsidRPr="0072107C">
        <w:rPr>
          <w:b/>
          <w:bCs/>
        </w:rPr>
        <w:t>WHO.</w:t>
      </w:r>
      <w:r w:rsidRPr="00DC3823">
        <w:t xml:space="preserve"> A: Categories one and two venomous snake species count ranging from low (1) to high (13). Light grey (Panel A), represents locations where no medically important venomous snake species are present; B: Categories one and two venomous snake species with no effective therapy, counts range from low (1) to high (7). Light grey (Panel B) represents locations where snake species present have effective therapies listed by WHO, and dark grey (Panel B) represents locations where no medically important venomous snake species are present.</w:t>
      </w:r>
    </w:p>
    <w:p w14:paraId="4751C273" w14:textId="77777777" w:rsidR="0072107C" w:rsidRPr="00DC3823" w:rsidRDefault="0072107C" w:rsidP="00DC1ADB"/>
    <w:bookmarkEnd w:id="49"/>
    <w:p w14:paraId="70CF686B" w14:textId="26056E4A" w:rsidR="00263E4D" w:rsidRDefault="16738B5D" w:rsidP="00DC1ADB">
      <w:r w:rsidRPr="16738B5D">
        <w:rPr>
          <w:b/>
          <w:bCs/>
        </w:rPr>
        <w:t xml:space="preserve">Figure </w:t>
      </w:r>
      <w:r w:rsidR="00153454">
        <w:rPr>
          <w:b/>
          <w:bCs/>
        </w:rPr>
        <w:t>3</w:t>
      </w:r>
      <w:r w:rsidRPr="16738B5D">
        <w:rPr>
          <w:b/>
          <w:bCs/>
        </w:rPr>
        <w:t>. Proportion of each HAQ Index decile.</w:t>
      </w:r>
      <w:r w:rsidRPr="16738B5D">
        <w:t xml:space="preserve"> Population living within the range of (left) one or more medically important venomous snake species (either category); </w:t>
      </w:r>
      <w:r w:rsidR="002C7341">
        <w:t>(</w:t>
      </w:r>
      <w:r w:rsidRPr="16738B5D">
        <w:t xml:space="preserve">right) </w:t>
      </w:r>
      <w:r w:rsidR="00562AE1">
        <w:t>o</w:t>
      </w:r>
      <w:r w:rsidR="00562AE1" w:rsidRPr="16738B5D">
        <w:t xml:space="preserve">ne </w:t>
      </w:r>
      <w:r w:rsidRPr="16738B5D">
        <w:t>or more medically important venomous snake species (either category), for which no effective therapy is listed.</w:t>
      </w:r>
    </w:p>
    <w:p w14:paraId="3964D796" w14:textId="77777777" w:rsidR="0072107C" w:rsidRPr="0099479B" w:rsidRDefault="0072107C" w:rsidP="00DC1ADB"/>
    <w:p w14:paraId="7511FA76" w14:textId="31890911" w:rsidR="006415A1" w:rsidRDefault="16738B5D" w:rsidP="00DC1ADB">
      <w:r w:rsidRPr="16738B5D">
        <w:rPr>
          <w:b/>
          <w:bCs/>
        </w:rPr>
        <w:t xml:space="preserve">Figure </w:t>
      </w:r>
      <w:r w:rsidR="00153454">
        <w:rPr>
          <w:b/>
          <w:bCs/>
        </w:rPr>
        <w:t>4</w:t>
      </w:r>
      <w:r w:rsidRPr="16738B5D">
        <w:rPr>
          <w:b/>
          <w:bCs/>
        </w:rPr>
        <w:t xml:space="preserve">. </w:t>
      </w:r>
      <w:bookmarkStart w:id="50" w:name="_Hlk511749640"/>
      <w:bookmarkStart w:id="51" w:name="_Hlk512598109"/>
      <w:r w:rsidRPr="16738B5D">
        <w:rPr>
          <w:b/>
          <w:bCs/>
        </w:rPr>
        <w:t>Average travel time to nearest major city for populations living within snake ranges</w:t>
      </w:r>
      <w:bookmarkEnd w:id="50"/>
      <w:r w:rsidRPr="16738B5D">
        <w:rPr>
          <w:b/>
          <w:bCs/>
        </w:rPr>
        <w:t xml:space="preserve">. </w:t>
      </w:r>
      <w:bookmarkStart w:id="52" w:name="_Hlk511749672"/>
      <w:r w:rsidR="00C71AC5" w:rsidRPr="00C71AC5">
        <w:t>Light grey pixels represent areas without the presence of venomous snake species of medical importance</w:t>
      </w:r>
      <w:bookmarkEnd w:id="52"/>
      <w:r w:rsidR="00C71AC5" w:rsidRPr="00C71AC5">
        <w:t>.</w:t>
      </w:r>
      <w:bookmarkEnd w:id="51"/>
    </w:p>
    <w:p w14:paraId="712D9150" w14:textId="77777777" w:rsidR="0072107C" w:rsidRPr="0099479B" w:rsidRDefault="0072107C" w:rsidP="00DC1ADB"/>
    <w:p w14:paraId="18CE5706" w14:textId="7A08AE2A" w:rsidR="00E044B3" w:rsidRDefault="16738B5D" w:rsidP="00DC1ADB">
      <w:bookmarkStart w:id="53" w:name="_Hlk512327657"/>
      <w:r w:rsidRPr="16738B5D">
        <w:rPr>
          <w:b/>
          <w:bCs/>
        </w:rPr>
        <w:t xml:space="preserve">Figure </w:t>
      </w:r>
      <w:r w:rsidR="00153454">
        <w:rPr>
          <w:b/>
          <w:bCs/>
        </w:rPr>
        <w:t>5</w:t>
      </w:r>
      <w:r w:rsidRPr="16738B5D">
        <w:rPr>
          <w:b/>
          <w:bCs/>
        </w:rPr>
        <w:t>.</w:t>
      </w:r>
      <w:r w:rsidRPr="16738B5D">
        <w:t xml:space="preserve"> </w:t>
      </w:r>
      <w:r w:rsidRPr="16738B5D">
        <w:rPr>
          <w:b/>
          <w:bCs/>
        </w:rPr>
        <w:t>Vulnerable population hotspots.</w:t>
      </w:r>
      <w:r w:rsidRPr="16738B5D">
        <w:t xml:space="preserve"> </w:t>
      </w:r>
      <w:r w:rsidR="00137C94" w:rsidRPr="00137C94">
        <w:t xml:space="preserve">This map indicates the absolute numbers of people living in areas within the range of one or more medically important venomous snake species, and more than three hours away from major urban centres, for </w:t>
      </w:r>
      <w:r w:rsidR="00562AE1" w:rsidRPr="00137C94">
        <w:t>HAQ</w:t>
      </w:r>
      <w:r w:rsidR="00562AE1">
        <w:t xml:space="preserve"> Index</w:t>
      </w:r>
      <w:r w:rsidR="00562AE1" w:rsidRPr="00137C94">
        <w:t xml:space="preserve"> </w:t>
      </w:r>
      <w:r w:rsidR="00137C94" w:rsidRPr="00137C94">
        <w:t>deciles 1-3. A: pixel</w:t>
      </w:r>
      <w:r w:rsidR="00D504E2">
        <w:t>-</w:t>
      </w:r>
      <w:r w:rsidR="00137C94" w:rsidRPr="00137C94">
        <w:t>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3A0E70D4" w14:textId="77777777" w:rsidR="0072107C" w:rsidRDefault="0072107C" w:rsidP="00DC1ADB"/>
    <w:bookmarkEnd w:id="53"/>
    <w:p w14:paraId="4427F35E" w14:textId="77777777" w:rsidR="00994E27" w:rsidRPr="00994E27" w:rsidRDefault="16738B5D" w:rsidP="00DC1ADB">
      <w:r w:rsidRPr="16738B5D">
        <w:rPr>
          <w:b/>
          <w:bCs/>
        </w:rPr>
        <w:t>Table 1. Vulnerable population count.</w:t>
      </w:r>
      <w:r w:rsidRPr="16738B5D">
        <w:t xml:space="preserve"> </w:t>
      </w:r>
      <w:r w:rsidR="008542F2" w:rsidRPr="008542F2">
        <w:t>Country-level count of vulnerable peoples living within the range of one or more medically important venomous snake species</w:t>
      </w:r>
      <w:r w:rsidR="00994E27" w:rsidRPr="00994E27">
        <w:t>, for which no effective therapy exists,</w:t>
      </w:r>
      <w:r w:rsidR="008542F2" w:rsidRPr="008542F2">
        <w:t xml:space="preserve"> and more than three hours urban </w:t>
      </w:r>
      <w:proofErr w:type="spellStart"/>
      <w:r w:rsidR="008542F2" w:rsidRPr="008542F2">
        <w:t>centers</w:t>
      </w:r>
      <w:proofErr w:type="spellEnd"/>
      <w:r w:rsidR="008542F2" w:rsidRPr="008542F2">
        <w:t xml:space="preserve"> with a population </w:t>
      </w:r>
      <w:r w:rsidR="008542F2" w:rsidRPr="008542F2">
        <w:rPr>
          <w:rFonts w:cstheme="minorHAnsi"/>
        </w:rPr>
        <w:t>≥</w:t>
      </w:r>
      <w:r w:rsidR="008542F2" w:rsidRPr="008542F2">
        <w:t xml:space="preserve">50 000 provided per HAQ Index decile [ranging from 1 (low) to 10 (high)]. </w:t>
      </w:r>
      <w:r w:rsidR="00994E27" w:rsidRPr="00994E27">
        <w:t>Please</w:t>
      </w:r>
      <w:r w:rsidR="008542F2" w:rsidRPr="008542F2">
        <w:t xml:space="preserve"> see Supplementary File 1 for </w:t>
      </w:r>
      <w:r w:rsidR="00994E27" w:rsidRPr="00994E27">
        <w:t>vulnerability</w:t>
      </w:r>
      <w:r w:rsidR="008542F2" w:rsidRPr="008542F2">
        <w:t xml:space="preserve"> estimates</w:t>
      </w:r>
      <w:r w:rsidR="00994E27" w:rsidRPr="00994E27">
        <w:t xml:space="preserve"> not incorporating antivenom availability.</w:t>
      </w:r>
    </w:p>
    <w:p w14:paraId="722D5A18" w14:textId="168A4E5A" w:rsidR="00915869" w:rsidRPr="004D2E4C" w:rsidRDefault="00915869" w:rsidP="00DC1ADB"/>
    <w:p w14:paraId="6001FC52" w14:textId="77777777" w:rsidR="000C3861" w:rsidRDefault="000C3861" w:rsidP="00DC1ADB">
      <w:r>
        <w:lastRenderedPageBreak/>
        <w:br w:type="page"/>
      </w:r>
    </w:p>
    <w:p w14:paraId="0028FAF3" w14:textId="2FD02AAD" w:rsidR="004A1CA7" w:rsidRPr="007F2B64" w:rsidRDefault="16738B5D" w:rsidP="00DC1ADB">
      <w:pPr>
        <w:pStyle w:val="Heading1"/>
      </w:pPr>
      <w:r w:rsidRPr="000047D5">
        <w:lastRenderedPageBreak/>
        <w:t>Additional Files</w:t>
      </w:r>
    </w:p>
    <w:p w14:paraId="36ACD244" w14:textId="59754301" w:rsidR="007875E8" w:rsidRPr="008C7A40" w:rsidRDefault="16738B5D" w:rsidP="00DC1ADB">
      <w:r w:rsidRPr="16738B5D">
        <w:t>Supplementary file 1:</w:t>
      </w:r>
    </w:p>
    <w:p w14:paraId="7FA278E1" w14:textId="10C76BE3" w:rsidR="008D439A" w:rsidRPr="008D439A" w:rsidRDefault="16738B5D" w:rsidP="00DC1ADB">
      <w:pPr>
        <w:rPr>
          <w:b/>
          <w:bCs/>
          <w:highlight w:val="yellow"/>
        </w:rPr>
      </w:pPr>
      <w:r w:rsidRPr="16738B5D">
        <w:rPr>
          <w:b/>
          <w:bCs/>
        </w:rPr>
        <w:t>Figure 1. Schematic overview of the methods.</w:t>
      </w:r>
      <w:r>
        <w:t xml:space="preserve"> </w:t>
      </w:r>
      <w:r w:rsidRPr="16738B5D">
        <w:t>Overview of the methods representing input data (green, snip diagonal corner rectangle), analyses (orange, rectangle), intermediate outputs (blue, rounded rectangle, dashed) and final outputs (yellow, rounded rectangle).</w:t>
      </w:r>
    </w:p>
    <w:p w14:paraId="4D1EBAF1" w14:textId="3895F5D9" w:rsidR="008C7A40" w:rsidRDefault="16738B5D" w:rsidP="00DC1ADB">
      <w:pPr>
        <w:rPr>
          <w:lang w:val="en-US" w:eastAsia="en-US"/>
        </w:rPr>
      </w:pPr>
      <w:r w:rsidRPr="16738B5D">
        <w:rPr>
          <w:b/>
          <w:bCs/>
          <w:lang w:val="en-US" w:eastAsia="en-US"/>
        </w:rPr>
        <w:t xml:space="preserve">Table 1: Ranked species requiring range validation. </w:t>
      </w:r>
      <w:r w:rsidRPr="16738B5D">
        <w:rPr>
          <w:lang w:val="en-US" w:eastAsia="en-US"/>
        </w:rPr>
        <w:t xml:space="preserve">Species requiring range validation are </w:t>
      </w:r>
      <w:proofErr w:type="spellStart"/>
      <w:r w:rsidRPr="16738B5D">
        <w:rPr>
          <w:lang w:val="en-US" w:eastAsia="en-US"/>
        </w:rPr>
        <w:t>prioritised</w:t>
      </w:r>
      <w:proofErr w:type="spellEnd"/>
      <w:r w:rsidRPr="16738B5D">
        <w:rPr>
          <w:lang w:val="en-US" w:eastAsia="en-US"/>
        </w:rPr>
        <w:t xml:space="preserve"> based on medical category, number of </w:t>
      </w:r>
      <w:r w:rsidR="00D504E2" w:rsidRPr="16738B5D">
        <w:rPr>
          <w:lang w:val="en-US" w:eastAsia="en-US"/>
        </w:rPr>
        <w:t>out</w:t>
      </w:r>
      <w:r w:rsidR="00D504E2">
        <w:rPr>
          <w:lang w:val="en-US" w:eastAsia="en-US"/>
        </w:rPr>
        <w:t>-</w:t>
      </w:r>
      <w:r w:rsidR="00D504E2" w:rsidRPr="16738B5D">
        <w:rPr>
          <w:lang w:val="en-US" w:eastAsia="en-US"/>
        </w:rPr>
        <w:t>of</w:t>
      </w:r>
      <w:r w:rsidR="00D504E2">
        <w:rPr>
          <w:lang w:val="en-US" w:eastAsia="en-US"/>
        </w:rPr>
        <w:t>-</w:t>
      </w:r>
      <w:r w:rsidRPr="16738B5D">
        <w:rPr>
          <w:lang w:val="en-US" w:eastAsia="en-US"/>
        </w:rPr>
        <w:t xml:space="preserve">range records, and average distance (decimal degrees) of </w:t>
      </w:r>
      <w:r w:rsidR="00D504E2" w:rsidRPr="16738B5D">
        <w:rPr>
          <w:lang w:val="en-US" w:eastAsia="en-US"/>
        </w:rPr>
        <w:t>out</w:t>
      </w:r>
      <w:r w:rsidR="00D504E2">
        <w:rPr>
          <w:lang w:val="en-US" w:eastAsia="en-US"/>
        </w:rPr>
        <w:t>-</w:t>
      </w:r>
      <w:r w:rsidR="00D504E2" w:rsidRPr="16738B5D">
        <w:rPr>
          <w:lang w:val="en-US" w:eastAsia="en-US"/>
        </w:rPr>
        <w:t>of</w:t>
      </w:r>
      <w:r w:rsidR="00D504E2">
        <w:rPr>
          <w:lang w:val="en-US" w:eastAsia="en-US"/>
        </w:rPr>
        <w:t>-</w:t>
      </w:r>
      <w:r w:rsidRPr="16738B5D">
        <w:rPr>
          <w:lang w:val="en-US" w:eastAsia="en-US"/>
        </w:rPr>
        <w:t xml:space="preserve">range records. Species with an asterisk are species for which we provide a recommended amended range within our analysis (see Supplementary File 2 for range </w:t>
      </w:r>
      <w:proofErr w:type="spellStart"/>
      <w:r w:rsidRPr="16738B5D">
        <w:rPr>
          <w:lang w:val="en-US" w:eastAsia="en-US"/>
        </w:rPr>
        <w:t>visuali</w:t>
      </w:r>
      <w:r w:rsidR="009A52B3">
        <w:rPr>
          <w:lang w:val="en-US" w:eastAsia="en-US"/>
        </w:rPr>
        <w:t>s</w:t>
      </w:r>
      <w:r w:rsidRPr="16738B5D">
        <w:rPr>
          <w:lang w:val="en-US" w:eastAsia="en-US"/>
        </w:rPr>
        <w:t>ations</w:t>
      </w:r>
      <w:proofErr w:type="spellEnd"/>
      <w:r w:rsidRPr="16738B5D">
        <w:rPr>
          <w:lang w:val="en-US" w:eastAsia="en-US"/>
        </w:rPr>
        <w:t>).</w:t>
      </w:r>
    </w:p>
    <w:p w14:paraId="52E88D2B" w14:textId="26874CEF" w:rsidR="008542F2" w:rsidRPr="008542F2" w:rsidRDefault="008542F2" w:rsidP="00DC1ADB">
      <w:pPr>
        <w:rPr>
          <w:rFonts w:eastAsiaTheme="minorEastAsia"/>
          <w:lang w:val="en-US" w:eastAsia="en-US"/>
        </w:rPr>
      </w:pPr>
      <w:r w:rsidRPr="008542F2">
        <w:rPr>
          <w:b/>
        </w:rPr>
        <w:t>Figure 2: Venomous snake species ranges and their overlap based upon proposed, amended ranges.</w:t>
      </w:r>
      <w:r>
        <w:rPr>
          <w:b/>
        </w:rPr>
        <w:t xml:space="preserve"> </w:t>
      </w:r>
      <w:r w:rsidRPr="008542F2">
        <w:t>A: Categories one and two venomous snake species count ranging from low (1) to high (13); B: Category one venomous snake species count ranging from low (1) to high (8); C: Category two venomous snake species count ranging from low (1) to high (11). Grey represents locations where no venomous snakes within the different aggregations are to be found.</w:t>
      </w:r>
    </w:p>
    <w:p w14:paraId="7968A3BC" w14:textId="6C054A8A" w:rsidR="008C7A40" w:rsidRPr="008C7A40" w:rsidRDefault="16738B5D" w:rsidP="00DC1ADB">
      <w:r w:rsidRPr="16738B5D">
        <w:rPr>
          <w:b/>
          <w:bCs/>
        </w:rPr>
        <w:t xml:space="preserve">Figure </w:t>
      </w:r>
      <w:r w:rsidR="008542F2">
        <w:rPr>
          <w:b/>
          <w:bCs/>
        </w:rPr>
        <w:t>3</w:t>
      </w:r>
      <w:r w:rsidRPr="16738B5D">
        <w:rPr>
          <w:b/>
          <w:bCs/>
        </w:rPr>
        <w:t>: Numbers of species with no listed antivenom</w:t>
      </w:r>
      <w:r w:rsidR="00164A6E">
        <w:rPr>
          <w:b/>
          <w:bCs/>
        </w:rPr>
        <w:t>,</w:t>
      </w:r>
      <w:r w:rsidRPr="16738B5D">
        <w:rPr>
          <w:b/>
          <w:bCs/>
        </w:rPr>
        <w:t xml:space="preserve"> split by medical importance. </w:t>
      </w:r>
      <w:r w:rsidRPr="16738B5D">
        <w:t>Each panel represents the number of venomous snake species per 5 x 5km cell for which no species-specific antivenom exists. Panel A: Category one medically important species; Panel B: Category two medically important species, ranging from low (blue, 1 species) to high (red, 7 species); Panel C. Both category one and category two medically important species, ranging from low (blue, 1 species), to high (red, 7 species).</w:t>
      </w:r>
    </w:p>
    <w:p w14:paraId="468D3ABB" w14:textId="706C6504" w:rsidR="008C7A40" w:rsidRDefault="16738B5D" w:rsidP="00DC1ADB">
      <w:r w:rsidRPr="16738B5D">
        <w:rPr>
          <w:b/>
          <w:bCs/>
        </w:rPr>
        <w:t xml:space="preserve">Figure </w:t>
      </w:r>
      <w:r w:rsidR="008542F2">
        <w:rPr>
          <w:b/>
          <w:bCs/>
        </w:rPr>
        <w:t>4</w:t>
      </w:r>
      <w:r w:rsidRPr="16738B5D">
        <w:rPr>
          <w:b/>
          <w:bCs/>
        </w:rPr>
        <w:t xml:space="preserve">: Proportion of each HAQ Index decile population living within ranges of medically important snake species. </w:t>
      </w:r>
      <w:r w:rsidRPr="16738B5D">
        <w:t xml:space="preserve">A) One or more </w:t>
      </w:r>
      <w:r w:rsidR="00A06C8C">
        <w:t>snake species</w:t>
      </w:r>
      <w:r w:rsidR="00A06C8C" w:rsidRPr="16738B5D">
        <w:t xml:space="preserve"> </w:t>
      </w:r>
      <w:r w:rsidRPr="16738B5D">
        <w:t xml:space="preserve">(either category); B) One or more Category one </w:t>
      </w:r>
      <w:r w:rsidR="00A06C8C">
        <w:t>species</w:t>
      </w:r>
      <w:r w:rsidRPr="16738B5D">
        <w:t xml:space="preserve">; C) One or more Category two </w:t>
      </w:r>
      <w:r w:rsidR="00A06C8C">
        <w:t>species</w:t>
      </w:r>
      <w:r w:rsidRPr="16738B5D">
        <w:t xml:space="preserve">; D) One or more </w:t>
      </w:r>
      <w:r w:rsidR="00A06C8C">
        <w:t>species</w:t>
      </w:r>
      <w:r w:rsidR="00A06C8C" w:rsidRPr="16738B5D">
        <w:t xml:space="preserve"> </w:t>
      </w:r>
      <w:r w:rsidRPr="16738B5D">
        <w:t xml:space="preserve">lacking listed antivenoms (either category); E) One or more Category one </w:t>
      </w:r>
      <w:r w:rsidR="00A06C8C">
        <w:t>species</w:t>
      </w:r>
      <w:r w:rsidR="00A06C8C" w:rsidRPr="16738B5D">
        <w:t xml:space="preserve"> </w:t>
      </w:r>
      <w:r w:rsidRPr="16738B5D">
        <w:t xml:space="preserve">lacking listed antivenoms; F) One or more Category two </w:t>
      </w:r>
      <w:r w:rsidR="00A06C8C">
        <w:t>species</w:t>
      </w:r>
      <w:r w:rsidR="00A06C8C" w:rsidRPr="16738B5D">
        <w:t xml:space="preserve"> </w:t>
      </w:r>
      <w:r w:rsidRPr="16738B5D">
        <w:t>lacking listed antivenoms.</w:t>
      </w:r>
    </w:p>
    <w:p w14:paraId="56C91944" w14:textId="333F6914" w:rsidR="008542F2" w:rsidRDefault="008542F2" w:rsidP="00DC1ADB">
      <w:r w:rsidRPr="008542F2">
        <w:rPr>
          <w:b/>
          <w:bCs/>
        </w:rPr>
        <w:t xml:space="preserve">Figure 5: Population time-delay plots, per HAQ Index decile. </w:t>
      </w:r>
      <w:r w:rsidRPr="008542F2">
        <w:t>Separate plots per HAQ Index decile (1-10), showing the percentage of the population living within n hours from urban centres with a population ≥50 000. Three letter codes represent each countries ISO3 code; numeric values following ISO3 codes (where applicable), represent the Food and Agriculture Organisation (FAO) Global Administrative Unit Layers (GAUL) code (administrative level one).</w:t>
      </w:r>
    </w:p>
    <w:p w14:paraId="59EFB6EF" w14:textId="1FEADF7F" w:rsidR="008542F2" w:rsidRPr="00DC3823" w:rsidRDefault="008542F2" w:rsidP="00DC1ADB">
      <w:r w:rsidRPr="00DC3823">
        <w:rPr>
          <w:b/>
          <w:bCs/>
        </w:rPr>
        <w:t>Figure 6:</w:t>
      </w:r>
      <w:r w:rsidRPr="00DC3823">
        <w:rPr>
          <w:noProof/>
        </w:rPr>
        <w:t xml:space="preserve"> </w:t>
      </w:r>
      <w:r w:rsidRPr="00DC3823">
        <w:t xml:space="preserve"> </w:t>
      </w:r>
      <w:r w:rsidRPr="00DC3823">
        <w:rPr>
          <w:b/>
          <w:bCs/>
        </w:rPr>
        <w:t>Vulnerable population hotspots.</w:t>
      </w:r>
      <w:r w:rsidRPr="00DC3823">
        <w:t xml:space="preserve"> This map indicates the absolute numbers of people living in areas within the range of one or more medically important venomous snake species, and more than three hours away from major urban centres, for HAQ Index deciles 1-10. A: pixel-level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5C49D759" w14:textId="6650E087" w:rsidR="008542F2" w:rsidRDefault="008542F2" w:rsidP="00DC1ADB">
      <w:r w:rsidRPr="00DC3823">
        <w:rPr>
          <w:b/>
        </w:rPr>
        <w:t xml:space="preserve">Table </w:t>
      </w:r>
      <w:r>
        <w:rPr>
          <w:b/>
        </w:rPr>
        <w:t>2</w:t>
      </w:r>
      <w:r w:rsidRPr="008542F2">
        <w:rPr>
          <w:b/>
        </w:rPr>
        <w:t>:</w:t>
      </w:r>
      <w:r w:rsidRPr="008542F2">
        <w:t xml:space="preserve"> </w:t>
      </w:r>
      <w:r w:rsidRPr="008542F2">
        <w:rPr>
          <w:b/>
        </w:rPr>
        <w:t xml:space="preserve">Vulnerable population count. </w:t>
      </w:r>
      <w:r w:rsidRPr="008542F2">
        <w:t xml:space="preserve">Country-level count of vulnerable peoples living within the range of one or more medically important venomous snake species for which no effective therapy exists and more than three hours urban </w:t>
      </w:r>
      <w:proofErr w:type="spellStart"/>
      <w:r w:rsidRPr="008542F2">
        <w:t>centers</w:t>
      </w:r>
      <w:proofErr w:type="spellEnd"/>
      <w:r w:rsidRPr="008542F2">
        <w:t xml:space="preserve"> with a population ≥50 </w:t>
      </w:r>
      <w:r w:rsidRPr="008542F2">
        <w:lastRenderedPageBreak/>
        <w:t>000, provided per HAQ Index decile [ranging from 1 (low) to 10 (high)].</w:t>
      </w:r>
      <w:r w:rsidRPr="00DB3ED8">
        <w:t xml:space="preserve"> </w:t>
      </w:r>
    </w:p>
    <w:p w14:paraId="4F5E353E" w14:textId="77777777" w:rsidR="008542F2" w:rsidRPr="008542F2" w:rsidRDefault="008542F2" w:rsidP="00DC1ADB">
      <w:pPr>
        <w:rPr>
          <w:noProof/>
        </w:rPr>
      </w:pPr>
      <w:r w:rsidRPr="008542F2">
        <w:rPr>
          <w:noProof/>
        </w:rPr>
        <w:t>Table 3. Genus inclusion list.</w:t>
      </w:r>
    </w:p>
    <w:p w14:paraId="22AEE767" w14:textId="17AAE145" w:rsidR="008542F2" w:rsidRPr="00DF1740" w:rsidRDefault="00DF1740" w:rsidP="00DC1ADB">
      <w:r w:rsidRPr="00DF1740">
        <w:t>Table 4. Covariates used to construct each Multivariate Environmental Similarity Surface.</w:t>
      </w:r>
    </w:p>
    <w:p w14:paraId="1BF887D4" w14:textId="18886011" w:rsidR="00DF1740" w:rsidRPr="00DF1740" w:rsidRDefault="00DF1740" w:rsidP="00DC1ADB">
      <w:r w:rsidRPr="00DF1740">
        <w:rPr>
          <w:b/>
        </w:rPr>
        <w:t xml:space="preserve">Figure 7. Visualisation of MESS construction and record evaluation process. </w:t>
      </w:r>
      <w:r w:rsidRPr="00DF1740">
        <w:t>Panel A represents a stacked output of 100 MESS iterations, with cell values ranging from 0 to 100, generated using occurrence records within the currently accepted expert opinion range (black outline). Panel B represents a binary version of the stacked output (A), in which cells with a value ≥95 in (A) are classified as being cells of environmental interpolation, and cells &lt;95 in (A) are classified as being cells of environmental extrapolation. Out-of-range records are then overlaid on top of the new binary surface (Panel C), and are classified as being MESS +</w:t>
      </w:r>
      <w:proofErr w:type="spellStart"/>
      <w:r w:rsidRPr="00DF1740">
        <w:t>ve</w:t>
      </w:r>
      <w:proofErr w:type="spellEnd"/>
      <w:r w:rsidRPr="00DF1740">
        <w:t xml:space="preserve"> or MESS –</w:t>
      </w:r>
      <w:proofErr w:type="spellStart"/>
      <w:r w:rsidRPr="00DF1740">
        <w:t>ve</w:t>
      </w:r>
      <w:proofErr w:type="spellEnd"/>
      <w:r w:rsidRPr="00DF1740">
        <w:t>. Records which are MESS +</w:t>
      </w:r>
      <w:proofErr w:type="spellStart"/>
      <w:r w:rsidRPr="00DF1740">
        <w:t>ve</w:t>
      </w:r>
      <w:proofErr w:type="spellEnd"/>
      <w:r w:rsidRPr="00DF1740">
        <w:t xml:space="preserve"> contribute towards a new range recommendation (Panel D).</w:t>
      </w:r>
    </w:p>
    <w:p w14:paraId="1CCBF5AE" w14:textId="77777777" w:rsidR="008C7A40" w:rsidRDefault="16738B5D" w:rsidP="00DC1ADB">
      <w:r w:rsidRPr="16738B5D">
        <w:t xml:space="preserve">Supplementary file 2: </w:t>
      </w:r>
    </w:p>
    <w:p w14:paraId="61486E37" w14:textId="22CFE68A" w:rsidR="009743D1" w:rsidRDefault="16738B5D" w:rsidP="00DC1ADB">
      <w:r w:rsidRPr="16738B5D">
        <w:t>Species inclusion lists, incorporating species MESS, amended ranges or original EORs, where applicable.</w:t>
      </w:r>
    </w:p>
    <w:p w14:paraId="32F8C5E5" w14:textId="77777777" w:rsidR="003C4375" w:rsidRDefault="003C4375" w:rsidP="00DC1ADB"/>
    <w:p w14:paraId="257732A7" w14:textId="77777777" w:rsidR="002F1C80" w:rsidRDefault="002F1C80" w:rsidP="00DC1ADB">
      <w:r>
        <w:br w:type="page"/>
      </w:r>
    </w:p>
    <w:p w14:paraId="447FE1B9" w14:textId="376E81D2" w:rsidR="003B3D13" w:rsidRPr="007C5647" w:rsidRDefault="16738B5D" w:rsidP="00DC1ADB">
      <w:pPr>
        <w:pStyle w:val="Heading1"/>
        <w:rPr>
          <w:highlight w:val="white"/>
        </w:rPr>
      </w:pPr>
      <w:r w:rsidRPr="007F2B64">
        <w:lastRenderedPageBreak/>
        <w:t>References</w:t>
      </w:r>
    </w:p>
    <w:bookmarkEnd w:id="4"/>
    <w:bookmarkEnd w:id="5"/>
    <w:p w14:paraId="6B14E3D6" w14:textId="77777777" w:rsidR="00F95D8F" w:rsidRPr="00F95D8F" w:rsidRDefault="0072107C" w:rsidP="00F95D8F">
      <w:pPr>
        <w:pStyle w:val="Bibliography"/>
      </w:pPr>
      <w:r>
        <w:rPr>
          <w:highlight w:val="white"/>
        </w:rPr>
        <w:fldChar w:fldCharType="begin"/>
      </w:r>
      <w:r w:rsidR="00F95D8F">
        <w:rPr>
          <w:highlight w:val="white"/>
        </w:rPr>
        <w:instrText xml:space="preserve"> ADDIN ZOTERO_BIBL {"uncited":[],"omitted":[],"custom":[]} CSL_BIBLIOGRAPHY </w:instrText>
      </w:r>
      <w:r>
        <w:rPr>
          <w:highlight w:val="white"/>
        </w:rPr>
        <w:fldChar w:fldCharType="separate"/>
      </w:r>
      <w:r w:rsidR="00F95D8F" w:rsidRPr="00F95D8F">
        <w:t>1</w:t>
      </w:r>
      <w:r w:rsidR="00F95D8F" w:rsidRPr="00F95D8F">
        <w:tab/>
        <w:t xml:space="preserve">Lu H, Stratton CW, Tang Y. Outbreak of pneumonia of unknown </w:t>
      </w:r>
      <w:proofErr w:type="spellStart"/>
      <w:r w:rsidR="00F95D8F" w:rsidRPr="00F95D8F">
        <w:t>etiology</w:t>
      </w:r>
      <w:proofErr w:type="spellEnd"/>
      <w:r w:rsidR="00F95D8F" w:rsidRPr="00F95D8F">
        <w:t xml:space="preserve"> in Wuhan, China: The mystery and the miracle. </w:t>
      </w:r>
      <w:r w:rsidR="00F95D8F" w:rsidRPr="00F95D8F">
        <w:rPr>
          <w:i/>
          <w:iCs/>
        </w:rPr>
        <w:t xml:space="preserve">J Med </w:t>
      </w:r>
      <w:proofErr w:type="spellStart"/>
      <w:r w:rsidR="00F95D8F" w:rsidRPr="00F95D8F">
        <w:rPr>
          <w:i/>
          <w:iCs/>
        </w:rPr>
        <w:t>Virol</w:t>
      </w:r>
      <w:proofErr w:type="spellEnd"/>
      <w:r w:rsidR="00F95D8F" w:rsidRPr="00F95D8F">
        <w:t xml:space="preserve"> 2020; </w:t>
      </w:r>
      <w:r w:rsidR="00F95D8F" w:rsidRPr="00F95D8F">
        <w:rPr>
          <w:b/>
          <w:bCs/>
        </w:rPr>
        <w:t>92</w:t>
      </w:r>
      <w:r w:rsidR="00F95D8F" w:rsidRPr="00F95D8F">
        <w:t>: 401–2.</w:t>
      </w:r>
    </w:p>
    <w:p w14:paraId="1B75813B" w14:textId="77777777" w:rsidR="00F95D8F" w:rsidRPr="00F95D8F" w:rsidRDefault="00F95D8F" w:rsidP="00F95D8F">
      <w:pPr>
        <w:pStyle w:val="Bibliography"/>
      </w:pPr>
      <w:r w:rsidRPr="00F95D8F">
        <w:t>2</w:t>
      </w:r>
      <w:r w:rsidRPr="00F95D8F">
        <w:tab/>
        <w:t>World Health Organization. Weekly epidemiological update - 1 December 2020. https://www.who.int/publications/m/item/weekly-epidemiological-update---1-december-2020 (accessed Dec 8, 2020).</w:t>
      </w:r>
    </w:p>
    <w:p w14:paraId="05EB6AE9" w14:textId="77777777" w:rsidR="00F95D8F" w:rsidRPr="00F95D8F" w:rsidRDefault="00F95D8F" w:rsidP="00F95D8F">
      <w:pPr>
        <w:pStyle w:val="Bibliography"/>
      </w:pPr>
      <w:r w:rsidRPr="00F95D8F">
        <w:t>3</w:t>
      </w:r>
      <w:r w:rsidRPr="00F95D8F">
        <w:tab/>
        <w:t>AFP. WHO warns Africa is ill-equipped to deal with coronavirus due to ‘weaker health systems’. TheJournal.ie. https://www.thejournal.ie/world-health-organisation-african-coronavirus-5017867-Feb2020/ (accessed Dec 8, 2020).</w:t>
      </w:r>
    </w:p>
    <w:p w14:paraId="33712225" w14:textId="77777777" w:rsidR="00F95D8F" w:rsidRPr="00F95D8F" w:rsidRDefault="00F95D8F" w:rsidP="00F95D8F">
      <w:pPr>
        <w:pStyle w:val="Bibliography"/>
      </w:pPr>
      <w:r w:rsidRPr="00F95D8F">
        <w:rPr>
          <w:lang w:val="de-CH"/>
        </w:rPr>
        <w:t>4</w:t>
      </w:r>
      <w:r w:rsidRPr="00F95D8F">
        <w:rPr>
          <w:lang w:val="de-CH"/>
        </w:rPr>
        <w:tab/>
      </w:r>
      <w:proofErr w:type="spellStart"/>
      <w:r w:rsidRPr="00F95D8F">
        <w:rPr>
          <w:lang w:val="de-CH"/>
        </w:rPr>
        <w:t>Umviligihozo</w:t>
      </w:r>
      <w:proofErr w:type="spellEnd"/>
      <w:r w:rsidRPr="00F95D8F">
        <w:rPr>
          <w:lang w:val="de-CH"/>
        </w:rPr>
        <w:t xml:space="preserve"> G, </w:t>
      </w:r>
      <w:proofErr w:type="spellStart"/>
      <w:r w:rsidRPr="00F95D8F">
        <w:rPr>
          <w:lang w:val="de-CH"/>
        </w:rPr>
        <w:t>Mupfumi</w:t>
      </w:r>
      <w:proofErr w:type="spellEnd"/>
      <w:r w:rsidRPr="00F95D8F">
        <w:rPr>
          <w:lang w:val="de-CH"/>
        </w:rPr>
        <w:t xml:space="preserve"> L, </w:t>
      </w:r>
      <w:proofErr w:type="spellStart"/>
      <w:r w:rsidRPr="00F95D8F">
        <w:rPr>
          <w:lang w:val="de-CH"/>
        </w:rPr>
        <w:t>Sonela</w:t>
      </w:r>
      <w:proofErr w:type="spellEnd"/>
      <w:r w:rsidRPr="00F95D8F">
        <w:rPr>
          <w:lang w:val="de-CH"/>
        </w:rPr>
        <w:t xml:space="preserve"> N, </w:t>
      </w:r>
      <w:r w:rsidRPr="00F95D8F">
        <w:rPr>
          <w:i/>
          <w:iCs/>
          <w:lang w:val="de-CH"/>
        </w:rPr>
        <w:t>et al.</w:t>
      </w:r>
      <w:r w:rsidRPr="00F95D8F">
        <w:rPr>
          <w:lang w:val="de-CH"/>
        </w:rPr>
        <w:t xml:space="preserve"> </w:t>
      </w:r>
      <w:r w:rsidRPr="00F95D8F">
        <w:t xml:space="preserve">Sub-Saharan Africa preparedness and response to the COVID-19 pandemic: A perspective of early career African scientists. </w:t>
      </w:r>
      <w:proofErr w:type="spellStart"/>
      <w:r w:rsidRPr="00F95D8F">
        <w:rPr>
          <w:i/>
          <w:iCs/>
        </w:rPr>
        <w:t>Wellcome</w:t>
      </w:r>
      <w:proofErr w:type="spellEnd"/>
      <w:r w:rsidRPr="00F95D8F">
        <w:rPr>
          <w:i/>
          <w:iCs/>
        </w:rPr>
        <w:t xml:space="preserve"> Open Res</w:t>
      </w:r>
      <w:r w:rsidRPr="00F95D8F">
        <w:t xml:space="preserve"> 2020; </w:t>
      </w:r>
      <w:r w:rsidRPr="00F95D8F">
        <w:rPr>
          <w:b/>
          <w:bCs/>
        </w:rPr>
        <w:t>5</w:t>
      </w:r>
      <w:r w:rsidRPr="00F95D8F">
        <w:t>. DOI:10.12688/wellcomeopenres.16070.2.</w:t>
      </w:r>
    </w:p>
    <w:p w14:paraId="1637B372" w14:textId="77777777" w:rsidR="00F95D8F" w:rsidRPr="00F95D8F" w:rsidRDefault="00F95D8F" w:rsidP="00F95D8F">
      <w:pPr>
        <w:pStyle w:val="Bibliography"/>
      </w:pPr>
      <w:r w:rsidRPr="00F95D8F">
        <w:t>5</w:t>
      </w:r>
      <w:r w:rsidRPr="00F95D8F">
        <w:tab/>
      </w:r>
      <w:proofErr w:type="spellStart"/>
      <w:r w:rsidRPr="00F95D8F">
        <w:t>Stringhini</w:t>
      </w:r>
      <w:proofErr w:type="spellEnd"/>
      <w:r w:rsidRPr="00F95D8F">
        <w:t xml:space="preserve"> S, </w:t>
      </w:r>
      <w:proofErr w:type="spellStart"/>
      <w:r w:rsidRPr="00F95D8F">
        <w:t>Wisniak</w:t>
      </w:r>
      <w:proofErr w:type="spellEnd"/>
      <w:r w:rsidRPr="00F95D8F">
        <w:t xml:space="preserve"> A, </w:t>
      </w:r>
      <w:proofErr w:type="spellStart"/>
      <w:r w:rsidRPr="00F95D8F">
        <w:t>Piumatti</w:t>
      </w:r>
      <w:proofErr w:type="spellEnd"/>
      <w:r w:rsidRPr="00F95D8F">
        <w:t xml:space="preserve"> G, </w:t>
      </w:r>
      <w:r w:rsidRPr="00F95D8F">
        <w:rPr>
          <w:i/>
          <w:iCs/>
        </w:rPr>
        <w:t>et al.</w:t>
      </w:r>
      <w:r w:rsidRPr="00F95D8F">
        <w:t xml:space="preserve"> Seroprevalence of anti-SARS-CoV-2 IgG antibodies in Geneva, Switzerland (</w:t>
      </w:r>
      <w:proofErr w:type="spellStart"/>
      <w:r w:rsidRPr="00F95D8F">
        <w:t>SEROCoV</w:t>
      </w:r>
      <w:proofErr w:type="spellEnd"/>
      <w:r w:rsidRPr="00F95D8F">
        <w:t xml:space="preserve">-POP): a population-based study. </w:t>
      </w:r>
      <w:r w:rsidRPr="00F95D8F">
        <w:rPr>
          <w:i/>
          <w:iCs/>
        </w:rPr>
        <w:t>The Lancet</w:t>
      </w:r>
      <w:r w:rsidRPr="00F95D8F">
        <w:t xml:space="preserve"> 2020; </w:t>
      </w:r>
      <w:r w:rsidRPr="00F95D8F">
        <w:rPr>
          <w:b/>
          <w:bCs/>
        </w:rPr>
        <w:t>396</w:t>
      </w:r>
      <w:r w:rsidRPr="00F95D8F">
        <w:t>: 313–9.</w:t>
      </w:r>
    </w:p>
    <w:p w14:paraId="71EBD342" w14:textId="77777777" w:rsidR="00F95D8F" w:rsidRPr="00F95D8F" w:rsidRDefault="00F95D8F" w:rsidP="00F95D8F">
      <w:pPr>
        <w:pStyle w:val="Bibliography"/>
      </w:pPr>
      <w:r w:rsidRPr="00F95D8F">
        <w:t>6</w:t>
      </w:r>
      <w:r w:rsidRPr="00F95D8F">
        <w:tab/>
      </w:r>
      <w:proofErr w:type="spellStart"/>
      <w:r w:rsidRPr="00F95D8F">
        <w:t>Dortet</w:t>
      </w:r>
      <w:proofErr w:type="spellEnd"/>
      <w:r w:rsidRPr="00F95D8F">
        <w:t xml:space="preserve"> L, </w:t>
      </w:r>
      <w:proofErr w:type="spellStart"/>
      <w:r w:rsidRPr="00F95D8F">
        <w:t>Ronat</w:t>
      </w:r>
      <w:proofErr w:type="spellEnd"/>
      <w:r w:rsidRPr="00F95D8F">
        <w:t xml:space="preserve"> J-B, </w:t>
      </w:r>
      <w:proofErr w:type="spellStart"/>
      <w:r w:rsidRPr="00F95D8F">
        <w:t>Vauloup-Fellous</w:t>
      </w:r>
      <w:proofErr w:type="spellEnd"/>
      <w:r w:rsidRPr="00F95D8F">
        <w:t xml:space="preserve"> C, </w:t>
      </w:r>
      <w:r w:rsidRPr="00F95D8F">
        <w:rPr>
          <w:i/>
          <w:iCs/>
        </w:rPr>
        <w:t>et al.</w:t>
      </w:r>
      <w:r w:rsidRPr="00F95D8F">
        <w:t xml:space="preserve"> Evaluating Ten Commercially-Available SARS-CoV-2 Rapid Serological Tests Using the STARD (Standards for Reporting of Diagnostic Accuracy Studies) Method. </w:t>
      </w:r>
      <w:r w:rsidRPr="00F95D8F">
        <w:rPr>
          <w:i/>
          <w:iCs/>
        </w:rPr>
        <w:t xml:space="preserve">J Clin </w:t>
      </w:r>
      <w:proofErr w:type="spellStart"/>
      <w:r w:rsidRPr="00F95D8F">
        <w:rPr>
          <w:i/>
          <w:iCs/>
        </w:rPr>
        <w:t>Microbiol</w:t>
      </w:r>
      <w:proofErr w:type="spellEnd"/>
      <w:r w:rsidRPr="00F95D8F">
        <w:t xml:space="preserve"> 2020; published online Nov 25. DOI:10.1128/JCM.02342-20.</w:t>
      </w:r>
    </w:p>
    <w:p w14:paraId="7F1489AD" w14:textId="77777777" w:rsidR="00F95D8F" w:rsidRPr="00F95D8F" w:rsidRDefault="00F95D8F" w:rsidP="00F95D8F">
      <w:pPr>
        <w:pStyle w:val="Bibliography"/>
      </w:pPr>
      <w:r w:rsidRPr="00F95D8F">
        <w:t>7</w:t>
      </w:r>
      <w:r w:rsidRPr="00F95D8F">
        <w:tab/>
        <w:t>OpenStreetMap. OpenStreetMap. https://www.openstreetmap.org/ (accessed Feb 5, 2021).</w:t>
      </w:r>
    </w:p>
    <w:p w14:paraId="51F2B80B" w14:textId="77777777" w:rsidR="00F95D8F" w:rsidRPr="00F95D8F" w:rsidRDefault="00F95D8F" w:rsidP="00F95D8F">
      <w:pPr>
        <w:pStyle w:val="Bibliography"/>
      </w:pPr>
      <w:r w:rsidRPr="00F95D8F">
        <w:t>8</w:t>
      </w:r>
      <w:r w:rsidRPr="00F95D8F">
        <w:tab/>
        <w:t xml:space="preserve">Dan JM, Mateus J, Kato Y, </w:t>
      </w:r>
      <w:r w:rsidRPr="00F95D8F">
        <w:rPr>
          <w:i/>
          <w:iCs/>
        </w:rPr>
        <w:t>et al.</w:t>
      </w:r>
      <w:r w:rsidRPr="00F95D8F">
        <w:t xml:space="preserve"> Immunological memory to SARS-CoV-2 assessed for up to 8 months after infection. </w:t>
      </w:r>
      <w:r w:rsidRPr="00F95D8F">
        <w:rPr>
          <w:i/>
          <w:iCs/>
        </w:rPr>
        <w:t>Science</w:t>
      </w:r>
      <w:r w:rsidRPr="00F95D8F">
        <w:t xml:space="preserve"> 2021; published online Jan 6. DOI:10.1126/science.abf4063.</w:t>
      </w:r>
    </w:p>
    <w:p w14:paraId="447E04DF" w14:textId="6B1FEFDA" w:rsidR="315BCF45" w:rsidRDefault="0072107C" w:rsidP="00DC1ADB">
      <w:pPr>
        <w:rPr>
          <w:highlight w:val="white"/>
        </w:rPr>
      </w:pPr>
      <w:r>
        <w:rPr>
          <w:highlight w:val="white"/>
        </w:rPr>
        <w:fldChar w:fldCharType="end"/>
      </w:r>
    </w:p>
    <w:sectPr w:rsidR="315BCF45" w:rsidSect="00A56A08">
      <w:headerReference w:type="even" r:id="rId10"/>
      <w:headerReference w:type="default" r:id="rId11"/>
      <w:footerReference w:type="even" r:id="rId12"/>
      <w:footerReference w:type="default" r:id="rId13"/>
      <w:headerReference w:type="first" r:id="rId14"/>
      <w:footerReference w:type="first" r:id="rId15"/>
      <w:pgSz w:w="11906" w:h="16838"/>
      <w:pgMar w:top="1143" w:right="1440" w:bottom="1440" w:left="1440" w:header="0" w:footer="496" w:gutter="0"/>
      <w:lnNumType w:countBy="10"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D5B92" w14:textId="77777777" w:rsidR="00ED7315" w:rsidRDefault="00ED7315" w:rsidP="00DC1ADB">
      <w:r>
        <w:separator/>
      </w:r>
    </w:p>
  </w:endnote>
  <w:endnote w:type="continuationSeparator" w:id="0">
    <w:p w14:paraId="7BBE4B0B" w14:textId="77777777" w:rsidR="00ED7315" w:rsidRDefault="00ED7315" w:rsidP="00DC1ADB">
      <w:r>
        <w:continuationSeparator/>
      </w:r>
    </w:p>
  </w:endnote>
  <w:endnote w:type="continuationNotice" w:id="1">
    <w:p w14:paraId="37F21A58" w14:textId="77777777" w:rsidR="00ED7315" w:rsidRDefault="00ED7315" w:rsidP="00DC1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揠Ɛ怀"/>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yriadPro-Bold">
    <w:altName w:val="Calibri"/>
    <w:panose1 w:val="020B07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148B4" w14:textId="77777777" w:rsidR="00A56A08" w:rsidRDefault="00A56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32D3E" w14:textId="77777777" w:rsidR="00A56A08" w:rsidRDefault="00A56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DA91C" w14:textId="77777777" w:rsidR="00A56A08" w:rsidRDefault="00A5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66027" w14:textId="77777777" w:rsidR="00ED7315" w:rsidRDefault="00ED7315" w:rsidP="00DC1ADB">
      <w:r>
        <w:separator/>
      </w:r>
    </w:p>
  </w:footnote>
  <w:footnote w:type="continuationSeparator" w:id="0">
    <w:p w14:paraId="1B65E3A5" w14:textId="77777777" w:rsidR="00ED7315" w:rsidRDefault="00ED7315" w:rsidP="00DC1ADB">
      <w:r>
        <w:continuationSeparator/>
      </w:r>
    </w:p>
  </w:footnote>
  <w:footnote w:type="continuationNotice" w:id="1">
    <w:p w14:paraId="213CCEBB" w14:textId="77777777" w:rsidR="00ED7315" w:rsidRDefault="00ED7315" w:rsidP="00DC1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1C7B5F" w:rsidRDefault="001C7B5F" w:rsidP="00DC1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C5AB" w14:textId="77777777" w:rsidR="00A56A08" w:rsidRDefault="00A56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1C7B5F" w:rsidRDefault="001C7B5F" w:rsidP="00DC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860"/>
    <w:rsid w:val="00002C39"/>
    <w:rsid w:val="00004331"/>
    <w:rsid w:val="000047D5"/>
    <w:rsid w:val="00005AB3"/>
    <w:rsid w:val="0000774E"/>
    <w:rsid w:val="000102B0"/>
    <w:rsid w:val="00010FCB"/>
    <w:rsid w:val="00011183"/>
    <w:rsid w:val="00011567"/>
    <w:rsid w:val="00011F2B"/>
    <w:rsid w:val="00012AB3"/>
    <w:rsid w:val="00012B6D"/>
    <w:rsid w:val="0001300E"/>
    <w:rsid w:val="00013121"/>
    <w:rsid w:val="000152CF"/>
    <w:rsid w:val="00016595"/>
    <w:rsid w:val="0001683C"/>
    <w:rsid w:val="00016F30"/>
    <w:rsid w:val="00016F6D"/>
    <w:rsid w:val="000170EC"/>
    <w:rsid w:val="00021C5E"/>
    <w:rsid w:val="00021F9C"/>
    <w:rsid w:val="000244E7"/>
    <w:rsid w:val="00024581"/>
    <w:rsid w:val="0002478D"/>
    <w:rsid w:val="00024A81"/>
    <w:rsid w:val="00025752"/>
    <w:rsid w:val="00025F18"/>
    <w:rsid w:val="00026B37"/>
    <w:rsid w:val="00026B4F"/>
    <w:rsid w:val="0002734B"/>
    <w:rsid w:val="000276BD"/>
    <w:rsid w:val="00027BFD"/>
    <w:rsid w:val="00030E44"/>
    <w:rsid w:val="00032308"/>
    <w:rsid w:val="0003342B"/>
    <w:rsid w:val="00035507"/>
    <w:rsid w:val="000355A4"/>
    <w:rsid w:val="00035BB1"/>
    <w:rsid w:val="00035E76"/>
    <w:rsid w:val="0003650E"/>
    <w:rsid w:val="000377FE"/>
    <w:rsid w:val="00040151"/>
    <w:rsid w:val="00040A1F"/>
    <w:rsid w:val="000414A5"/>
    <w:rsid w:val="00043544"/>
    <w:rsid w:val="00043B1C"/>
    <w:rsid w:val="00044474"/>
    <w:rsid w:val="00045403"/>
    <w:rsid w:val="00046D44"/>
    <w:rsid w:val="00047561"/>
    <w:rsid w:val="000477B8"/>
    <w:rsid w:val="000477DA"/>
    <w:rsid w:val="00047C4D"/>
    <w:rsid w:val="000500FC"/>
    <w:rsid w:val="000502B4"/>
    <w:rsid w:val="00052A79"/>
    <w:rsid w:val="000533A3"/>
    <w:rsid w:val="00053C25"/>
    <w:rsid w:val="000566E8"/>
    <w:rsid w:val="00056E78"/>
    <w:rsid w:val="0006174E"/>
    <w:rsid w:val="00061E83"/>
    <w:rsid w:val="00067342"/>
    <w:rsid w:val="0006755E"/>
    <w:rsid w:val="00071759"/>
    <w:rsid w:val="00071D2A"/>
    <w:rsid w:val="0007213D"/>
    <w:rsid w:val="00075DEF"/>
    <w:rsid w:val="000769BF"/>
    <w:rsid w:val="000774B9"/>
    <w:rsid w:val="000779DE"/>
    <w:rsid w:val="00080C0D"/>
    <w:rsid w:val="000812B3"/>
    <w:rsid w:val="0008316D"/>
    <w:rsid w:val="000831C9"/>
    <w:rsid w:val="00083647"/>
    <w:rsid w:val="00083C76"/>
    <w:rsid w:val="000856D3"/>
    <w:rsid w:val="00086563"/>
    <w:rsid w:val="000867CB"/>
    <w:rsid w:val="00087B11"/>
    <w:rsid w:val="00090E3D"/>
    <w:rsid w:val="00091D1C"/>
    <w:rsid w:val="00093272"/>
    <w:rsid w:val="00093287"/>
    <w:rsid w:val="00094638"/>
    <w:rsid w:val="0009676A"/>
    <w:rsid w:val="000967CC"/>
    <w:rsid w:val="00096CD1"/>
    <w:rsid w:val="00097067"/>
    <w:rsid w:val="000A0600"/>
    <w:rsid w:val="000A0A76"/>
    <w:rsid w:val="000A2E70"/>
    <w:rsid w:val="000A3598"/>
    <w:rsid w:val="000A67BE"/>
    <w:rsid w:val="000A7405"/>
    <w:rsid w:val="000A7ACD"/>
    <w:rsid w:val="000A7DA9"/>
    <w:rsid w:val="000B0222"/>
    <w:rsid w:val="000B0326"/>
    <w:rsid w:val="000B39FD"/>
    <w:rsid w:val="000B3B25"/>
    <w:rsid w:val="000B5BB2"/>
    <w:rsid w:val="000B5D38"/>
    <w:rsid w:val="000B743E"/>
    <w:rsid w:val="000B7D3D"/>
    <w:rsid w:val="000C0072"/>
    <w:rsid w:val="000C153B"/>
    <w:rsid w:val="000C1642"/>
    <w:rsid w:val="000C1839"/>
    <w:rsid w:val="000C23CE"/>
    <w:rsid w:val="000C3861"/>
    <w:rsid w:val="000C45C9"/>
    <w:rsid w:val="000C5077"/>
    <w:rsid w:val="000C5C9C"/>
    <w:rsid w:val="000C5FBB"/>
    <w:rsid w:val="000D1089"/>
    <w:rsid w:val="000D1546"/>
    <w:rsid w:val="000D1633"/>
    <w:rsid w:val="000D1BE2"/>
    <w:rsid w:val="000D1F9F"/>
    <w:rsid w:val="000D22FC"/>
    <w:rsid w:val="000D322C"/>
    <w:rsid w:val="000D37BE"/>
    <w:rsid w:val="000D4165"/>
    <w:rsid w:val="000D48F1"/>
    <w:rsid w:val="000D5F9C"/>
    <w:rsid w:val="000D6D37"/>
    <w:rsid w:val="000D76EB"/>
    <w:rsid w:val="000E03D1"/>
    <w:rsid w:val="000E298D"/>
    <w:rsid w:val="000E4D77"/>
    <w:rsid w:val="000E4E64"/>
    <w:rsid w:val="000E4F1E"/>
    <w:rsid w:val="000E5309"/>
    <w:rsid w:val="000E6655"/>
    <w:rsid w:val="000E7506"/>
    <w:rsid w:val="000F0EDE"/>
    <w:rsid w:val="000F0F84"/>
    <w:rsid w:val="000F182B"/>
    <w:rsid w:val="000F23C2"/>
    <w:rsid w:val="000F3093"/>
    <w:rsid w:val="000F3B20"/>
    <w:rsid w:val="000F41CB"/>
    <w:rsid w:val="000F4663"/>
    <w:rsid w:val="000F51BB"/>
    <w:rsid w:val="000F7964"/>
    <w:rsid w:val="0010027A"/>
    <w:rsid w:val="00100C01"/>
    <w:rsid w:val="00100D5C"/>
    <w:rsid w:val="00102D95"/>
    <w:rsid w:val="00103AA2"/>
    <w:rsid w:val="00105BCA"/>
    <w:rsid w:val="00106635"/>
    <w:rsid w:val="00106C19"/>
    <w:rsid w:val="001075FC"/>
    <w:rsid w:val="00107638"/>
    <w:rsid w:val="00107FA4"/>
    <w:rsid w:val="00111488"/>
    <w:rsid w:val="00111D80"/>
    <w:rsid w:val="00111EE7"/>
    <w:rsid w:val="00111F71"/>
    <w:rsid w:val="0011248F"/>
    <w:rsid w:val="00112A54"/>
    <w:rsid w:val="00113027"/>
    <w:rsid w:val="001143A6"/>
    <w:rsid w:val="00114989"/>
    <w:rsid w:val="00115359"/>
    <w:rsid w:val="001162AF"/>
    <w:rsid w:val="001169B2"/>
    <w:rsid w:val="00116F79"/>
    <w:rsid w:val="00117567"/>
    <w:rsid w:val="00117D17"/>
    <w:rsid w:val="001218FE"/>
    <w:rsid w:val="00121D14"/>
    <w:rsid w:val="00122DFE"/>
    <w:rsid w:val="001233DC"/>
    <w:rsid w:val="00124E91"/>
    <w:rsid w:val="00125A8B"/>
    <w:rsid w:val="00125CCE"/>
    <w:rsid w:val="0012678F"/>
    <w:rsid w:val="001267DB"/>
    <w:rsid w:val="00126DBD"/>
    <w:rsid w:val="00126ED4"/>
    <w:rsid w:val="0012784B"/>
    <w:rsid w:val="00127C2D"/>
    <w:rsid w:val="00127C55"/>
    <w:rsid w:val="00127FD2"/>
    <w:rsid w:val="001311DF"/>
    <w:rsid w:val="001337B3"/>
    <w:rsid w:val="00133FC4"/>
    <w:rsid w:val="00134080"/>
    <w:rsid w:val="00134170"/>
    <w:rsid w:val="001349DF"/>
    <w:rsid w:val="001361B7"/>
    <w:rsid w:val="001374F2"/>
    <w:rsid w:val="00137C94"/>
    <w:rsid w:val="001400F1"/>
    <w:rsid w:val="00140688"/>
    <w:rsid w:val="00140F0F"/>
    <w:rsid w:val="00141E70"/>
    <w:rsid w:val="00142555"/>
    <w:rsid w:val="00143776"/>
    <w:rsid w:val="0014453D"/>
    <w:rsid w:val="001459F7"/>
    <w:rsid w:val="00147C7A"/>
    <w:rsid w:val="00150181"/>
    <w:rsid w:val="001513C0"/>
    <w:rsid w:val="00153346"/>
    <w:rsid w:val="00153454"/>
    <w:rsid w:val="00155FB8"/>
    <w:rsid w:val="0015614B"/>
    <w:rsid w:val="00156363"/>
    <w:rsid w:val="00156AD5"/>
    <w:rsid w:val="00156F38"/>
    <w:rsid w:val="00157BC6"/>
    <w:rsid w:val="00160629"/>
    <w:rsid w:val="00160F56"/>
    <w:rsid w:val="001619EF"/>
    <w:rsid w:val="00161F31"/>
    <w:rsid w:val="00162878"/>
    <w:rsid w:val="00163EBE"/>
    <w:rsid w:val="00164896"/>
    <w:rsid w:val="00164941"/>
    <w:rsid w:val="00164A6E"/>
    <w:rsid w:val="001653B2"/>
    <w:rsid w:val="0016548D"/>
    <w:rsid w:val="001660CC"/>
    <w:rsid w:val="0016712A"/>
    <w:rsid w:val="0016766A"/>
    <w:rsid w:val="00170518"/>
    <w:rsid w:val="00170D00"/>
    <w:rsid w:val="0017150F"/>
    <w:rsid w:val="0017185E"/>
    <w:rsid w:val="00171996"/>
    <w:rsid w:val="00172255"/>
    <w:rsid w:val="001727FC"/>
    <w:rsid w:val="001731AA"/>
    <w:rsid w:val="00174CAE"/>
    <w:rsid w:val="001752DA"/>
    <w:rsid w:val="001767B7"/>
    <w:rsid w:val="00177BAA"/>
    <w:rsid w:val="00177D38"/>
    <w:rsid w:val="00180631"/>
    <w:rsid w:val="001811DE"/>
    <w:rsid w:val="00181910"/>
    <w:rsid w:val="00182662"/>
    <w:rsid w:val="0018279D"/>
    <w:rsid w:val="00182C0D"/>
    <w:rsid w:val="00183D91"/>
    <w:rsid w:val="00183DA8"/>
    <w:rsid w:val="00185A03"/>
    <w:rsid w:val="0018601D"/>
    <w:rsid w:val="001870D0"/>
    <w:rsid w:val="00187BA6"/>
    <w:rsid w:val="001908A5"/>
    <w:rsid w:val="00193356"/>
    <w:rsid w:val="00194959"/>
    <w:rsid w:val="00195B40"/>
    <w:rsid w:val="0019635B"/>
    <w:rsid w:val="001A0B15"/>
    <w:rsid w:val="001A0FDC"/>
    <w:rsid w:val="001A35D1"/>
    <w:rsid w:val="001A382F"/>
    <w:rsid w:val="001A3B57"/>
    <w:rsid w:val="001A5976"/>
    <w:rsid w:val="001B188B"/>
    <w:rsid w:val="001B28E2"/>
    <w:rsid w:val="001B78F8"/>
    <w:rsid w:val="001B7E3D"/>
    <w:rsid w:val="001C043A"/>
    <w:rsid w:val="001C1054"/>
    <w:rsid w:val="001C23B5"/>
    <w:rsid w:val="001C3114"/>
    <w:rsid w:val="001C50A3"/>
    <w:rsid w:val="001C7364"/>
    <w:rsid w:val="001C7846"/>
    <w:rsid w:val="001C7B5F"/>
    <w:rsid w:val="001D10E3"/>
    <w:rsid w:val="001D3402"/>
    <w:rsid w:val="001D3E0B"/>
    <w:rsid w:val="001D470B"/>
    <w:rsid w:val="001D4D0B"/>
    <w:rsid w:val="001D4F3B"/>
    <w:rsid w:val="001D593C"/>
    <w:rsid w:val="001D6149"/>
    <w:rsid w:val="001D650B"/>
    <w:rsid w:val="001D6EE0"/>
    <w:rsid w:val="001D7A6A"/>
    <w:rsid w:val="001E03C2"/>
    <w:rsid w:val="001E049B"/>
    <w:rsid w:val="001E05F7"/>
    <w:rsid w:val="001E0CCD"/>
    <w:rsid w:val="001E0F5D"/>
    <w:rsid w:val="001E3183"/>
    <w:rsid w:val="001E57D8"/>
    <w:rsid w:val="001E5B4B"/>
    <w:rsid w:val="001F0148"/>
    <w:rsid w:val="001F2331"/>
    <w:rsid w:val="001F41F7"/>
    <w:rsid w:val="001F4244"/>
    <w:rsid w:val="001F42F5"/>
    <w:rsid w:val="001F437B"/>
    <w:rsid w:val="001F5DA5"/>
    <w:rsid w:val="001F6FE6"/>
    <w:rsid w:val="001F70D7"/>
    <w:rsid w:val="002022E2"/>
    <w:rsid w:val="00202AAB"/>
    <w:rsid w:val="00203138"/>
    <w:rsid w:val="00203B67"/>
    <w:rsid w:val="00204192"/>
    <w:rsid w:val="00204377"/>
    <w:rsid w:val="00204961"/>
    <w:rsid w:val="00204F4A"/>
    <w:rsid w:val="0020667A"/>
    <w:rsid w:val="00206B2C"/>
    <w:rsid w:val="002104BF"/>
    <w:rsid w:val="00210C17"/>
    <w:rsid w:val="002117F1"/>
    <w:rsid w:val="00212074"/>
    <w:rsid w:val="002126F7"/>
    <w:rsid w:val="00212C0A"/>
    <w:rsid w:val="00212F6B"/>
    <w:rsid w:val="002135BF"/>
    <w:rsid w:val="00213EAC"/>
    <w:rsid w:val="002152B8"/>
    <w:rsid w:val="002152EC"/>
    <w:rsid w:val="00215A84"/>
    <w:rsid w:val="00215DA9"/>
    <w:rsid w:val="00220A60"/>
    <w:rsid w:val="00222098"/>
    <w:rsid w:val="002233AC"/>
    <w:rsid w:val="00223C8B"/>
    <w:rsid w:val="00225F15"/>
    <w:rsid w:val="00232722"/>
    <w:rsid w:val="00232E41"/>
    <w:rsid w:val="00232F01"/>
    <w:rsid w:val="00234288"/>
    <w:rsid w:val="002344AF"/>
    <w:rsid w:val="002347B7"/>
    <w:rsid w:val="00234E8A"/>
    <w:rsid w:val="00237A4A"/>
    <w:rsid w:val="00237C0A"/>
    <w:rsid w:val="00240516"/>
    <w:rsid w:val="00240D5F"/>
    <w:rsid w:val="002420EC"/>
    <w:rsid w:val="00242CB8"/>
    <w:rsid w:val="00243A19"/>
    <w:rsid w:val="0024673E"/>
    <w:rsid w:val="00252C61"/>
    <w:rsid w:val="002540D8"/>
    <w:rsid w:val="00254AEC"/>
    <w:rsid w:val="00256D9B"/>
    <w:rsid w:val="00260DBD"/>
    <w:rsid w:val="00261DEC"/>
    <w:rsid w:val="00261EEA"/>
    <w:rsid w:val="0026297D"/>
    <w:rsid w:val="00262AB2"/>
    <w:rsid w:val="00263E4D"/>
    <w:rsid w:val="0026419A"/>
    <w:rsid w:val="00266405"/>
    <w:rsid w:val="002664E1"/>
    <w:rsid w:val="00267235"/>
    <w:rsid w:val="00267A34"/>
    <w:rsid w:val="002715C6"/>
    <w:rsid w:val="00272073"/>
    <w:rsid w:val="002721D6"/>
    <w:rsid w:val="00273955"/>
    <w:rsid w:val="002759D0"/>
    <w:rsid w:val="002761E3"/>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4CD1"/>
    <w:rsid w:val="002952F1"/>
    <w:rsid w:val="002957E8"/>
    <w:rsid w:val="002962AD"/>
    <w:rsid w:val="002979FE"/>
    <w:rsid w:val="002A00A8"/>
    <w:rsid w:val="002A0427"/>
    <w:rsid w:val="002A0AB0"/>
    <w:rsid w:val="002A2127"/>
    <w:rsid w:val="002A24D6"/>
    <w:rsid w:val="002A35D3"/>
    <w:rsid w:val="002A5554"/>
    <w:rsid w:val="002A5AA1"/>
    <w:rsid w:val="002A6626"/>
    <w:rsid w:val="002A7EDF"/>
    <w:rsid w:val="002B0777"/>
    <w:rsid w:val="002B3378"/>
    <w:rsid w:val="002B356F"/>
    <w:rsid w:val="002B3A91"/>
    <w:rsid w:val="002B48BB"/>
    <w:rsid w:val="002B5411"/>
    <w:rsid w:val="002B76E9"/>
    <w:rsid w:val="002C0CB6"/>
    <w:rsid w:val="002C1632"/>
    <w:rsid w:val="002C2004"/>
    <w:rsid w:val="002C24A8"/>
    <w:rsid w:val="002C25A8"/>
    <w:rsid w:val="002C292F"/>
    <w:rsid w:val="002C430A"/>
    <w:rsid w:val="002C556F"/>
    <w:rsid w:val="002C6772"/>
    <w:rsid w:val="002C7341"/>
    <w:rsid w:val="002D2332"/>
    <w:rsid w:val="002D2490"/>
    <w:rsid w:val="002D2A93"/>
    <w:rsid w:val="002D2C9B"/>
    <w:rsid w:val="002D715B"/>
    <w:rsid w:val="002E0C81"/>
    <w:rsid w:val="002E13BC"/>
    <w:rsid w:val="002E1F27"/>
    <w:rsid w:val="002E305F"/>
    <w:rsid w:val="002E5AF7"/>
    <w:rsid w:val="002E65A7"/>
    <w:rsid w:val="002F1C80"/>
    <w:rsid w:val="002F28A6"/>
    <w:rsid w:val="002F32F4"/>
    <w:rsid w:val="002F5A36"/>
    <w:rsid w:val="002F5F15"/>
    <w:rsid w:val="002F5FB9"/>
    <w:rsid w:val="002F63BE"/>
    <w:rsid w:val="002F6587"/>
    <w:rsid w:val="003002EC"/>
    <w:rsid w:val="0030140E"/>
    <w:rsid w:val="003015D2"/>
    <w:rsid w:val="003029D5"/>
    <w:rsid w:val="003036EB"/>
    <w:rsid w:val="00304053"/>
    <w:rsid w:val="0030685E"/>
    <w:rsid w:val="00307226"/>
    <w:rsid w:val="003112F0"/>
    <w:rsid w:val="003134D3"/>
    <w:rsid w:val="00313F64"/>
    <w:rsid w:val="00314DFC"/>
    <w:rsid w:val="00315238"/>
    <w:rsid w:val="0032113C"/>
    <w:rsid w:val="00325020"/>
    <w:rsid w:val="00325138"/>
    <w:rsid w:val="003257F5"/>
    <w:rsid w:val="003260BF"/>
    <w:rsid w:val="00326CB1"/>
    <w:rsid w:val="0032769F"/>
    <w:rsid w:val="00327B22"/>
    <w:rsid w:val="003326B0"/>
    <w:rsid w:val="00332B40"/>
    <w:rsid w:val="00333BA8"/>
    <w:rsid w:val="003343BF"/>
    <w:rsid w:val="00334ACA"/>
    <w:rsid w:val="00334CA0"/>
    <w:rsid w:val="00335F87"/>
    <w:rsid w:val="0033657D"/>
    <w:rsid w:val="00336DCD"/>
    <w:rsid w:val="00336F24"/>
    <w:rsid w:val="00337CE7"/>
    <w:rsid w:val="00337E2B"/>
    <w:rsid w:val="0034018A"/>
    <w:rsid w:val="00340C30"/>
    <w:rsid w:val="00340C90"/>
    <w:rsid w:val="00342311"/>
    <w:rsid w:val="00342AD4"/>
    <w:rsid w:val="003457E3"/>
    <w:rsid w:val="00345E8F"/>
    <w:rsid w:val="00346003"/>
    <w:rsid w:val="00346C2B"/>
    <w:rsid w:val="00346C71"/>
    <w:rsid w:val="00346D19"/>
    <w:rsid w:val="003472B1"/>
    <w:rsid w:val="0035148D"/>
    <w:rsid w:val="00353725"/>
    <w:rsid w:val="00353D32"/>
    <w:rsid w:val="00353D88"/>
    <w:rsid w:val="00355426"/>
    <w:rsid w:val="003554EA"/>
    <w:rsid w:val="003556DD"/>
    <w:rsid w:val="00355A99"/>
    <w:rsid w:val="003567AE"/>
    <w:rsid w:val="003627A1"/>
    <w:rsid w:val="00362CE8"/>
    <w:rsid w:val="00362E92"/>
    <w:rsid w:val="00364104"/>
    <w:rsid w:val="00364320"/>
    <w:rsid w:val="00366925"/>
    <w:rsid w:val="003713AE"/>
    <w:rsid w:val="00371880"/>
    <w:rsid w:val="00373763"/>
    <w:rsid w:val="00374A3A"/>
    <w:rsid w:val="003750BE"/>
    <w:rsid w:val="00375378"/>
    <w:rsid w:val="003762F6"/>
    <w:rsid w:val="003763F9"/>
    <w:rsid w:val="00376A2F"/>
    <w:rsid w:val="00377AE5"/>
    <w:rsid w:val="00377C2F"/>
    <w:rsid w:val="003805E8"/>
    <w:rsid w:val="00381F4C"/>
    <w:rsid w:val="003860E5"/>
    <w:rsid w:val="003864AE"/>
    <w:rsid w:val="00386527"/>
    <w:rsid w:val="0038685A"/>
    <w:rsid w:val="00386A3A"/>
    <w:rsid w:val="003903C6"/>
    <w:rsid w:val="00390A90"/>
    <w:rsid w:val="00390ACF"/>
    <w:rsid w:val="00391859"/>
    <w:rsid w:val="00393ECF"/>
    <w:rsid w:val="0039438F"/>
    <w:rsid w:val="00394B92"/>
    <w:rsid w:val="0039573A"/>
    <w:rsid w:val="00396471"/>
    <w:rsid w:val="003969B3"/>
    <w:rsid w:val="00396D9C"/>
    <w:rsid w:val="003A1D41"/>
    <w:rsid w:val="003A1EBD"/>
    <w:rsid w:val="003A2AD3"/>
    <w:rsid w:val="003A3650"/>
    <w:rsid w:val="003A4213"/>
    <w:rsid w:val="003A4E9D"/>
    <w:rsid w:val="003A5697"/>
    <w:rsid w:val="003A6276"/>
    <w:rsid w:val="003A7202"/>
    <w:rsid w:val="003B1148"/>
    <w:rsid w:val="003B12CC"/>
    <w:rsid w:val="003B2208"/>
    <w:rsid w:val="003B228B"/>
    <w:rsid w:val="003B3D13"/>
    <w:rsid w:val="003B4614"/>
    <w:rsid w:val="003B515E"/>
    <w:rsid w:val="003B58F9"/>
    <w:rsid w:val="003B6BD1"/>
    <w:rsid w:val="003B7EDA"/>
    <w:rsid w:val="003C01E9"/>
    <w:rsid w:val="003C07C5"/>
    <w:rsid w:val="003C1763"/>
    <w:rsid w:val="003C2A70"/>
    <w:rsid w:val="003C3CBB"/>
    <w:rsid w:val="003C4375"/>
    <w:rsid w:val="003C512E"/>
    <w:rsid w:val="003C58B4"/>
    <w:rsid w:val="003D0034"/>
    <w:rsid w:val="003D0259"/>
    <w:rsid w:val="003D491C"/>
    <w:rsid w:val="003D584F"/>
    <w:rsid w:val="003D692D"/>
    <w:rsid w:val="003D6A03"/>
    <w:rsid w:val="003D75FE"/>
    <w:rsid w:val="003D7621"/>
    <w:rsid w:val="003E1EE0"/>
    <w:rsid w:val="003E34EB"/>
    <w:rsid w:val="003E5052"/>
    <w:rsid w:val="003E5C40"/>
    <w:rsid w:val="003E5D07"/>
    <w:rsid w:val="003E6A4E"/>
    <w:rsid w:val="003F0845"/>
    <w:rsid w:val="003F0B6D"/>
    <w:rsid w:val="003F240D"/>
    <w:rsid w:val="003F2434"/>
    <w:rsid w:val="003F28AD"/>
    <w:rsid w:val="003F4CC5"/>
    <w:rsid w:val="003F5CFE"/>
    <w:rsid w:val="003F5D1A"/>
    <w:rsid w:val="003F5DBB"/>
    <w:rsid w:val="003F674E"/>
    <w:rsid w:val="003F6EDA"/>
    <w:rsid w:val="00400641"/>
    <w:rsid w:val="0040131F"/>
    <w:rsid w:val="00401535"/>
    <w:rsid w:val="0040251B"/>
    <w:rsid w:val="00402611"/>
    <w:rsid w:val="00402F59"/>
    <w:rsid w:val="00403E3C"/>
    <w:rsid w:val="0040662C"/>
    <w:rsid w:val="00406E7B"/>
    <w:rsid w:val="00407FE6"/>
    <w:rsid w:val="00410EFF"/>
    <w:rsid w:val="00411356"/>
    <w:rsid w:val="00414692"/>
    <w:rsid w:val="004163ED"/>
    <w:rsid w:val="00416405"/>
    <w:rsid w:val="00417721"/>
    <w:rsid w:val="00417D01"/>
    <w:rsid w:val="00417F13"/>
    <w:rsid w:val="00423ADF"/>
    <w:rsid w:val="00423C5F"/>
    <w:rsid w:val="00423CC5"/>
    <w:rsid w:val="00423D1C"/>
    <w:rsid w:val="004263A8"/>
    <w:rsid w:val="004270AA"/>
    <w:rsid w:val="004305AD"/>
    <w:rsid w:val="00430B15"/>
    <w:rsid w:val="0043137A"/>
    <w:rsid w:val="0043139B"/>
    <w:rsid w:val="0043180D"/>
    <w:rsid w:val="00432E46"/>
    <w:rsid w:val="00433D10"/>
    <w:rsid w:val="004351AA"/>
    <w:rsid w:val="00435393"/>
    <w:rsid w:val="00435B4E"/>
    <w:rsid w:val="00435BE5"/>
    <w:rsid w:val="00435FBA"/>
    <w:rsid w:val="00441B4E"/>
    <w:rsid w:val="00442271"/>
    <w:rsid w:val="004437C7"/>
    <w:rsid w:val="004447C2"/>
    <w:rsid w:val="00444A92"/>
    <w:rsid w:val="00444CE4"/>
    <w:rsid w:val="004457C8"/>
    <w:rsid w:val="00445DB4"/>
    <w:rsid w:val="004523D9"/>
    <w:rsid w:val="00453EA0"/>
    <w:rsid w:val="004541C3"/>
    <w:rsid w:val="0045446B"/>
    <w:rsid w:val="00454694"/>
    <w:rsid w:val="00454798"/>
    <w:rsid w:val="004570F8"/>
    <w:rsid w:val="00457B2B"/>
    <w:rsid w:val="004617B0"/>
    <w:rsid w:val="004618C1"/>
    <w:rsid w:val="00467036"/>
    <w:rsid w:val="00470922"/>
    <w:rsid w:val="00470EB4"/>
    <w:rsid w:val="004723D4"/>
    <w:rsid w:val="00472622"/>
    <w:rsid w:val="00473091"/>
    <w:rsid w:val="0047365B"/>
    <w:rsid w:val="00473C12"/>
    <w:rsid w:val="00473F27"/>
    <w:rsid w:val="00474427"/>
    <w:rsid w:val="004748BF"/>
    <w:rsid w:val="004754EC"/>
    <w:rsid w:val="00475AC6"/>
    <w:rsid w:val="00476806"/>
    <w:rsid w:val="00477262"/>
    <w:rsid w:val="004778B6"/>
    <w:rsid w:val="00480522"/>
    <w:rsid w:val="004805FA"/>
    <w:rsid w:val="00481606"/>
    <w:rsid w:val="00481E5D"/>
    <w:rsid w:val="00483F1F"/>
    <w:rsid w:val="00484C25"/>
    <w:rsid w:val="0048572A"/>
    <w:rsid w:val="0049139B"/>
    <w:rsid w:val="00491AA5"/>
    <w:rsid w:val="004938F3"/>
    <w:rsid w:val="00493B66"/>
    <w:rsid w:val="00494C40"/>
    <w:rsid w:val="0049534D"/>
    <w:rsid w:val="0049548F"/>
    <w:rsid w:val="00496BCD"/>
    <w:rsid w:val="00497594"/>
    <w:rsid w:val="004975D9"/>
    <w:rsid w:val="004A0EDF"/>
    <w:rsid w:val="004A1CA7"/>
    <w:rsid w:val="004A1CD1"/>
    <w:rsid w:val="004A301B"/>
    <w:rsid w:val="004A3EEE"/>
    <w:rsid w:val="004A4F43"/>
    <w:rsid w:val="004A51CB"/>
    <w:rsid w:val="004A5559"/>
    <w:rsid w:val="004A57BC"/>
    <w:rsid w:val="004A5A0B"/>
    <w:rsid w:val="004A5EA4"/>
    <w:rsid w:val="004A5F25"/>
    <w:rsid w:val="004A7562"/>
    <w:rsid w:val="004B0AFA"/>
    <w:rsid w:val="004B0D88"/>
    <w:rsid w:val="004B28DA"/>
    <w:rsid w:val="004B2975"/>
    <w:rsid w:val="004B3667"/>
    <w:rsid w:val="004B42E4"/>
    <w:rsid w:val="004B4777"/>
    <w:rsid w:val="004B4ACB"/>
    <w:rsid w:val="004B4F75"/>
    <w:rsid w:val="004B558A"/>
    <w:rsid w:val="004B69F6"/>
    <w:rsid w:val="004B6A95"/>
    <w:rsid w:val="004C164D"/>
    <w:rsid w:val="004C18C3"/>
    <w:rsid w:val="004C2CB1"/>
    <w:rsid w:val="004C2FAF"/>
    <w:rsid w:val="004C4AB6"/>
    <w:rsid w:val="004C4CD6"/>
    <w:rsid w:val="004C4F0C"/>
    <w:rsid w:val="004C5D6A"/>
    <w:rsid w:val="004C6029"/>
    <w:rsid w:val="004D0122"/>
    <w:rsid w:val="004D0A71"/>
    <w:rsid w:val="004D20F3"/>
    <w:rsid w:val="004D2E4C"/>
    <w:rsid w:val="004D41AA"/>
    <w:rsid w:val="004D5754"/>
    <w:rsid w:val="004D721F"/>
    <w:rsid w:val="004D743B"/>
    <w:rsid w:val="004E12A3"/>
    <w:rsid w:val="004E20FB"/>
    <w:rsid w:val="004E2892"/>
    <w:rsid w:val="004E5443"/>
    <w:rsid w:val="004E56C1"/>
    <w:rsid w:val="004E59EA"/>
    <w:rsid w:val="004E6086"/>
    <w:rsid w:val="004F0A37"/>
    <w:rsid w:val="004F1657"/>
    <w:rsid w:val="004F1AE6"/>
    <w:rsid w:val="004F29D7"/>
    <w:rsid w:val="004F594B"/>
    <w:rsid w:val="004F5E4C"/>
    <w:rsid w:val="004F636B"/>
    <w:rsid w:val="004F649A"/>
    <w:rsid w:val="004F6761"/>
    <w:rsid w:val="004F7072"/>
    <w:rsid w:val="004F7E77"/>
    <w:rsid w:val="004F7FCD"/>
    <w:rsid w:val="0050030D"/>
    <w:rsid w:val="00503399"/>
    <w:rsid w:val="00503AE3"/>
    <w:rsid w:val="00504FC5"/>
    <w:rsid w:val="005060EA"/>
    <w:rsid w:val="00506812"/>
    <w:rsid w:val="00506905"/>
    <w:rsid w:val="00506E6D"/>
    <w:rsid w:val="005071F7"/>
    <w:rsid w:val="00507AB8"/>
    <w:rsid w:val="005106EB"/>
    <w:rsid w:val="005117FE"/>
    <w:rsid w:val="005119E3"/>
    <w:rsid w:val="0051303C"/>
    <w:rsid w:val="005162C9"/>
    <w:rsid w:val="0051786F"/>
    <w:rsid w:val="005216D6"/>
    <w:rsid w:val="00521A16"/>
    <w:rsid w:val="00524D25"/>
    <w:rsid w:val="00525A99"/>
    <w:rsid w:val="005273A9"/>
    <w:rsid w:val="005308D5"/>
    <w:rsid w:val="00532450"/>
    <w:rsid w:val="00532882"/>
    <w:rsid w:val="00532DDD"/>
    <w:rsid w:val="00534037"/>
    <w:rsid w:val="005343C6"/>
    <w:rsid w:val="0053640A"/>
    <w:rsid w:val="0053679A"/>
    <w:rsid w:val="00536EA9"/>
    <w:rsid w:val="0053775D"/>
    <w:rsid w:val="005377FD"/>
    <w:rsid w:val="0054058F"/>
    <w:rsid w:val="0054059E"/>
    <w:rsid w:val="0054059F"/>
    <w:rsid w:val="005412FB"/>
    <w:rsid w:val="005424AB"/>
    <w:rsid w:val="0054255A"/>
    <w:rsid w:val="00545DD8"/>
    <w:rsid w:val="0054643F"/>
    <w:rsid w:val="00546F07"/>
    <w:rsid w:val="005503EE"/>
    <w:rsid w:val="0055073D"/>
    <w:rsid w:val="00550DF8"/>
    <w:rsid w:val="00551789"/>
    <w:rsid w:val="00552929"/>
    <w:rsid w:val="00554254"/>
    <w:rsid w:val="005562AF"/>
    <w:rsid w:val="00557521"/>
    <w:rsid w:val="00561E87"/>
    <w:rsid w:val="005624FB"/>
    <w:rsid w:val="00562AE1"/>
    <w:rsid w:val="00565050"/>
    <w:rsid w:val="00566C0E"/>
    <w:rsid w:val="005676D8"/>
    <w:rsid w:val="0056774D"/>
    <w:rsid w:val="005704EA"/>
    <w:rsid w:val="00570F63"/>
    <w:rsid w:val="00571F32"/>
    <w:rsid w:val="0057232A"/>
    <w:rsid w:val="00572D43"/>
    <w:rsid w:val="005733B7"/>
    <w:rsid w:val="0057379D"/>
    <w:rsid w:val="005757E9"/>
    <w:rsid w:val="0057615E"/>
    <w:rsid w:val="0057671C"/>
    <w:rsid w:val="005807C5"/>
    <w:rsid w:val="00580A66"/>
    <w:rsid w:val="00580CE4"/>
    <w:rsid w:val="00583203"/>
    <w:rsid w:val="00583E19"/>
    <w:rsid w:val="00583F04"/>
    <w:rsid w:val="0058521A"/>
    <w:rsid w:val="0058554B"/>
    <w:rsid w:val="005862A5"/>
    <w:rsid w:val="005874BB"/>
    <w:rsid w:val="00587C77"/>
    <w:rsid w:val="00587FDC"/>
    <w:rsid w:val="005908EF"/>
    <w:rsid w:val="005920D6"/>
    <w:rsid w:val="00593DF4"/>
    <w:rsid w:val="00594806"/>
    <w:rsid w:val="005948B2"/>
    <w:rsid w:val="0059585F"/>
    <w:rsid w:val="005961F9"/>
    <w:rsid w:val="00597907"/>
    <w:rsid w:val="00597CD0"/>
    <w:rsid w:val="005A0FD3"/>
    <w:rsid w:val="005A1334"/>
    <w:rsid w:val="005A15CB"/>
    <w:rsid w:val="005A4715"/>
    <w:rsid w:val="005A570F"/>
    <w:rsid w:val="005A5768"/>
    <w:rsid w:val="005A63B9"/>
    <w:rsid w:val="005A6F96"/>
    <w:rsid w:val="005A73D9"/>
    <w:rsid w:val="005A7D15"/>
    <w:rsid w:val="005B0667"/>
    <w:rsid w:val="005B1EF5"/>
    <w:rsid w:val="005B22E9"/>
    <w:rsid w:val="005B422B"/>
    <w:rsid w:val="005B484E"/>
    <w:rsid w:val="005B54C5"/>
    <w:rsid w:val="005B6C5D"/>
    <w:rsid w:val="005C07A3"/>
    <w:rsid w:val="005C4BF8"/>
    <w:rsid w:val="005C58F0"/>
    <w:rsid w:val="005C5B3D"/>
    <w:rsid w:val="005D12CE"/>
    <w:rsid w:val="005D282F"/>
    <w:rsid w:val="005D2A17"/>
    <w:rsid w:val="005D5AA9"/>
    <w:rsid w:val="005D5BF5"/>
    <w:rsid w:val="005E0728"/>
    <w:rsid w:val="005E0B00"/>
    <w:rsid w:val="005E0F86"/>
    <w:rsid w:val="005E1A42"/>
    <w:rsid w:val="005E1B31"/>
    <w:rsid w:val="005E1DDF"/>
    <w:rsid w:val="005E4EA2"/>
    <w:rsid w:val="005E5B7A"/>
    <w:rsid w:val="005E789F"/>
    <w:rsid w:val="005F051B"/>
    <w:rsid w:val="005F083F"/>
    <w:rsid w:val="005F0D01"/>
    <w:rsid w:val="005F1498"/>
    <w:rsid w:val="005F18FF"/>
    <w:rsid w:val="005F317F"/>
    <w:rsid w:val="005F36B6"/>
    <w:rsid w:val="005F4DDF"/>
    <w:rsid w:val="005F51E3"/>
    <w:rsid w:val="005F6007"/>
    <w:rsid w:val="005F62F2"/>
    <w:rsid w:val="00600766"/>
    <w:rsid w:val="00600EBA"/>
    <w:rsid w:val="00601CB9"/>
    <w:rsid w:val="00603D8A"/>
    <w:rsid w:val="0060560D"/>
    <w:rsid w:val="00606561"/>
    <w:rsid w:val="00606A95"/>
    <w:rsid w:val="006079EC"/>
    <w:rsid w:val="00610945"/>
    <w:rsid w:val="0061097A"/>
    <w:rsid w:val="006114C0"/>
    <w:rsid w:val="00611705"/>
    <w:rsid w:val="00612C70"/>
    <w:rsid w:val="006135D6"/>
    <w:rsid w:val="00613E01"/>
    <w:rsid w:val="00615BFA"/>
    <w:rsid w:val="00616579"/>
    <w:rsid w:val="006175EC"/>
    <w:rsid w:val="00617E15"/>
    <w:rsid w:val="006215F2"/>
    <w:rsid w:val="00621814"/>
    <w:rsid w:val="00621858"/>
    <w:rsid w:val="00621A98"/>
    <w:rsid w:val="00625305"/>
    <w:rsid w:val="00625905"/>
    <w:rsid w:val="00627857"/>
    <w:rsid w:val="00627F84"/>
    <w:rsid w:val="00630BFB"/>
    <w:rsid w:val="00630C24"/>
    <w:rsid w:val="00632A6E"/>
    <w:rsid w:val="00632CB0"/>
    <w:rsid w:val="00634E67"/>
    <w:rsid w:val="00635185"/>
    <w:rsid w:val="00635394"/>
    <w:rsid w:val="0063550D"/>
    <w:rsid w:val="00636030"/>
    <w:rsid w:val="00636C95"/>
    <w:rsid w:val="00636D17"/>
    <w:rsid w:val="00637CDD"/>
    <w:rsid w:val="006415A1"/>
    <w:rsid w:val="00643EAA"/>
    <w:rsid w:val="00643F1E"/>
    <w:rsid w:val="00644EFF"/>
    <w:rsid w:val="00645724"/>
    <w:rsid w:val="0064624D"/>
    <w:rsid w:val="00647A58"/>
    <w:rsid w:val="00647EBA"/>
    <w:rsid w:val="0065070D"/>
    <w:rsid w:val="0065300F"/>
    <w:rsid w:val="00655C7F"/>
    <w:rsid w:val="0065681D"/>
    <w:rsid w:val="006568EA"/>
    <w:rsid w:val="00657FFB"/>
    <w:rsid w:val="00660571"/>
    <w:rsid w:val="006605D9"/>
    <w:rsid w:val="00660AE2"/>
    <w:rsid w:val="00660FFB"/>
    <w:rsid w:val="00662771"/>
    <w:rsid w:val="00662A6B"/>
    <w:rsid w:val="006655AE"/>
    <w:rsid w:val="006655D5"/>
    <w:rsid w:val="00666FC6"/>
    <w:rsid w:val="00667E61"/>
    <w:rsid w:val="00673433"/>
    <w:rsid w:val="0067413D"/>
    <w:rsid w:val="00675D8A"/>
    <w:rsid w:val="0067634C"/>
    <w:rsid w:val="0067677D"/>
    <w:rsid w:val="00676BC3"/>
    <w:rsid w:val="00680E10"/>
    <w:rsid w:val="00681845"/>
    <w:rsid w:val="00681994"/>
    <w:rsid w:val="00681BDB"/>
    <w:rsid w:val="0068224A"/>
    <w:rsid w:val="00683733"/>
    <w:rsid w:val="0068438C"/>
    <w:rsid w:val="00684C03"/>
    <w:rsid w:val="006855E5"/>
    <w:rsid w:val="0068569A"/>
    <w:rsid w:val="006859F0"/>
    <w:rsid w:val="00686A5C"/>
    <w:rsid w:val="00691D1E"/>
    <w:rsid w:val="006925E1"/>
    <w:rsid w:val="006936CD"/>
    <w:rsid w:val="00694695"/>
    <w:rsid w:val="00694C00"/>
    <w:rsid w:val="006954A8"/>
    <w:rsid w:val="006966BF"/>
    <w:rsid w:val="00696B4A"/>
    <w:rsid w:val="006A00DF"/>
    <w:rsid w:val="006A0180"/>
    <w:rsid w:val="006A02B7"/>
    <w:rsid w:val="006A02FB"/>
    <w:rsid w:val="006A307E"/>
    <w:rsid w:val="006A4214"/>
    <w:rsid w:val="006A475D"/>
    <w:rsid w:val="006A613B"/>
    <w:rsid w:val="006A71EF"/>
    <w:rsid w:val="006A77F0"/>
    <w:rsid w:val="006B002C"/>
    <w:rsid w:val="006B09CB"/>
    <w:rsid w:val="006B124F"/>
    <w:rsid w:val="006B1A6C"/>
    <w:rsid w:val="006B397B"/>
    <w:rsid w:val="006B41C2"/>
    <w:rsid w:val="006B4B84"/>
    <w:rsid w:val="006B5175"/>
    <w:rsid w:val="006B6CA8"/>
    <w:rsid w:val="006C14E1"/>
    <w:rsid w:val="006C2FCE"/>
    <w:rsid w:val="006C302A"/>
    <w:rsid w:val="006C4239"/>
    <w:rsid w:val="006C42C8"/>
    <w:rsid w:val="006C43A0"/>
    <w:rsid w:val="006C621B"/>
    <w:rsid w:val="006C6374"/>
    <w:rsid w:val="006C70F5"/>
    <w:rsid w:val="006C75CA"/>
    <w:rsid w:val="006C7618"/>
    <w:rsid w:val="006C7E96"/>
    <w:rsid w:val="006D0D4B"/>
    <w:rsid w:val="006D1F66"/>
    <w:rsid w:val="006D2E8D"/>
    <w:rsid w:val="006D3FC1"/>
    <w:rsid w:val="006D4166"/>
    <w:rsid w:val="006D46FC"/>
    <w:rsid w:val="006E0AAD"/>
    <w:rsid w:val="006E19F5"/>
    <w:rsid w:val="006E2B22"/>
    <w:rsid w:val="006E3F87"/>
    <w:rsid w:val="006E54EF"/>
    <w:rsid w:val="006E56E3"/>
    <w:rsid w:val="006E6C57"/>
    <w:rsid w:val="006E733A"/>
    <w:rsid w:val="006E7720"/>
    <w:rsid w:val="006E7B1C"/>
    <w:rsid w:val="006E7BC0"/>
    <w:rsid w:val="006F0894"/>
    <w:rsid w:val="006F0B0F"/>
    <w:rsid w:val="006F0C51"/>
    <w:rsid w:val="006F215B"/>
    <w:rsid w:val="006F34D8"/>
    <w:rsid w:val="006F36D4"/>
    <w:rsid w:val="006F47F6"/>
    <w:rsid w:val="006F6018"/>
    <w:rsid w:val="006F74D1"/>
    <w:rsid w:val="00700A5A"/>
    <w:rsid w:val="0070103D"/>
    <w:rsid w:val="0070219B"/>
    <w:rsid w:val="00702E35"/>
    <w:rsid w:val="00703CC4"/>
    <w:rsid w:val="00706022"/>
    <w:rsid w:val="007066BC"/>
    <w:rsid w:val="007076A2"/>
    <w:rsid w:val="0071038D"/>
    <w:rsid w:val="00711051"/>
    <w:rsid w:val="00711707"/>
    <w:rsid w:val="00711E3C"/>
    <w:rsid w:val="007120FA"/>
    <w:rsid w:val="0071222E"/>
    <w:rsid w:val="0071291B"/>
    <w:rsid w:val="00712DAF"/>
    <w:rsid w:val="007149D6"/>
    <w:rsid w:val="00714D0D"/>
    <w:rsid w:val="0071553D"/>
    <w:rsid w:val="00716E69"/>
    <w:rsid w:val="0072064B"/>
    <w:rsid w:val="00720B22"/>
    <w:rsid w:val="0072107C"/>
    <w:rsid w:val="007229DD"/>
    <w:rsid w:val="00722A89"/>
    <w:rsid w:val="0072343E"/>
    <w:rsid w:val="00723D3E"/>
    <w:rsid w:val="007245DA"/>
    <w:rsid w:val="007267BC"/>
    <w:rsid w:val="0072722C"/>
    <w:rsid w:val="0073125E"/>
    <w:rsid w:val="00732A51"/>
    <w:rsid w:val="007336C9"/>
    <w:rsid w:val="00736A04"/>
    <w:rsid w:val="00737B63"/>
    <w:rsid w:val="00743428"/>
    <w:rsid w:val="00746B03"/>
    <w:rsid w:val="00746E21"/>
    <w:rsid w:val="00747767"/>
    <w:rsid w:val="00750612"/>
    <w:rsid w:val="007509AB"/>
    <w:rsid w:val="00750E02"/>
    <w:rsid w:val="007518C3"/>
    <w:rsid w:val="007523B5"/>
    <w:rsid w:val="007529CF"/>
    <w:rsid w:val="00753F9C"/>
    <w:rsid w:val="007541C3"/>
    <w:rsid w:val="0075447D"/>
    <w:rsid w:val="007545F3"/>
    <w:rsid w:val="00755161"/>
    <w:rsid w:val="00755181"/>
    <w:rsid w:val="007556FB"/>
    <w:rsid w:val="00757ABF"/>
    <w:rsid w:val="0076042C"/>
    <w:rsid w:val="00762B86"/>
    <w:rsid w:val="00764D5F"/>
    <w:rsid w:val="00764E5F"/>
    <w:rsid w:val="00765276"/>
    <w:rsid w:val="00765A60"/>
    <w:rsid w:val="0076633C"/>
    <w:rsid w:val="0076759B"/>
    <w:rsid w:val="00770ECE"/>
    <w:rsid w:val="0077115A"/>
    <w:rsid w:val="00771E5E"/>
    <w:rsid w:val="007733D2"/>
    <w:rsid w:val="00773AD3"/>
    <w:rsid w:val="00773BAC"/>
    <w:rsid w:val="0077447D"/>
    <w:rsid w:val="007751DB"/>
    <w:rsid w:val="007752B6"/>
    <w:rsid w:val="0077660B"/>
    <w:rsid w:val="0078247D"/>
    <w:rsid w:val="0078252A"/>
    <w:rsid w:val="00782DA4"/>
    <w:rsid w:val="00783619"/>
    <w:rsid w:val="0078516E"/>
    <w:rsid w:val="007857CA"/>
    <w:rsid w:val="00785E24"/>
    <w:rsid w:val="00785FDE"/>
    <w:rsid w:val="007875E8"/>
    <w:rsid w:val="00792460"/>
    <w:rsid w:val="007941B4"/>
    <w:rsid w:val="007959B3"/>
    <w:rsid w:val="0079641B"/>
    <w:rsid w:val="00796650"/>
    <w:rsid w:val="00796EDB"/>
    <w:rsid w:val="00797CE5"/>
    <w:rsid w:val="007A0F75"/>
    <w:rsid w:val="007A20E9"/>
    <w:rsid w:val="007A2B6A"/>
    <w:rsid w:val="007A30D9"/>
    <w:rsid w:val="007A3540"/>
    <w:rsid w:val="007A4090"/>
    <w:rsid w:val="007A6F1C"/>
    <w:rsid w:val="007B0BA0"/>
    <w:rsid w:val="007B21FD"/>
    <w:rsid w:val="007B396A"/>
    <w:rsid w:val="007B47F1"/>
    <w:rsid w:val="007B565E"/>
    <w:rsid w:val="007B6EE8"/>
    <w:rsid w:val="007B72B0"/>
    <w:rsid w:val="007B77B2"/>
    <w:rsid w:val="007B77F2"/>
    <w:rsid w:val="007C0149"/>
    <w:rsid w:val="007C0949"/>
    <w:rsid w:val="007C22CB"/>
    <w:rsid w:val="007C2302"/>
    <w:rsid w:val="007C4247"/>
    <w:rsid w:val="007C4479"/>
    <w:rsid w:val="007C5647"/>
    <w:rsid w:val="007C616A"/>
    <w:rsid w:val="007C67A0"/>
    <w:rsid w:val="007C7970"/>
    <w:rsid w:val="007C7E88"/>
    <w:rsid w:val="007C7EAB"/>
    <w:rsid w:val="007D04CD"/>
    <w:rsid w:val="007D6775"/>
    <w:rsid w:val="007D683C"/>
    <w:rsid w:val="007D7C22"/>
    <w:rsid w:val="007E0402"/>
    <w:rsid w:val="007E04F9"/>
    <w:rsid w:val="007E0B45"/>
    <w:rsid w:val="007E0FC8"/>
    <w:rsid w:val="007E103D"/>
    <w:rsid w:val="007E1DC1"/>
    <w:rsid w:val="007E41EF"/>
    <w:rsid w:val="007E48F8"/>
    <w:rsid w:val="007E4BE7"/>
    <w:rsid w:val="007E4EF3"/>
    <w:rsid w:val="007E61EE"/>
    <w:rsid w:val="007E7347"/>
    <w:rsid w:val="007F1670"/>
    <w:rsid w:val="007F22A8"/>
    <w:rsid w:val="007F2454"/>
    <w:rsid w:val="007F2B64"/>
    <w:rsid w:val="007F332F"/>
    <w:rsid w:val="007F35A0"/>
    <w:rsid w:val="007F49DB"/>
    <w:rsid w:val="007F5C69"/>
    <w:rsid w:val="007F7914"/>
    <w:rsid w:val="00801C4D"/>
    <w:rsid w:val="00802D82"/>
    <w:rsid w:val="0080522F"/>
    <w:rsid w:val="008057DB"/>
    <w:rsid w:val="00806617"/>
    <w:rsid w:val="0081084D"/>
    <w:rsid w:val="00810D79"/>
    <w:rsid w:val="00811A26"/>
    <w:rsid w:val="008121C7"/>
    <w:rsid w:val="00812F45"/>
    <w:rsid w:val="008130AF"/>
    <w:rsid w:val="00813EAF"/>
    <w:rsid w:val="00814643"/>
    <w:rsid w:val="00814A0E"/>
    <w:rsid w:val="00814D80"/>
    <w:rsid w:val="00815CFF"/>
    <w:rsid w:val="00815E51"/>
    <w:rsid w:val="008164BB"/>
    <w:rsid w:val="00816DB4"/>
    <w:rsid w:val="008171E3"/>
    <w:rsid w:val="008178C8"/>
    <w:rsid w:val="008202CF"/>
    <w:rsid w:val="00820E2C"/>
    <w:rsid w:val="00820E9C"/>
    <w:rsid w:val="00821AE5"/>
    <w:rsid w:val="008222B7"/>
    <w:rsid w:val="00822CEB"/>
    <w:rsid w:val="008258F9"/>
    <w:rsid w:val="00827831"/>
    <w:rsid w:val="00831A48"/>
    <w:rsid w:val="008321AA"/>
    <w:rsid w:val="00832721"/>
    <w:rsid w:val="00832977"/>
    <w:rsid w:val="0083318C"/>
    <w:rsid w:val="0083379F"/>
    <w:rsid w:val="00834983"/>
    <w:rsid w:val="00834DBD"/>
    <w:rsid w:val="00836344"/>
    <w:rsid w:val="00836F65"/>
    <w:rsid w:val="00836F84"/>
    <w:rsid w:val="008373F5"/>
    <w:rsid w:val="008407A9"/>
    <w:rsid w:val="008410B7"/>
    <w:rsid w:val="00841C07"/>
    <w:rsid w:val="00843C1A"/>
    <w:rsid w:val="00845501"/>
    <w:rsid w:val="0084648A"/>
    <w:rsid w:val="00850709"/>
    <w:rsid w:val="0085094E"/>
    <w:rsid w:val="00850A51"/>
    <w:rsid w:val="0085319C"/>
    <w:rsid w:val="008536BB"/>
    <w:rsid w:val="00853C2A"/>
    <w:rsid w:val="00853D2E"/>
    <w:rsid w:val="00853E20"/>
    <w:rsid w:val="008542F2"/>
    <w:rsid w:val="00854D64"/>
    <w:rsid w:val="00854F7C"/>
    <w:rsid w:val="0085515B"/>
    <w:rsid w:val="008556DB"/>
    <w:rsid w:val="008558F3"/>
    <w:rsid w:val="00857C0C"/>
    <w:rsid w:val="00860A51"/>
    <w:rsid w:val="00861108"/>
    <w:rsid w:val="00861316"/>
    <w:rsid w:val="00861EA6"/>
    <w:rsid w:val="00862325"/>
    <w:rsid w:val="00863405"/>
    <w:rsid w:val="00863CC6"/>
    <w:rsid w:val="00863F99"/>
    <w:rsid w:val="008642E8"/>
    <w:rsid w:val="008659CC"/>
    <w:rsid w:val="0086763A"/>
    <w:rsid w:val="008716E0"/>
    <w:rsid w:val="00871D47"/>
    <w:rsid w:val="00873FE6"/>
    <w:rsid w:val="00881239"/>
    <w:rsid w:val="00881EDB"/>
    <w:rsid w:val="00882DA6"/>
    <w:rsid w:val="0088480B"/>
    <w:rsid w:val="008859C7"/>
    <w:rsid w:val="00886119"/>
    <w:rsid w:val="00886A1C"/>
    <w:rsid w:val="00890B81"/>
    <w:rsid w:val="00891495"/>
    <w:rsid w:val="00892012"/>
    <w:rsid w:val="008936C3"/>
    <w:rsid w:val="00893C03"/>
    <w:rsid w:val="00894408"/>
    <w:rsid w:val="0089644B"/>
    <w:rsid w:val="008976D1"/>
    <w:rsid w:val="00897BF6"/>
    <w:rsid w:val="008A0604"/>
    <w:rsid w:val="008A366E"/>
    <w:rsid w:val="008A419A"/>
    <w:rsid w:val="008A463F"/>
    <w:rsid w:val="008A4B65"/>
    <w:rsid w:val="008A670D"/>
    <w:rsid w:val="008B2090"/>
    <w:rsid w:val="008B26B5"/>
    <w:rsid w:val="008B2AD2"/>
    <w:rsid w:val="008B2DB3"/>
    <w:rsid w:val="008B37CB"/>
    <w:rsid w:val="008B397E"/>
    <w:rsid w:val="008B48CC"/>
    <w:rsid w:val="008B537D"/>
    <w:rsid w:val="008B61B6"/>
    <w:rsid w:val="008B6555"/>
    <w:rsid w:val="008C01C8"/>
    <w:rsid w:val="008C057B"/>
    <w:rsid w:val="008C0B0A"/>
    <w:rsid w:val="008C20B1"/>
    <w:rsid w:val="008C277B"/>
    <w:rsid w:val="008C3995"/>
    <w:rsid w:val="008C3A6D"/>
    <w:rsid w:val="008C3E76"/>
    <w:rsid w:val="008C504E"/>
    <w:rsid w:val="008C5B75"/>
    <w:rsid w:val="008C6227"/>
    <w:rsid w:val="008C6D53"/>
    <w:rsid w:val="008C710E"/>
    <w:rsid w:val="008C7A40"/>
    <w:rsid w:val="008D05A4"/>
    <w:rsid w:val="008D0D61"/>
    <w:rsid w:val="008D0FD9"/>
    <w:rsid w:val="008D1B66"/>
    <w:rsid w:val="008D20AF"/>
    <w:rsid w:val="008D2669"/>
    <w:rsid w:val="008D439A"/>
    <w:rsid w:val="008D604E"/>
    <w:rsid w:val="008E030C"/>
    <w:rsid w:val="008E1819"/>
    <w:rsid w:val="008E2A06"/>
    <w:rsid w:val="008E3BAA"/>
    <w:rsid w:val="008E4F09"/>
    <w:rsid w:val="008E61FD"/>
    <w:rsid w:val="008E784D"/>
    <w:rsid w:val="008F0B4D"/>
    <w:rsid w:val="008F0FD4"/>
    <w:rsid w:val="008F2839"/>
    <w:rsid w:val="008F3762"/>
    <w:rsid w:val="008F4BDE"/>
    <w:rsid w:val="008F62E5"/>
    <w:rsid w:val="008F6980"/>
    <w:rsid w:val="008F6A3B"/>
    <w:rsid w:val="008F7549"/>
    <w:rsid w:val="00900106"/>
    <w:rsid w:val="009012A5"/>
    <w:rsid w:val="009032D4"/>
    <w:rsid w:val="0090394E"/>
    <w:rsid w:val="00904BC1"/>
    <w:rsid w:val="00905956"/>
    <w:rsid w:val="0090629D"/>
    <w:rsid w:val="009069BA"/>
    <w:rsid w:val="009077EF"/>
    <w:rsid w:val="009101B1"/>
    <w:rsid w:val="00911C6E"/>
    <w:rsid w:val="0091217B"/>
    <w:rsid w:val="00912964"/>
    <w:rsid w:val="00912A55"/>
    <w:rsid w:val="00913F75"/>
    <w:rsid w:val="00914C8D"/>
    <w:rsid w:val="00915869"/>
    <w:rsid w:val="00915C8D"/>
    <w:rsid w:val="00915FB7"/>
    <w:rsid w:val="00916244"/>
    <w:rsid w:val="00916D5B"/>
    <w:rsid w:val="0092010B"/>
    <w:rsid w:val="00920403"/>
    <w:rsid w:val="00923C11"/>
    <w:rsid w:val="0092432C"/>
    <w:rsid w:val="00926459"/>
    <w:rsid w:val="00930476"/>
    <w:rsid w:val="0093059D"/>
    <w:rsid w:val="00931468"/>
    <w:rsid w:val="009318DE"/>
    <w:rsid w:val="00931C3C"/>
    <w:rsid w:val="00933E2F"/>
    <w:rsid w:val="00934601"/>
    <w:rsid w:val="00934F81"/>
    <w:rsid w:val="009355DE"/>
    <w:rsid w:val="00936156"/>
    <w:rsid w:val="00936CD8"/>
    <w:rsid w:val="009413B3"/>
    <w:rsid w:val="00941566"/>
    <w:rsid w:val="00941973"/>
    <w:rsid w:val="00942314"/>
    <w:rsid w:val="009431E6"/>
    <w:rsid w:val="00943763"/>
    <w:rsid w:val="0094475C"/>
    <w:rsid w:val="009447F8"/>
    <w:rsid w:val="00945B1B"/>
    <w:rsid w:val="00945F36"/>
    <w:rsid w:val="00946233"/>
    <w:rsid w:val="009464D2"/>
    <w:rsid w:val="009469CB"/>
    <w:rsid w:val="00946FC1"/>
    <w:rsid w:val="00947AE5"/>
    <w:rsid w:val="009508AA"/>
    <w:rsid w:val="00952209"/>
    <w:rsid w:val="0095226C"/>
    <w:rsid w:val="00953874"/>
    <w:rsid w:val="009542A6"/>
    <w:rsid w:val="009544EC"/>
    <w:rsid w:val="00954514"/>
    <w:rsid w:val="00955DCF"/>
    <w:rsid w:val="00955EBA"/>
    <w:rsid w:val="009567CB"/>
    <w:rsid w:val="00957E80"/>
    <w:rsid w:val="00960D40"/>
    <w:rsid w:val="009611B5"/>
    <w:rsid w:val="00961A9A"/>
    <w:rsid w:val="009622E2"/>
    <w:rsid w:val="00963694"/>
    <w:rsid w:val="00963783"/>
    <w:rsid w:val="009660CE"/>
    <w:rsid w:val="00967514"/>
    <w:rsid w:val="009678F4"/>
    <w:rsid w:val="009718B4"/>
    <w:rsid w:val="00972FA8"/>
    <w:rsid w:val="00974279"/>
    <w:rsid w:val="009743D1"/>
    <w:rsid w:val="00974C9D"/>
    <w:rsid w:val="00974D57"/>
    <w:rsid w:val="00975094"/>
    <w:rsid w:val="009821A1"/>
    <w:rsid w:val="00982A4C"/>
    <w:rsid w:val="009841EE"/>
    <w:rsid w:val="00987205"/>
    <w:rsid w:val="00987936"/>
    <w:rsid w:val="00991627"/>
    <w:rsid w:val="00991F36"/>
    <w:rsid w:val="0099205D"/>
    <w:rsid w:val="009933EF"/>
    <w:rsid w:val="00993697"/>
    <w:rsid w:val="0099479B"/>
    <w:rsid w:val="009947BA"/>
    <w:rsid w:val="00994E27"/>
    <w:rsid w:val="00995CC2"/>
    <w:rsid w:val="009971AC"/>
    <w:rsid w:val="009974BF"/>
    <w:rsid w:val="00997605"/>
    <w:rsid w:val="009A00C7"/>
    <w:rsid w:val="009A0116"/>
    <w:rsid w:val="009A058F"/>
    <w:rsid w:val="009A0B8E"/>
    <w:rsid w:val="009A0D36"/>
    <w:rsid w:val="009A12D4"/>
    <w:rsid w:val="009A1C90"/>
    <w:rsid w:val="009A2620"/>
    <w:rsid w:val="009A52B3"/>
    <w:rsid w:val="009A764A"/>
    <w:rsid w:val="009B03F6"/>
    <w:rsid w:val="009B040A"/>
    <w:rsid w:val="009B05B4"/>
    <w:rsid w:val="009B261C"/>
    <w:rsid w:val="009B3331"/>
    <w:rsid w:val="009B3567"/>
    <w:rsid w:val="009B50E3"/>
    <w:rsid w:val="009C06F6"/>
    <w:rsid w:val="009C15A6"/>
    <w:rsid w:val="009C18DB"/>
    <w:rsid w:val="009C36E0"/>
    <w:rsid w:val="009C3ABC"/>
    <w:rsid w:val="009C535A"/>
    <w:rsid w:val="009C70A6"/>
    <w:rsid w:val="009C777C"/>
    <w:rsid w:val="009C77B9"/>
    <w:rsid w:val="009D1A32"/>
    <w:rsid w:val="009D2B92"/>
    <w:rsid w:val="009D2BAC"/>
    <w:rsid w:val="009D47D6"/>
    <w:rsid w:val="009D487F"/>
    <w:rsid w:val="009D5E02"/>
    <w:rsid w:val="009D66E3"/>
    <w:rsid w:val="009D6F97"/>
    <w:rsid w:val="009D7B88"/>
    <w:rsid w:val="009D7D77"/>
    <w:rsid w:val="009E026E"/>
    <w:rsid w:val="009E1534"/>
    <w:rsid w:val="009E1A7D"/>
    <w:rsid w:val="009E309A"/>
    <w:rsid w:val="009E4ED4"/>
    <w:rsid w:val="009E51DA"/>
    <w:rsid w:val="009E56BE"/>
    <w:rsid w:val="009E59E9"/>
    <w:rsid w:val="009E7A7D"/>
    <w:rsid w:val="009F018B"/>
    <w:rsid w:val="009F093A"/>
    <w:rsid w:val="009F0FA6"/>
    <w:rsid w:val="009F114F"/>
    <w:rsid w:val="009F2D2E"/>
    <w:rsid w:val="009F4436"/>
    <w:rsid w:val="009F4C34"/>
    <w:rsid w:val="009F5CAB"/>
    <w:rsid w:val="009F6EB9"/>
    <w:rsid w:val="009F7347"/>
    <w:rsid w:val="009F7392"/>
    <w:rsid w:val="00A00BD8"/>
    <w:rsid w:val="00A052B6"/>
    <w:rsid w:val="00A05AB6"/>
    <w:rsid w:val="00A05B21"/>
    <w:rsid w:val="00A06C8C"/>
    <w:rsid w:val="00A06D39"/>
    <w:rsid w:val="00A106A1"/>
    <w:rsid w:val="00A1246F"/>
    <w:rsid w:val="00A124EE"/>
    <w:rsid w:val="00A1295D"/>
    <w:rsid w:val="00A14391"/>
    <w:rsid w:val="00A15BA8"/>
    <w:rsid w:val="00A15E07"/>
    <w:rsid w:val="00A17311"/>
    <w:rsid w:val="00A205FC"/>
    <w:rsid w:val="00A20E22"/>
    <w:rsid w:val="00A21C0E"/>
    <w:rsid w:val="00A23176"/>
    <w:rsid w:val="00A238EA"/>
    <w:rsid w:val="00A23B10"/>
    <w:rsid w:val="00A24589"/>
    <w:rsid w:val="00A248C9"/>
    <w:rsid w:val="00A274B6"/>
    <w:rsid w:val="00A276A8"/>
    <w:rsid w:val="00A27B4C"/>
    <w:rsid w:val="00A310CC"/>
    <w:rsid w:val="00A353E2"/>
    <w:rsid w:val="00A406DE"/>
    <w:rsid w:val="00A40BD4"/>
    <w:rsid w:val="00A41B36"/>
    <w:rsid w:val="00A431AB"/>
    <w:rsid w:val="00A43B2A"/>
    <w:rsid w:val="00A43FEA"/>
    <w:rsid w:val="00A44CBF"/>
    <w:rsid w:val="00A50128"/>
    <w:rsid w:val="00A50159"/>
    <w:rsid w:val="00A5151D"/>
    <w:rsid w:val="00A52CD6"/>
    <w:rsid w:val="00A52D39"/>
    <w:rsid w:val="00A53C11"/>
    <w:rsid w:val="00A54332"/>
    <w:rsid w:val="00A56A08"/>
    <w:rsid w:val="00A57B9D"/>
    <w:rsid w:val="00A60408"/>
    <w:rsid w:val="00A60889"/>
    <w:rsid w:val="00A60EBC"/>
    <w:rsid w:val="00A60F12"/>
    <w:rsid w:val="00A61A11"/>
    <w:rsid w:val="00A61FBA"/>
    <w:rsid w:val="00A62CD5"/>
    <w:rsid w:val="00A63182"/>
    <w:rsid w:val="00A63D5B"/>
    <w:rsid w:val="00A63E13"/>
    <w:rsid w:val="00A64318"/>
    <w:rsid w:val="00A65E2B"/>
    <w:rsid w:val="00A6677D"/>
    <w:rsid w:val="00A70ADF"/>
    <w:rsid w:val="00A70FE7"/>
    <w:rsid w:val="00A71E33"/>
    <w:rsid w:val="00A74DC3"/>
    <w:rsid w:val="00A762B6"/>
    <w:rsid w:val="00A76849"/>
    <w:rsid w:val="00A768DD"/>
    <w:rsid w:val="00A76FB2"/>
    <w:rsid w:val="00A7703C"/>
    <w:rsid w:val="00A80118"/>
    <w:rsid w:val="00A85711"/>
    <w:rsid w:val="00A86BAF"/>
    <w:rsid w:val="00A90917"/>
    <w:rsid w:val="00A91A37"/>
    <w:rsid w:val="00A929E3"/>
    <w:rsid w:val="00A9319C"/>
    <w:rsid w:val="00A9577E"/>
    <w:rsid w:val="00A95BB9"/>
    <w:rsid w:val="00A968C1"/>
    <w:rsid w:val="00A96B48"/>
    <w:rsid w:val="00A96DC0"/>
    <w:rsid w:val="00A97258"/>
    <w:rsid w:val="00A976B8"/>
    <w:rsid w:val="00A978E1"/>
    <w:rsid w:val="00AA05A1"/>
    <w:rsid w:val="00AA0858"/>
    <w:rsid w:val="00AA11CF"/>
    <w:rsid w:val="00AA2490"/>
    <w:rsid w:val="00AA35F2"/>
    <w:rsid w:val="00AA39BB"/>
    <w:rsid w:val="00AA4A1A"/>
    <w:rsid w:val="00AA59D1"/>
    <w:rsid w:val="00AA5ABB"/>
    <w:rsid w:val="00AA68C1"/>
    <w:rsid w:val="00AA7019"/>
    <w:rsid w:val="00AB05C4"/>
    <w:rsid w:val="00AB0DAB"/>
    <w:rsid w:val="00AB1553"/>
    <w:rsid w:val="00AB1921"/>
    <w:rsid w:val="00AB214F"/>
    <w:rsid w:val="00AB28AE"/>
    <w:rsid w:val="00AB2ED0"/>
    <w:rsid w:val="00AB6300"/>
    <w:rsid w:val="00AC00EE"/>
    <w:rsid w:val="00AC1610"/>
    <w:rsid w:val="00AC1861"/>
    <w:rsid w:val="00AC1893"/>
    <w:rsid w:val="00AC274E"/>
    <w:rsid w:val="00AC3016"/>
    <w:rsid w:val="00AC31F8"/>
    <w:rsid w:val="00AC4F5F"/>
    <w:rsid w:val="00AC6DC8"/>
    <w:rsid w:val="00AC7C19"/>
    <w:rsid w:val="00AD063B"/>
    <w:rsid w:val="00AD0AD7"/>
    <w:rsid w:val="00AD1608"/>
    <w:rsid w:val="00AD1DA6"/>
    <w:rsid w:val="00AD31AD"/>
    <w:rsid w:val="00AD3248"/>
    <w:rsid w:val="00AD370D"/>
    <w:rsid w:val="00AD6F72"/>
    <w:rsid w:val="00AE26AA"/>
    <w:rsid w:val="00AE2928"/>
    <w:rsid w:val="00AE3D86"/>
    <w:rsid w:val="00AE406E"/>
    <w:rsid w:val="00AE4C35"/>
    <w:rsid w:val="00AE5234"/>
    <w:rsid w:val="00AE5D49"/>
    <w:rsid w:val="00AE7419"/>
    <w:rsid w:val="00AF13E4"/>
    <w:rsid w:val="00AF213C"/>
    <w:rsid w:val="00AF2335"/>
    <w:rsid w:val="00AF5F54"/>
    <w:rsid w:val="00AF62D3"/>
    <w:rsid w:val="00AF66E4"/>
    <w:rsid w:val="00AF76B1"/>
    <w:rsid w:val="00B0126F"/>
    <w:rsid w:val="00B01488"/>
    <w:rsid w:val="00B01608"/>
    <w:rsid w:val="00B033DA"/>
    <w:rsid w:val="00B03F29"/>
    <w:rsid w:val="00B04609"/>
    <w:rsid w:val="00B04958"/>
    <w:rsid w:val="00B04EBD"/>
    <w:rsid w:val="00B070E3"/>
    <w:rsid w:val="00B10D7C"/>
    <w:rsid w:val="00B1136E"/>
    <w:rsid w:val="00B1158F"/>
    <w:rsid w:val="00B12CD2"/>
    <w:rsid w:val="00B146F3"/>
    <w:rsid w:val="00B14C6C"/>
    <w:rsid w:val="00B159C0"/>
    <w:rsid w:val="00B16969"/>
    <w:rsid w:val="00B16EDA"/>
    <w:rsid w:val="00B17D00"/>
    <w:rsid w:val="00B20132"/>
    <w:rsid w:val="00B20648"/>
    <w:rsid w:val="00B23514"/>
    <w:rsid w:val="00B236D7"/>
    <w:rsid w:val="00B2399E"/>
    <w:rsid w:val="00B242F8"/>
    <w:rsid w:val="00B25295"/>
    <w:rsid w:val="00B257E0"/>
    <w:rsid w:val="00B2676B"/>
    <w:rsid w:val="00B26AFB"/>
    <w:rsid w:val="00B27AAB"/>
    <w:rsid w:val="00B3004C"/>
    <w:rsid w:val="00B30088"/>
    <w:rsid w:val="00B30385"/>
    <w:rsid w:val="00B308D9"/>
    <w:rsid w:val="00B3170A"/>
    <w:rsid w:val="00B31861"/>
    <w:rsid w:val="00B31937"/>
    <w:rsid w:val="00B325BD"/>
    <w:rsid w:val="00B35423"/>
    <w:rsid w:val="00B35CDE"/>
    <w:rsid w:val="00B37072"/>
    <w:rsid w:val="00B4403D"/>
    <w:rsid w:val="00B44F44"/>
    <w:rsid w:val="00B4558D"/>
    <w:rsid w:val="00B45B28"/>
    <w:rsid w:val="00B46C1C"/>
    <w:rsid w:val="00B51246"/>
    <w:rsid w:val="00B5155E"/>
    <w:rsid w:val="00B523F5"/>
    <w:rsid w:val="00B532C4"/>
    <w:rsid w:val="00B53330"/>
    <w:rsid w:val="00B53CDD"/>
    <w:rsid w:val="00B54092"/>
    <w:rsid w:val="00B554B2"/>
    <w:rsid w:val="00B565D2"/>
    <w:rsid w:val="00B6098E"/>
    <w:rsid w:val="00B61BC6"/>
    <w:rsid w:val="00B62A8D"/>
    <w:rsid w:val="00B634A2"/>
    <w:rsid w:val="00B63D4D"/>
    <w:rsid w:val="00B63D5D"/>
    <w:rsid w:val="00B65F47"/>
    <w:rsid w:val="00B661A2"/>
    <w:rsid w:val="00B661EA"/>
    <w:rsid w:val="00B67A05"/>
    <w:rsid w:val="00B7072A"/>
    <w:rsid w:val="00B72BEF"/>
    <w:rsid w:val="00B75F54"/>
    <w:rsid w:val="00B767DA"/>
    <w:rsid w:val="00B802C1"/>
    <w:rsid w:val="00B80663"/>
    <w:rsid w:val="00B809C6"/>
    <w:rsid w:val="00B81740"/>
    <w:rsid w:val="00B82D0F"/>
    <w:rsid w:val="00B82D74"/>
    <w:rsid w:val="00B845F6"/>
    <w:rsid w:val="00B84771"/>
    <w:rsid w:val="00B8477C"/>
    <w:rsid w:val="00B858BA"/>
    <w:rsid w:val="00B85A04"/>
    <w:rsid w:val="00B85A97"/>
    <w:rsid w:val="00B85C03"/>
    <w:rsid w:val="00B865D8"/>
    <w:rsid w:val="00B87532"/>
    <w:rsid w:val="00B87D93"/>
    <w:rsid w:val="00B91B34"/>
    <w:rsid w:val="00B91DB3"/>
    <w:rsid w:val="00B922C1"/>
    <w:rsid w:val="00B92BD7"/>
    <w:rsid w:val="00B93386"/>
    <w:rsid w:val="00B93971"/>
    <w:rsid w:val="00B946BD"/>
    <w:rsid w:val="00B97A0F"/>
    <w:rsid w:val="00BA0BDB"/>
    <w:rsid w:val="00BA1D72"/>
    <w:rsid w:val="00BA23FD"/>
    <w:rsid w:val="00BA2798"/>
    <w:rsid w:val="00BA3441"/>
    <w:rsid w:val="00BA3ADE"/>
    <w:rsid w:val="00BA7723"/>
    <w:rsid w:val="00BB11F2"/>
    <w:rsid w:val="00BB1BC6"/>
    <w:rsid w:val="00BB1F31"/>
    <w:rsid w:val="00BB2865"/>
    <w:rsid w:val="00BB4510"/>
    <w:rsid w:val="00BB5231"/>
    <w:rsid w:val="00BB59E2"/>
    <w:rsid w:val="00BB6086"/>
    <w:rsid w:val="00BB64A3"/>
    <w:rsid w:val="00BB66F3"/>
    <w:rsid w:val="00BB7D39"/>
    <w:rsid w:val="00BC045B"/>
    <w:rsid w:val="00BC07C2"/>
    <w:rsid w:val="00BC1D82"/>
    <w:rsid w:val="00BC2058"/>
    <w:rsid w:val="00BC7AC5"/>
    <w:rsid w:val="00BD0735"/>
    <w:rsid w:val="00BD1550"/>
    <w:rsid w:val="00BD1B5B"/>
    <w:rsid w:val="00BD2981"/>
    <w:rsid w:val="00BD2F31"/>
    <w:rsid w:val="00BD32D8"/>
    <w:rsid w:val="00BD456C"/>
    <w:rsid w:val="00BD5218"/>
    <w:rsid w:val="00BD6455"/>
    <w:rsid w:val="00BD6992"/>
    <w:rsid w:val="00BE2558"/>
    <w:rsid w:val="00BE3994"/>
    <w:rsid w:val="00BE39EC"/>
    <w:rsid w:val="00BE3AD0"/>
    <w:rsid w:val="00BE41EC"/>
    <w:rsid w:val="00BE4337"/>
    <w:rsid w:val="00BE4CBB"/>
    <w:rsid w:val="00BE66ED"/>
    <w:rsid w:val="00BF00D1"/>
    <w:rsid w:val="00BF153C"/>
    <w:rsid w:val="00BF221C"/>
    <w:rsid w:val="00BF22A8"/>
    <w:rsid w:val="00BF43B8"/>
    <w:rsid w:val="00BF4CEB"/>
    <w:rsid w:val="00BF5CE8"/>
    <w:rsid w:val="00BF70D3"/>
    <w:rsid w:val="00C01A6D"/>
    <w:rsid w:val="00C0278D"/>
    <w:rsid w:val="00C04618"/>
    <w:rsid w:val="00C046DD"/>
    <w:rsid w:val="00C064AF"/>
    <w:rsid w:val="00C06A81"/>
    <w:rsid w:val="00C06ADF"/>
    <w:rsid w:val="00C072EF"/>
    <w:rsid w:val="00C07779"/>
    <w:rsid w:val="00C07C14"/>
    <w:rsid w:val="00C11D7E"/>
    <w:rsid w:val="00C13732"/>
    <w:rsid w:val="00C14AA4"/>
    <w:rsid w:val="00C1664F"/>
    <w:rsid w:val="00C16B5E"/>
    <w:rsid w:val="00C174AF"/>
    <w:rsid w:val="00C17E88"/>
    <w:rsid w:val="00C20104"/>
    <w:rsid w:val="00C20C3D"/>
    <w:rsid w:val="00C21075"/>
    <w:rsid w:val="00C22CD1"/>
    <w:rsid w:val="00C233FD"/>
    <w:rsid w:val="00C24B27"/>
    <w:rsid w:val="00C25F19"/>
    <w:rsid w:val="00C26283"/>
    <w:rsid w:val="00C2707E"/>
    <w:rsid w:val="00C27DD3"/>
    <w:rsid w:val="00C27FAA"/>
    <w:rsid w:val="00C308BD"/>
    <w:rsid w:val="00C30DC2"/>
    <w:rsid w:val="00C30DF0"/>
    <w:rsid w:val="00C31597"/>
    <w:rsid w:val="00C3238E"/>
    <w:rsid w:val="00C3295A"/>
    <w:rsid w:val="00C33B5F"/>
    <w:rsid w:val="00C34AEE"/>
    <w:rsid w:val="00C35917"/>
    <w:rsid w:val="00C37EAC"/>
    <w:rsid w:val="00C4117B"/>
    <w:rsid w:val="00C417C0"/>
    <w:rsid w:val="00C42B7C"/>
    <w:rsid w:val="00C437B1"/>
    <w:rsid w:val="00C43D22"/>
    <w:rsid w:val="00C44AE5"/>
    <w:rsid w:val="00C44B1A"/>
    <w:rsid w:val="00C455DE"/>
    <w:rsid w:val="00C45750"/>
    <w:rsid w:val="00C47F04"/>
    <w:rsid w:val="00C50071"/>
    <w:rsid w:val="00C51DE5"/>
    <w:rsid w:val="00C52DB3"/>
    <w:rsid w:val="00C53938"/>
    <w:rsid w:val="00C577B5"/>
    <w:rsid w:val="00C6097B"/>
    <w:rsid w:val="00C64040"/>
    <w:rsid w:val="00C6480D"/>
    <w:rsid w:val="00C65EE3"/>
    <w:rsid w:val="00C66291"/>
    <w:rsid w:val="00C6775F"/>
    <w:rsid w:val="00C678DB"/>
    <w:rsid w:val="00C70117"/>
    <w:rsid w:val="00C719E1"/>
    <w:rsid w:val="00C71AC5"/>
    <w:rsid w:val="00C72001"/>
    <w:rsid w:val="00C720D4"/>
    <w:rsid w:val="00C737CC"/>
    <w:rsid w:val="00C73837"/>
    <w:rsid w:val="00C739C9"/>
    <w:rsid w:val="00C7433A"/>
    <w:rsid w:val="00C74643"/>
    <w:rsid w:val="00C7497F"/>
    <w:rsid w:val="00C74AD9"/>
    <w:rsid w:val="00C74E28"/>
    <w:rsid w:val="00C74F23"/>
    <w:rsid w:val="00C75B1C"/>
    <w:rsid w:val="00C76352"/>
    <w:rsid w:val="00C80504"/>
    <w:rsid w:val="00C80D1D"/>
    <w:rsid w:val="00C811B9"/>
    <w:rsid w:val="00C82B49"/>
    <w:rsid w:val="00C842BB"/>
    <w:rsid w:val="00C849DF"/>
    <w:rsid w:val="00C84D4B"/>
    <w:rsid w:val="00C865DA"/>
    <w:rsid w:val="00C86A31"/>
    <w:rsid w:val="00C909CD"/>
    <w:rsid w:val="00C92124"/>
    <w:rsid w:val="00C925BF"/>
    <w:rsid w:val="00C9406B"/>
    <w:rsid w:val="00C9581D"/>
    <w:rsid w:val="00C960D0"/>
    <w:rsid w:val="00C96B7C"/>
    <w:rsid w:val="00C96DA4"/>
    <w:rsid w:val="00C970C8"/>
    <w:rsid w:val="00CA0AD9"/>
    <w:rsid w:val="00CA0B24"/>
    <w:rsid w:val="00CA1528"/>
    <w:rsid w:val="00CA1909"/>
    <w:rsid w:val="00CA20D8"/>
    <w:rsid w:val="00CA23AC"/>
    <w:rsid w:val="00CA2859"/>
    <w:rsid w:val="00CA36AC"/>
    <w:rsid w:val="00CA4FEA"/>
    <w:rsid w:val="00CA5B6C"/>
    <w:rsid w:val="00CA66AF"/>
    <w:rsid w:val="00CA6DF3"/>
    <w:rsid w:val="00CA75BF"/>
    <w:rsid w:val="00CA78EE"/>
    <w:rsid w:val="00CB0767"/>
    <w:rsid w:val="00CB0779"/>
    <w:rsid w:val="00CB182B"/>
    <w:rsid w:val="00CB1B79"/>
    <w:rsid w:val="00CB26A1"/>
    <w:rsid w:val="00CB4405"/>
    <w:rsid w:val="00CB61F0"/>
    <w:rsid w:val="00CC02BA"/>
    <w:rsid w:val="00CC1488"/>
    <w:rsid w:val="00CC14E3"/>
    <w:rsid w:val="00CC246A"/>
    <w:rsid w:val="00CC3ACE"/>
    <w:rsid w:val="00CC3D6C"/>
    <w:rsid w:val="00CC4671"/>
    <w:rsid w:val="00CC47DF"/>
    <w:rsid w:val="00CC4D60"/>
    <w:rsid w:val="00CC4F3B"/>
    <w:rsid w:val="00CC4FF6"/>
    <w:rsid w:val="00CC7FFA"/>
    <w:rsid w:val="00CD106D"/>
    <w:rsid w:val="00CD281F"/>
    <w:rsid w:val="00CD2845"/>
    <w:rsid w:val="00CD492E"/>
    <w:rsid w:val="00CD54F8"/>
    <w:rsid w:val="00CE0A47"/>
    <w:rsid w:val="00CE14DC"/>
    <w:rsid w:val="00CE2185"/>
    <w:rsid w:val="00CE4CB0"/>
    <w:rsid w:val="00CE4CB9"/>
    <w:rsid w:val="00CE50B3"/>
    <w:rsid w:val="00CE58A1"/>
    <w:rsid w:val="00CE7151"/>
    <w:rsid w:val="00CE745B"/>
    <w:rsid w:val="00CE7D4F"/>
    <w:rsid w:val="00CF1D28"/>
    <w:rsid w:val="00CF31A9"/>
    <w:rsid w:val="00CF33B1"/>
    <w:rsid w:val="00CF38BD"/>
    <w:rsid w:val="00CF4252"/>
    <w:rsid w:val="00CF42C2"/>
    <w:rsid w:val="00CF6027"/>
    <w:rsid w:val="00CF7021"/>
    <w:rsid w:val="00CF71BF"/>
    <w:rsid w:val="00D00099"/>
    <w:rsid w:val="00D01DD1"/>
    <w:rsid w:val="00D02572"/>
    <w:rsid w:val="00D02852"/>
    <w:rsid w:val="00D03E19"/>
    <w:rsid w:val="00D043B0"/>
    <w:rsid w:val="00D04722"/>
    <w:rsid w:val="00D06099"/>
    <w:rsid w:val="00D06445"/>
    <w:rsid w:val="00D065EF"/>
    <w:rsid w:val="00D0729F"/>
    <w:rsid w:val="00D073E0"/>
    <w:rsid w:val="00D07A2F"/>
    <w:rsid w:val="00D1171F"/>
    <w:rsid w:val="00D128E4"/>
    <w:rsid w:val="00D1298E"/>
    <w:rsid w:val="00D14CC9"/>
    <w:rsid w:val="00D15A75"/>
    <w:rsid w:val="00D15EEE"/>
    <w:rsid w:val="00D16855"/>
    <w:rsid w:val="00D1789A"/>
    <w:rsid w:val="00D17DED"/>
    <w:rsid w:val="00D20497"/>
    <w:rsid w:val="00D20882"/>
    <w:rsid w:val="00D21977"/>
    <w:rsid w:val="00D21FA6"/>
    <w:rsid w:val="00D230B6"/>
    <w:rsid w:val="00D233B2"/>
    <w:rsid w:val="00D24CD6"/>
    <w:rsid w:val="00D24D7D"/>
    <w:rsid w:val="00D25025"/>
    <w:rsid w:val="00D26717"/>
    <w:rsid w:val="00D27242"/>
    <w:rsid w:val="00D30DF7"/>
    <w:rsid w:val="00D31333"/>
    <w:rsid w:val="00D318F4"/>
    <w:rsid w:val="00D31B74"/>
    <w:rsid w:val="00D346F5"/>
    <w:rsid w:val="00D34A44"/>
    <w:rsid w:val="00D360BA"/>
    <w:rsid w:val="00D36370"/>
    <w:rsid w:val="00D374C9"/>
    <w:rsid w:val="00D37A25"/>
    <w:rsid w:val="00D37D35"/>
    <w:rsid w:val="00D4250F"/>
    <w:rsid w:val="00D4274E"/>
    <w:rsid w:val="00D447FF"/>
    <w:rsid w:val="00D504E2"/>
    <w:rsid w:val="00D5301A"/>
    <w:rsid w:val="00D54995"/>
    <w:rsid w:val="00D56334"/>
    <w:rsid w:val="00D604A6"/>
    <w:rsid w:val="00D613E6"/>
    <w:rsid w:val="00D61C6A"/>
    <w:rsid w:val="00D64E36"/>
    <w:rsid w:val="00D67A7B"/>
    <w:rsid w:val="00D67C04"/>
    <w:rsid w:val="00D72185"/>
    <w:rsid w:val="00D72CD6"/>
    <w:rsid w:val="00D730AC"/>
    <w:rsid w:val="00D7332E"/>
    <w:rsid w:val="00D73B4E"/>
    <w:rsid w:val="00D753D6"/>
    <w:rsid w:val="00D75C99"/>
    <w:rsid w:val="00D7686F"/>
    <w:rsid w:val="00D77BA5"/>
    <w:rsid w:val="00D80B0E"/>
    <w:rsid w:val="00D814E8"/>
    <w:rsid w:val="00D82D7B"/>
    <w:rsid w:val="00D84A26"/>
    <w:rsid w:val="00D90214"/>
    <w:rsid w:val="00D904F6"/>
    <w:rsid w:val="00D90F09"/>
    <w:rsid w:val="00D913CF"/>
    <w:rsid w:val="00D9212E"/>
    <w:rsid w:val="00D96171"/>
    <w:rsid w:val="00DA0048"/>
    <w:rsid w:val="00DA0132"/>
    <w:rsid w:val="00DA067D"/>
    <w:rsid w:val="00DA3A3F"/>
    <w:rsid w:val="00DA4118"/>
    <w:rsid w:val="00DA5BF2"/>
    <w:rsid w:val="00DA61AD"/>
    <w:rsid w:val="00DA6477"/>
    <w:rsid w:val="00DA64A9"/>
    <w:rsid w:val="00DB13EC"/>
    <w:rsid w:val="00DB18C6"/>
    <w:rsid w:val="00DB23CB"/>
    <w:rsid w:val="00DB2AC6"/>
    <w:rsid w:val="00DB312B"/>
    <w:rsid w:val="00DB375B"/>
    <w:rsid w:val="00DB4327"/>
    <w:rsid w:val="00DB4D7B"/>
    <w:rsid w:val="00DB6284"/>
    <w:rsid w:val="00DB6F95"/>
    <w:rsid w:val="00DB7574"/>
    <w:rsid w:val="00DB7641"/>
    <w:rsid w:val="00DC0800"/>
    <w:rsid w:val="00DC1628"/>
    <w:rsid w:val="00DC1ADB"/>
    <w:rsid w:val="00DC365F"/>
    <w:rsid w:val="00DC3823"/>
    <w:rsid w:val="00DC43CD"/>
    <w:rsid w:val="00DC4583"/>
    <w:rsid w:val="00DC5389"/>
    <w:rsid w:val="00DC5409"/>
    <w:rsid w:val="00DC5F90"/>
    <w:rsid w:val="00DC6F18"/>
    <w:rsid w:val="00DC74B3"/>
    <w:rsid w:val="00DD062C"/>
    <w:rsid w:val="00DD0E5E"/>
    <w:rsid w:val="00DD3548"/>
    <w:rsid w:val="00DD512A"/>
    <w:rsid w:val="00DD5AE6"/>
    <w:rsid w:val="00DD630B"/>
    <w:rsid w:val="00DD6A8D"/>
    <w:rsid w:val="00DD7BA2"/>
    <w:rsid w:val="00DD7FE6"/>
    <w:rsid w:val="00DE132B"/>
    <w:rsid w:val="00DE1399"/>
    <w:rsid w:val="00DE1E55"/>
    <w:rsid w:val="00DE34C9"/>
    <w:rsid w:val="00DE3560"/>
    <w:rsid w:val="00DE35B4"/>
    <w:rsid w:val="00DE3C76"/>
    <w:rsid w:val="00DE53A7"/>
    <w:rsid w:val="00DE5CDB"/>
    <w:rsid w:val="00DE6B1D"/>
    <w:rsid w:val="00DE7544"/>
    <w:rsid w:val="00DF1740"/>
    <w:rsid w:val="00DF290E"/>
    <w:rsid w:val="00DF3029"/>
    <w:rsid w:val="00DF40A1"/>
    <w:rsid w:val="00E00EF3"/>
    <w:rsid w:val="00E0191D"/>
    <w:rsid w:val="00E02FFD"/>
    <w:rsid w:val="00E034D1"/>
    <w:rsid w:val="00E0353F"/>
    <w:rsid w:val="00E044B3"/>
    <w:rsid w:val="00E046C8"/>
    <w:rsid w:val="00E04F2B"/>
    <w:rsid w:val="00E065BF"/>
    <w:rsid w:val="00E066B2"/>
    <w:rsid w:val="00E07A94"/>
    <w:rsid w:val="00E10581"/>
    <w:rsid w:val="00E11100"/>
    <w:rsid w:val="00E116C8"/>
    <w:rsid w:val="00E12CDD"/>
    <w:rsid w:val="00E1576A"/>
    <w:rsid w:val="00E15F68"/>
    <w:rsid w:val="00E1693B"/>
    <w:rsid w:val="00E173C6"/>
    <w:rsid w:val="00E174AB"/>
    <w:rsid w:val="00E17C90"/>
    <w:rsid w:val="00E21EB6"/>
    <w:rsid w:val="00E22AAB"/>
    <w:rsid w:val="00E238A5"/>
    <w:rsid w:val="00E24CD8"/>
    <w:rsid w:val="00E2596A"/>
    <w:rsid w:val="00E25E86"/>
    <w:rsid w:val="00E26190"/>
    <w:rsid w:val="00E26C61"/>
    <w:rsid w:val="00E3010E"/>
    <w:rsid w:val="00E30E9E"/>
    <w:rsid w:val="00E312B1"/>
    <w:rsid w:val="00E33583"/>
    <w:rsid w:val="00E33D35"/>
    <w:rsid w:val="00E34D77"/>
    <w:rsid w:val="00E35745"/>
    <w:rsid w:val="00E366A5"/>
    <w:rsid w:val="00E3773E"/>
    <w:rsid w:val="00E37A5D"/>
    <w:rsid w:val="00E40E74"/>
    <w:rsid w:val="00E41C93"/>
    <w:rsid w:val="00E42037"/>
    <w:rsid w:val="00E4274B"/>
    <w:rsid w:val="00E452AE"/>
    <w:rsid w:val="00E45D27"/>
    <w:rsid w:val="00E463AA"/>
    <w:rsid w:val="00E51D06"/>
    <w:rsid w:val="00E53A81"/>
    <w:rsid w:val="00E53ED0"/>
    <w:rsid w:val="00E54F1F"/>
    <w:rsid w:val="00E564ED"/>
    <w:rsid w:val="00E56B17"/>
    <w:rsid w:val="00E570AE"/>
    <w:rsid w:val="00E60132"/>
    <w:rsid w:val="00E60F14"/>
    <w:rsid w:val="00E61FD3"/>
    <w:rsid w:val="00E62456"/>
    <w:rsid w:val="00E62715"/>
    <w:rsid w:val="00E633C9"/>
    <w:rsid w:val="00E64A8D"/>
    <w:rsid w:val="00E659D4"/>
    <w:rsid w:val="00E65D09"/>
    <w:rsid w:val="00E66B74"/>
    <w:rsid w:val="00E66F57"/>
    <w:rsid w:val="00E70452"/>
    <w:rsid w:val="00E70826"/>
    <w:rsid w:val="00E70F42"/>
    <w:rsid w:val="00E7336A"/>
    <w:rsid w:val="00E73B06"/>
    <w:rsid w:val="00E7489C"/>
    <w:rsid w:val="00E74B96"/>
    <w:rsid w:val="00E74D0D"/>
    <w:rsid w:val="00E7548F"/>
    <w:rsid w:val="00E80FED"/>
    <w:rsid w:val="00E82AA2"/>
    <w:rsid w:val="00E83E2F"/>
    <w:rsid w:val="00E86188"/>
    <w:rsid w:val="00E877B8"/>
    <w:rsid w:val="00E87DB2"/>
    <w:rsid w:val="00E90A45"/>
    <w:rsid w:val="00E91065"/>
    <w:rsid w:val="00E91E82"/>
    <w:rsid w:val="00E93171"/>
    <w:rsid w:val="00E93500"/>
    <w:rsid w:val="00E93E1D"/>
    <w:rsid w:val="00E9416E"/>
    <w:rsid w:val="00E95941"/>
    <w:rsid w:val="00E96A98"/>
    <w:rsid w:val="00E972CE"/>
    <w:rsid w:val="00EA0810"/>
    <w:rsid w:val="00EA09A5"/>
    <w:rsid w:val="00EA0DE1"/>
    <w:rsid w:val="00EA1BA8"/>
    <w:rsid w:val="00EA1D62"/>
    <w:rsid w:val="00EA4397"/>
    <w:rsid w:val="00EA5DD8"/>
    <w:rsid w:val="00EA6DCF"/>
    <w:rsid w:val="00EA6F03"/>
    <w:rsid w:val="00EA70D9"/>
    <w:rsid w:val="00EA778D"/>
    <w:rsid w:val="00EA7D59"/>
    <w:rsid w:val="00EB132C"/>
    <w:rsid w:val="00EB26FA"/>
    <w:rsid w:val="00EB3495"/>
    <w:rsid w:val="00EB36A2"/>
    <w:rsid w:val="00EB3B06"/>
    <w:rsid w:val="00EB526E"/>
    <w:rsid w:val="00EB55D6"/>
    <w:rsid w:val="00EB6133"/>
    <w:rsid w:val="00EB719F"/>
    <w:rsid w:val="00EB7680"/>
    <w:rsid w:val="00EB7B8A"/>
    <w:rsid w:val="00EB7F09"/>
    <w:rsid w:val="00EC0983"/>
    <w:rsid w:val="00EC14D8"/>
    <w:rsid w:val="00EC1E65"/>
    <w:rsid w:val="00EC2C72"/>
    <w:rsid w:val="00EC2F7A"/>
    <w:rsid w:val="00EC405C"/>
    <w:rsid w:val="00EC40DC"/>
    <w:rsid w:val="00EC4659"/>
    <w:rsid w:val="00EC4B6F"/>
    <w:rsid w:val="00EC543F"/>
    <w:rsid w:val="00EC587E"/>
    <w:rsid w:val="00EC7F06"/>
    <w:rsid w:val="00ED0102"/>
    <w:rsid w:val="00ED076D"/>
    <w:rsid w:val="00ED1A2D"/>
    <w:rsid w:val="00ED2A1F"/>
    <w:rsid w:val="00ED5B4C"/>
    <w:rsid w:val="00ED6932"/>
    <w:rsid w:val="00ED7315"/>
    <w:rsid w:val="00ED77C9"/>
    <w:rsid w:val="00EE1C06"/>
    <w:rsid w:val="00EE56CD"/>
    <w:rsid w:val="00EE6230"/>
    <w:rsid w:val="00EE66AA"/>
    <w:rsid w:val="00EF3AA9"/>
    <w:rsid w:val="00EF3E90"/>
    <w:rsid w:val="00EF4610"/>
    <w:rsid w:val="00EF63E7"/>
    <w:rsid w:val="00EF6F3C"/>
    <w:rsid w:val="00F003F0"/>
    <w:rsid w:val="00F039FD"/>
    <w:rsid w:val="00F049A8"/>
    <w:rsid w:val="00F04E9C"/>
    <w:rsid w:val="00F04F95"/>
    <w:rsid w:val="00F063CD"/>
    <w:rsid w:val="00F0728E"/>
    <w:rsid w:val="00F0759A"/>
    <w:rsid w:val="00F108A7"/>
    <w:rsid w:val="00F133B6"/>
    <w:rsid w:val="00F14B0F"/>
    <w:rsid w:val="00F166EE"/>
    <w:rsid w:val="00F169E7"/>
    <w:rsid w:val="00F16DEF"/>
    <w:rsid w:val="00F17D72"/>
    <w:rsid w:val="00F203CF"/>
    <w:rsid w:val="00F2161D"/>
    <w:rsid w:val="00F221EC"/>
    <w:rsid w:val="00F25805"/>
    <w:rsid w:val="00F259E4"/>
    <w:rsid w:val="00F26E6D"/>
    <w:rsid w:val="00F30510"/>
    <w:rsid w:val="00F314DB"/>
    <w:rsid w:val="00F32502"/>
    <w:rsid w:val="00F32B2F"/>
    <w:rsid w:val="00F33C5E"/>
    <w:rsid w:val="00F34B64"/>
    <w:rsid w:val="00F35E2F"/>
    <w:rsid w:val="00F36DFC"/>
    <w:rsid w:val="00F36FAD"/>
    <w:rsid w:val="00F40CE0"/>
    <w:rsid w:val="00F41F00"/>
    <w:rsid w:val="00F42742"/>
    <w:rsid w:val="00F43739"/>
    <w:rsid w:val="00F43AA5"/>
    <w:rsid w:val="00F440AB"/>
    <w:rsid w:val="00F4705B"/>
    <w:rsid w:val="00F47578"/>
    <w:rsid w:val="00F476EE"/>
    <w:rsid w:val="00F5004A"/>
    <w:rsid w:val="00F51E43"/>
    <w:rsid w:val="00F52ECB"/>
    <w:rsid w:val="00F530F3"/>
    <w:rsid w:val="00F53823"/>
    <w:rsid w:val="00F5419A"/>
    <w:rsid w:val="00F55477"/>
    <w:rsid w:val="00F55D20"/>
    <w:rsid w:val="00F55E62"/>
    <w:rsid w:val="00F579BD"/>
    <w:rsid w:val="00F57A19"/>
    <w:rsid w:val="00F57ADF"/>
    <w:rsid w:val="00F612BD"/>
    <w:rsid w:val="00F61449"/>
    <w:rsid w:val="00F61A0C"/>
    <w:rsid w:val="00F62983"/>
    <w:rsid w:val="00F62F88"/>
    <w:rsid w:val="00F637D2"/>
    <w:rsid w:val="00F65F02"/>
    <w:rsid w:val="00F66006"/>
    <w:rsid w:val="00F67835"/>
    <w:rsid w:val="00F67971"/>
    <w:rsid w:val="00F717B6"/>
    <w:rsid w:val="00F7395E"/>
    <w:rsid w:val="00F73CC0"/>
    <w:rsid w:val="00F74778"/>
    <w:rsid w:val="00F7627C"/>
    <w:rsid w:val="00F81E89"/>
    <w:rsid w:val="00F82BDA"/>
    <w:rsid w:val="00F82EF8"/>
    <w:rsid w:val="00F847B6"/>
    <w:rsid w:val="00F84A9F"/>
    <w:rsid w:val="00F856CE"/>
    <w:rsid w:val="00F867E9"/>
    <w:rsid w:val="00F86A17"/>
    <w:rsid w:val="00F86CF7"/>
    <w:rsid w:val="00F87D0E"/>
    <w:rsid w:val="00F90411"/>
    <w:rsid w:val="00F909F0"/>
    <w:rsid w:val="00F91200"/>
    <w:rsid w:val="00F94B18"/>
    <w:rsid w:val="00F95125"/>
    <w:rsid w:val="00F95D8F"/>
    <w:rsid w:val="00F96E3F"/>
    <w:rsid w:val="00FA05DA"/>
    <w:rsid w:val="00FA12F0"/>
    <w:rsid w:val="00FA2893"/>
    <w:rsid w:val="00FA2E6F"/>
    <w:rsid w:val="00FA54CA"/>
    <w:rsid w:val="00FA5E18"/>
    <w:rsid w:val="00FA6B6D"/>
    <w:rsid w:val="00FB1531"/>
    <w:rsid w:val="00FB173D"/>
    <w:rsid w:val="00FB1AF7"/>
    <w:rsid w:val="00FB20C0"/>
    <w:rsid w:val="00FB286C"/>
    <w:rsid w:val="00FB3586"/>
    <w:rsid w:val="00FB3980"/>
    <w:rsid w:val="00FB4EEF"/>
    <w:rsid w:val="00FB5F2E"/>
    <w:rsid w:val="00FB6E4A"/>
    <w:rsid w:val="00FB70DA"/>
    <w:rsid w:val="00FC14DD"/>
    <w:rsid w:val="00FC15AC"/>
    <w:rsid w:val="00FC5257"/>
    <w:rsid w:val="00FC52C2"/>
    <w:rsid w:val="00FC58CC"/>
    <w:rsid w:val="00FC629C"/>
    <w:rsid w:val="00FC66A8"/>
    <w:rsid w:val="00FC66AE"/>
    <w:rsid w:val="00FC674A"/>
    <w:rsid w:val="00FC723A"/>
    <w:rsid w:val="00FD0E4E"/>
    <w:rsid w:val="00FD2754"/>
    <w:rsid w:val="00FD4212"/>
    <w:rsid w:val="00FD5167"/>
    <w:rsid w:val="00FD7B6C"/>
    <w:rsid w:val="00FE0F4E"/>
    <w:rsid w:val="00FE1281"/>
    <w:rsid w:val="00FE2DC0"/>
    <w:rsid w:val="00FE490E"/>
    <w:rsid w:val="00FE56C5"/>
    <w:rsid w:val="00FE5D7D"/>
    <w:rsid w:val="00FE5FF7"/>
    <w:rsid w:val="00FE6B2C"/>
    <w:rsid w:val="00FF1656"/>
    <w:rsid w:val="00FF55D5"/>
    <w:rsid w:val="00FF57FD"/>
    <w:rsid w:val="00FF6763"/>
    <w:rsid w:val="00FF6BF6"/>
    <w:rsid w:val="00FF722F"/>
    <w:rsid w:val="00FF7689"/>
    <w:rsid w:val="00FF797E"/>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C1ADB"/>
    <w:pPr>
      <w:spacing w:after="0"/>
    </w:pPr>
    <w:rPr>
      <w:color w:val="auto"/>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widowControl/>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343C6"/>
    <w:pPr>
      <w:tabs>
        <w:tab w:val="center" w:pos="4513"/>
        <w:tab w:val="right" w:pos="9026"/>
      </w:tabs>
      <w:spacing w:line="240" w:lineRule="auto"/>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spacing w:line="240" w:lineRule="auto"/>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pPr>
      <w:spacing w:line="240" w:lineRule="auto"/>
    </w:pPr>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pPr>
      <w:spacing w:line="240" w:lineRule="auto"/>
    </w:pPr>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 w:type="paragraph" w:styleId="Bibliography">
    <w:name w:val="Bibliography"/>
    <w:basedOn w:val="Normal"/>
    <w:next w:val="Normal"/>
    <w:uiPriority w:val="37"/>
    <w:unhideWhenUsed/>
    <w:rsid w:val="0072107C"/>
    <w:pPr>
      <w:tabs>
        <w:tab w:val="left" w:pos="140"/>
      </w:tabs>
      <w:spacing w:after="240" w:line="240" w:lineRule="auto"/>
      <w:ind w:left="144" w:hanging="144"/>
    </w:pPr>
  </w:style>
  <w:style w:type="character" w:customStyle="1" w:styleId="Heading2Char">
    <w:name w:val="Heading 2 Char"/>
    <w:basedOn w:val="DefaultParagraphFont"/>
    <w:link w:val="Heading2"/>
    <w:rsid w:val="00F95D8F"/>
    <w:rPr>
      <w:b/>
      <w:color w:val="auto"/>
      <w:sz w:val="36"/>
      <w:szCs w:val="36"/>
    </w:rPr>
  </w:style>
  <w:style w:type="character" w:customStyle="1" w:styleId="Heading3Char">
    <w:name w:val="Heading 3 Char"/>
    <w:basedOn w:val="DefaultParagraphFont"/>
    <w:link w:val="Heading3"/>
    <w:rsid w:val="002C292F"/>
    <w:rPr>
      <w:b/>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378823748">
      <w:bodyDiv w:val="1"/>
      <w:marLeft w:val="0"/>
      <w:marRight w:val="0"/>
      <w:marTop w:val="0"/>
      <w:marBottom w:val="0"/>
      <w:divBdr>
        <w:top w:val="none" w:sz="0" w:space="0" w:color="auto"/>
        <w:left w:val="none" w:sz="0" w:space="0" w:color="auto"/>
        <w:bottom w:val="none" w:sz="0" w:space="0" w:color="auto"/>
        <w:right w:val="none" w:sz="0" w:space="0" w:color="auto"/>
      </w:divBdr>
    </w:div>
    <w:div w:id="451441722">
      <w:bodyDiv w:val="1"/>
      <w:marLeft w:val="0"/>
      <w:marRight w:val="0"/>
      <w:marTop w:val="0"/>
      <w:marBottom w:val="0"/>
      <w:divBdr>
        <w:top w:val="none" w:sz="0" w:space="0" w:color="auto"/>
        <w:left w:val="none" w:sz="0" w:space="0" w:color="auto"/>
        <w:bottom w:val="none" w:sz="0" w:space="0" w:color="auto"/>
        <w:right w:val="none" w:sz="0" w:space="0" w:color="auto"/>
      </w:divBdr>
    </w:div>
    <w:div w:id="646469832">
      <w:bodyDiv w:val="1"/>
      <w:marLeft w:val="0"/>
      <w:marRight w:val="0"/>
      <w:marTop w:val="0"/>
      <w:marBottom w:val="0"/>
      <w:divBdr>
        <w:top w:val="none" w:sz="0" w:space="0" w:color="auto"/>
        <w:left w:val="none" w:sz="0" w:space="0" w:color="auto"/>
        <w:bottom w:val="none" w:sz="0" w:space="0" w:color="auto"/>
        <w:right w:val="none" w:sz="0" w:space="0" w:color="auto"/>
      </w:divBdr>
    </w:div>
    <w:div w:id="717438832">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390885908">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 w:id="1843620546">
      <w:bodyDiv w:val="1"/>
      <w:marLeft w:val="0"/>
      <w:marRight w:val="0"/>
      <w:marTop w:val="0"/>
      <w:marBottom w:val="0"/>
      <w:divBdr>
        <w:top w:val="none" w:sz="0" w:space="0" w:color="auto"/>
        <w:left w:val="none" w:sz="0" w:space="0" w:color="auto"/>
        <w:bottom w:val="none" w:sz="0" w:space="0" w:color="auto"/>
        <w:right w:val="none" w:sz="0" w:space="0" w:color="auto"/>
      </w:divBdr>
    </w:div>
    <w:div w:id="212148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shua.longbottom@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8962</Words>
  <Characters>51087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59930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35</cp:revision>
  <cp:lastPrinted>2018-05-17T18:06:00Z</cp:lastPrinted>
  <dcterms:created xsi:type="dcterms:W3CDTF">2021-02-04T09:41:00Z</dcterms:created>
  <dcterms:modified xsi:type="dcterms:W3CDTF">2021-02-05T19:13:00Z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id="2E85Hv0L"/&gt;&lt;style id="http://www.zotero.org/styles/the-lancet"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value="true"/&gt;&lt;/prefs&gt;&lt;/data&gt;</vt:lpwstr>
  </property>
</Properties>
</file>