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df" ContentType="application/pdf"/>
  <Override PartName="/word/media/rId39.pdf" ContentType="application/pdf"/>
  <Override PartName="/word/media/rId42.pdf" ContentType="application/pdf"/>
  <Override PartName="/word/media/rId44.pdf" ContentType="application/pdf"/>
  <Override PartName="/word/media/rId46.pdf" ContentType="application/pdf"/>
  <Override PartName="/word/media/rId48.pdf" ContentType="application/pdf"/>
  <Override PartName="/word/media/rId50.pdf" ContentType="application/pdf"/>
  <Override PartName="/word/media/rId53.pdf" ContentType="application/pdf"/>
  <Override PartName="/word/media/rId55.pdf" ContentType="application/pdf"/>
  <Override PartName="/word/media/rId58.pdf" ContentType="application/pdf"/>
  <Override PartName="/word/media/rId60.pdf" ContentType="application/pdf"/>
  <Override PartName="/word/media/rId62.pdf" ContentType="application/pdf"/>
  <Override PartName="/word/media/rId64.pdf" ContentType="application/pdf"/>
  <Override PartName="/word/media/rId23.pdf" ContentType="application/pdf"/>
  <Override PartName="/word/media/rId25.pdf" ContentType="application/pdf"/>
  <Override PartName="/word/media/rId28.pdf" ContentType="application/pdf"/>
  <Override PartName="/word/media/rId30.pdf" ContentType="application/pdf"/>
  <Override PartName="/word/media/rId33.pdf" ContentType="application/pdf"/>
  <Override PartName="/word/media/rId35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Numbers</w:t>
      </w:r>
      <w:r>
        <w:t xml:space="preserve"> </w:t>
      </w:r>
      <w:r>
        <w:t xml:space="preserve">and</w:t>
      </w:r>
      <w:r>
        <w:t xml:space="preserve"> </w:t>
      </w:r>
      <w:r>
        <w:t xml:space="preserve">figures</w:t>
      </w:r>
      <w:r>
        <w:t xml:space="preserve"> </w:t>
      </w:r>
      <w:r>
        <w:t xml:space="preserve">requested</w:t>
      </w:r>
      <w:r>
        <w:t xml:space="preserve"> </w:t>
      </w:r>
      <w:r>
        <w:t xml:space="preserve">for</w:t>
      </w:r>
      <w:r>
        <w:t xml:space="preserve"> </w:t>
      </w:r>
      <w:r>
        <w:t xml:space="preserve">Prelim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2021-01-12</w:t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These are designed for R-Studio</w:t>
      </w:r>
    </w:p>
    <w:bookmarkStart w:id="20" w:name="specific-numbers-requested"/>
    <w:p>
      <w:pPr>
        <w:pStyle w:val="Heading1"/>
      </w:pPr>
      <w:r>
        <w:t xml:space="preserve">Specific numbers requested</w:t>
      </w:r>
    </w:p>
    <w:p>
      <w:pPr>
        <w:numPr>
          <w:ilvl w:val="0"/>
          <w:numId w:val="1001"/>
        </w:numPr>
      </w:pPr>
      <w:r>
        <w:t xml:space="preserve">Date of first survey: 14 October</w:t>
      </w:r>
    </w:p>
    <w:p>
      <w:pPr>
        <w:numPr>
          <w:ilvl w:val="0"/>
          <w:numId w:val="1001"/>
        </w:numPr>
      </w:pPr>
      <w:r>
        <w:t xml:space="preserve">Date of last survey: 26 November, 2020</w:t>
      </w:r>
    </w:p>
    <w:p>
      <w:pPr>
        <w:numPr>
          <w:ilvl w:val="0"/>
          <w:numId w:val="1001"/>
        </w:numPr>
      </w:pPr>
      <w:r>
        <w:t xml:space="preserve">Number of households surveyed: 192</w:t>
      </w:r>
    </w:p>
    <w:p>
      <w:pPr>
        <w:numPr>
          <w:ilvl w:val="0"/>
          <w:numId w:val="1001"/>
        </w:numPr>
      </w:pPr>
      <w:r>
        <w:t xml:space="preserve">Number of individuals surveyed: 1007</w:t>
      </w:r>
    </w:p>
    <w:p>
      <w:pPr>
        <w:numPr>
          <w:ilvl w:val="0"/>
          <w:numId w:val="1001"/>
        </w:numPr>
      </w:pPr>
      <w:r>
        <w:t xml:space="preserve">Mean number of adults per household: 4.6</w:t>
      </w:r>
    </w:p>
    <w:p>
      <w:pPr>
        <w:numPr>
          <w:ilvl w:val="0"/>
          <w:numId w:val="1001"/>
        </w:numPr>
      </w:pPr>
      <w:r>
        <w:t xml:space="preserve">Mean number of children per household: 1.8</w:t>
      </w:r>
    </w:p>
    <w:p>
      <w:pPr>
        <w:numPr>
          <w:ilvl w:val="0"/>
          <w:numId w:val="1001"/>
        </w:numPr>
      </w:pPr>
      <w:r>
        <w:t xml:space="preserve">Number of household where the head was not interviewed: 15</w:t>
      </w:r>
    </w:p>
    <w:p>
      <w:pPr>
        <w:numPr>
          <w:ilvl w:val="0"/>
          <w:numId w:val="1001"/>
        </w:numPr>
      </w:pPr>
      <w:r>
        <w:t xml:space="preserve">Percentage of household where the head was not interviewed: 7.8%</w:t>
      </w:r>
    </w:p>
    <w:p>
      <w:pPr>
        <w:numPr>
          <w:ilvl w:val="0"/>
          <w:numId w:val="1001"/>
        </w:numPr>
      </w:pPr>
      <w:r>
        <w:t xml:space="preserve">Number of households where the breadwinner was interviewed: 0</w:t>
      </w:r>
    </w:p>
    <w:p>
      <w:pPr>
        <w:numPr>
          <w:ilvl w:val="0"/>
          <w:numId w:val="1001"/>
        </w:numPr>
      </w:pPr>
      <w:r>
        <w:t xml:space="preserve">Percentage of households where the breadwinner was interviewed: 0%</w:t>
      </w:r>
    </w:p>
    <w:p>
      <w:pPr>
        <w:numPr>
          <w:ilvl w:val="0"/>
          <w:numId w:val="1001"/>
        </w:numPr>
      </w:pPr>
      <w:r>
        <w:t xml:space="preserve">Percentage of households in which the father is the breadwinner: 55.7%</w:t>
      </w:r>
    </w:p>
    <w:p>
      <w:pPr>
        <w:numPr>
          <w:ilvl w:val="0"/>
          <w:numId w:val="1001"/>
        </w:numPr>
      </w:pPr>
      <w:r>
        <w:t xml:space="preserve">Percentage of households in which the mother is the breadwinner: 36.5%</w:t>
      </w:r>
    </w:p>
    <w:p>
      <w:pPr>
        <w:numPr>
          <w:ilvl w:val="0"/>
          <w:numId w:val="1001"/>
        </w:numPr>
      </w:pPr>
      <w:r>
        <w:t xml:space="preserve">Top four occupations: Student, Small trader, Businessperson, Unemployed</w:t>
      </w:r>
    </w:p>
    <w:p>
      <w:pPr>
        <w:numPr>
          <w:ilvl w:val="0"/>
          <w:numId w:val="1001"/>
        </w:numPr>
      </w:pPr>
      <w:r>
        <w:t xml:space="preserve">Percentage of households where there has been a death since March 1st: 5.7</w:t>
      </w:r>
    </w:p>
    <w:p>
      <w:pPr>
        <w:numPr>
          <w:ilvl w:val="0"/>
          <w:numId w:val="1001"/>
        </w:numPr>
      </w:pPr>
      <w:r>
        <w:t xml:space="preserve">Mean age of those who diead since March 1st: 69.5454545</w:t>
      </w:r>
    </w:p>
    <w:p>
      <w:pPr>
        <w:numPr>
          <w:ilvl w:val="0"/>
          <w:numId w:val="1001"/>
        </w:numPr>
      </w:pPr>
      <w:r>
        <w:t xml:space="preserve">Number of households where a prior positive test was reported: 6</w:t>
      </w:r>
    </w:p>
    <w:p>
      <w:pPr>
        <w:numPr>
          <w:ilvl w:val="0"/>
          <w:numId w:val="1001"/>
        </w:numPr>
      </w:pPr>
      <w:r>
        <w:t xml:space="preserve">Number of individuals who have reported any COVID-like symptoms: 302</w:t>
      </w:r>
    </w:p>
    <w:p>
      <w:pPr>
        <w:numPr>
          <w:ilvl w:val="0"/>
          <w:numId w:val="1001"/>
        </w:numPr>
      </w:pPr>
      <w:r>
        <w:t xml:space="preserve">Percentage of individuals who have reported any COVID-like symptoms: 30</w:t>
      </w:r>
    </w:p>
    <w:p>
      <w:pPr>
        <w:numPr>
          <w:ilvl w:val="0"/>
          <w:numId w:val="1001"/>
        </w:numPr>
      </w:pPr>
      <w:r>
        <w:t xml:space="preserve">Percentage of individuals who are completely or partially complying with social distancing: 57.8%</w:t>
      </w:r>
    </w:p>
    <w:p>
      <w:pPr>
        <w:numPr>
          <w:ilvl w:val="0"/>
          <w:numId w:val="1001"/>
        </w:numPr>
      </w:pPr>
      <w:r>
        <w:t xml:space="preserve">Number seropositive (either IgG or IgM): 328</w:t>
      </w:r>
    </w:p>
    <w:p>
      <w:pPr>
        <w:numPr>
          <w:ilvl w:val="0"/>
          <w:numId w:val="1001"/>
        </w:numPr>
      </w:pPr>
      <w:r>
        <w:t xml:space="preserve">Number seronegative (both IgG and IgM): 642</w:t>
      </w:r>
    </w:p>
    <w:p>
      <w:r>
        <w:br w:type="page"/>
      </w:r>
    </w:p>
    <w:bookmarkEnd w:id="20"/>
    <w:bookmarkStart w:id="22" w:name="respondent-characteristics"/>
    <w:p>
      <w:pPr>
        <w:pStyle w:val="Heading1"/>
      </w:pPr>
      <w:r>
        <w:t xml:space="preserve">Respondent characteristics</w:t>
      </w:r>
    </w:p>
    <w:bookmarkStart w:id="21" w:name="Xa0a3cc41c91e69fdec39ce558b9b31f012e8890"/>
    <w:p>
      <w:pPr>
        <w:pStyle w:val="Heading2"/>
      </w:pPr>
      <w:r>
        <w:t xml:space="preserve">Sociodemographic characteristics of the final sample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031"/>
        <w:tblLook w:firstRow="1" w:lastRow="0" w:firstColumn="0" w:lastColumn="0" w:noHBand="0" w:noVBand="1"/>
      </w:tblPr>
      <w:tblGrid>
        <w:gridCol w:w="5019"/>
        <w:gridCol w:w="1337"/>
        <w:gridCol w:w="1337"/>
        <w:gridCol w:w="1337"/>
      </w:tblGrid>
      <w:tr>
        <w:trPr>
          <w:cantSplit/>
          <w:trHeight w:val="338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Total</w:t>
            </w:r>
          </w:p>
        </w:tc>
      </w:tr>
      <w:tr>
        <w:trPr>
          <w:cantSplit/>
          <w:trHeight w:val="331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570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437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1007</w:t>
            </w:r>
          </w:p>
        </w:tc>
      </w:tr>
      <w:tr>
        <w:trPr>
          <w:cantSplit/>
          <w:trHeight w:val="3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Num. household heads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Mean Age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29.6 (17.4)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28.5 (17.6)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29.1 (17.5)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Mean BMI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27.3 (26.7)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23.2 (6.26)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25.5 (20.6)</w:t>
            </w:r>
          </w:p>
        </w:tc>
      </w:tr>
      <w:tr>
        <w:trPr>
          <w:cantSplit/>
          <w:trHeight w:val="398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Age groups, n (% of sex in each group)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30 - 44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135 (23.7%)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83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218 (21.6%)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5 - 14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128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120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248 (24.6%)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15 - 29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195 (34.2%)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144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339 (33.7%)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45 - 64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84 (14.7%)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72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156 (15.5%)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65 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28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18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46 (4.6%)</w:t>
            </w:r>
          </w:p>
        </w:tc>
      </w:tr>
      <w:tr>
        <w:trPr>
          <w:cantSplit/>
          <w:trHeight w:val="398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Education Level, n (% of sex in each group)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Secondary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258 (45.3%)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184 (42.1%)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442 (43.9%)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Primary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191 (33.5%)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137 (31.4%)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328 (32.6%)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University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76 (13.3%)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81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157 (15.6%)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 formal instruction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35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18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53 (5.3%)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Doctorate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7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20 (2%)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3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4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7 (0.7%)</w:t>
            </w:r>
          </w:p>
        </w:tc>
      </w:tr>
      <w:tr>
        <w:trPr>
          <w:cantSplit/>
          <w:trHeight w:val="398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Profession, n (% of sex in each group)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Student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216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 (43.3%)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418 (39.5%)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Small trader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86 (14.5%)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136 (29.1%)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222 (21%)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Businessperson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81 (13.7%)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50 (10.7%)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131 (12.4%)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Home-maker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74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74 (7%)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Unemployed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52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21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73 (6.9%)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Salaried worker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38 (6.4%)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22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60 (5.7%)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Retired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18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17 (3.6%)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35 (3.3%)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17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15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32 (3%)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Farmer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10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4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14 (1.3%)</w:t>
            </w:r>
          </w:p>
        </w:tc>
      </w:tr>
      <w:tr>
        <w:trPr>
          <w:cantSplit/>
          <w:trHeight w:val="398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i/>
                <w:sz w:val="22"/>
                <w:szCs w:val="22"/>
                <w:color w:val="111111"/>
              </w:rPr>
              <w:t xml:space="preserve">Chronic conditions, n (% of sex with that condition)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Hypertension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37 (3.6%)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Respiratory 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9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8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 (1.7%)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Diabetes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7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4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 (1.1%)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Cardiovascular 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3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3 (0.3%)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Chronic neurologic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3 (0.3%)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2 (0.2%)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 (0.1%)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 response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 (0.1%)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 (0.1%)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41 (4%)</w:t>
            </w:r>
          </w:p>
        </w:tc>
      </w:tr>
    </w:tbl>
    <w:p>
      <w:r>
        <w:br w:type="page"/>
      </w:r>
    </w:p>
    <w:bookmarkEnd w:id="21"/>
    <w:bookmarkEnd w:id="22"/>
    <w:bookmarkStart w:id="32" w:name="seroprevalence-estimates"/>
    <w:p>
      <w:pPr>
        <w:pStyle w:val="Heading1"/>
      </w:pPr>
      <w:r>
        <w:t xml:space="preserve">Seroprevalence estimates</w:t>
      </w:r>
    </w:p>
    <w:bookmarkStart w:id="24" w:name="Xf74bde2dc9178a12d14ad20e0a2b06574c07a4e"/>
    <w:p>
      <w:pPr>
        <w:pStyle w:val="Heading2"/>
      </w:pPr>
      <w:r>
        <w:t xml:space="preserve">Seropositivity of respondents by test type (Euler diagram)</w:t>
      </w:r>
    </w:p>
    <w:p>
      <w:pPr>
        <w:pStyle w:val="FirstParagraph"/>
      </w:pPr>
      <w:r>
        <w:drawing>
          <wp:inline>
            <wp:extent cx="3657600" cy="2743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3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seropositivity-in-each-age-sex-stratum."/>
    <w:p>
      <w:pPr>
        <w:pStyle w:val="Heading2"/>
      </w:pPr>
      <w:r>
        <w:t xml:space="preserve">Seropositivity in each age-sex stratum.</w:t>
      </w:r>
    </w:p>
    <w:p>
      <w:pPr>
        <w:pStyle w:val="FirstParagraph"/>
      </w:pPr>
      <w:r>
        <w:t xml:space="preserve">Positive cases include only individuals positive for IgG antibodies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4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X45e17c3c3a9251932c9260b0185b60ce90decb7"/>
    <w:p>
      <w:pPr>
        <w:pStyle w:val="Heading2"/>
      </w:pPr>
      <w:r>
        <w:t xml:space="preserve">Population-weighted and test-adjusted seroprevalence estimates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348"/>
        <w:tblLook w:firstRow="1" w:lastRow="0" w:firstColumn="0" w:lastColumn="0" w:noHBand="0" w:noVBand="1"/>
      </w:tblPr>
      <w:tblGrid>
        <w:gridCol w:w="891"/>
        <w:gridCol w:w="541"/>
        <w:gridCol w:w="1055"/>
        <w:gridCol w:w="4291"/>
        <w:gridCol w:w="1993"/>
        <w:gridCol w:w="2576"/>
      </w:tblGrid>
      <w:tr>
        <w:trPr>
          <w:cantSplit/>
          <w:trHeight w:val="3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Seropos.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Seroprevalence (95% confidence interval)</w:t>
            </w:r>
          </w:p>
        </w:tc>
      </w:tr>
      <w:tr>
        <w:trPr>
          <w:cantSplit/>
          <w:trHeight w:val="383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Crude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Weighted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Weighted,</w:t>
              <w:br/>
              <w:t xml:space="preserve">test-adjusted</w:t>
            </w:r>
          </w:p>
        </w:tc>
      </w:tr>
      <w:tr>
        <w:trPr>
          <w:cantSplit/>
          <w:trHeight w:val="398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971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302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31.1% (28.3 - 34.1)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31.3% (28.4 - 34.3)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29.2% (24.3 - 34.1)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28.1% (24.5 - 32.0)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28.0% (24.4 - 31.9)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25.3% (20.0 - 31.2)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35.1% (30.7 - 39.7)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34.6% (30.2 - 39.3)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33.1% (27.6 - 40.5)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30 - 44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32.5% (26.6 - 39.1)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32.7% (26.7 - 39.3)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30.8% (22.9 - 39.5)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5 - 14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28.6% (23.3 - 34.6)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28.7% (23.3 - 34.7)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26.1% (18.9 - 34.1)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15 - 29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30.2% (25.4 - 35.4)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30.7% (25.9 - 35.9)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28.5% (21.4 - 35.1)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45 - 64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33.3% (26.4 - 41.1)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34.1% (27.0 - 41.9)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32.5% (22.8 - 41.8)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65 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37.5% (24.2 - 53.0)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39.4% (25.8 - 54.8)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38.7% (20.5 - 55.8)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595"/>
        <w:tblLook w:firstRow="1" w:lastRow="0" w:firstColumn="0" w:lastColumn="0" w:noHBand="0" w:noVBand="1"/>
      </w:tblPr>
      <w:tblGrid>
        <w:gridCol w:w="891"/>
        <w:gridCol w:w="541"/>
        <w:gridCol w:w="1055"/>
        <w:gridCol w:w="4291"/>
        <w:gridCol w:w="2240"/>
        <w:gridCol w:w="2576"/>
      </w:tblGrid>
      <w:tr>
        <w:trPr>
          <w:cantSplit/>
          <w:trHeight w:val="3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Seropos.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Seroprevalence (95% confidence interval)</w:t>
            </w:r>
          </w:p>
        </w:tc>
      </w:tr>
      <w:tr>
        <w:trPr>
          <w:cantSplit/>
          <w:trHeight w:val="383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Crude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Weighted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Weighted,</w:t>
              <w:br/>
              <w:t xml:space="preserve">test-adjusted</w:t>
            </w:r>
          </w:p>
        </w:tc>
      </w:tr>
      <w:tr>
        <w:trPr>
          <w:cantSplit/>
          <w:trHeight w:val="398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953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3.36% (2.388 -  4.70)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3.41% (2.430 -  4.76)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0.0% (0 -  0.000)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3.10% (1.942 -  4.90)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3.05% (1.904 -  4.84)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0.0% (0 -  0.000)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3.71% (2.263 -  6.03)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3.79% (2.320 -  6.13)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0.0% (0 -  0.633)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30 - 44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3.32% (1.616 -  6.69)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3.92% (2.022 -  7.47)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0.0% (0 -  1.108)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5 - 14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2.07% (0.889 -  4.76)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2.07% (0.886 -  4.76)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0.0% (0 -  0.000)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15 - 29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3.69% (2.125 -  6.34)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3.61% (2.067 -  6.24)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0.0% (0 -  0.870)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45 - 64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3.95% (1.821 -  8.34)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4.13% (1.937 -  8.58)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0.0% (0 -  2.743)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65 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8.33% (2.316 - 25.85)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8.33% (2.316 - 25.85)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1.6% (0 - 22.703)</w:t>
            </w:r>
          </w:p>
        </w:tc>
      </w:tr>
    </w:tbl>
    <w:bookmarkEnd w:id="27"/>
    <w:bookmarkStart w:id="29" w:name="seropositivity-map"/>
    <w:p>
      <w:pPr>
        <w:pStyle w:val="Heading2"/>
      </w:pPr>
      <w:r>
        <w:t xml:space="preserve">Seropositivity map</w:t>
      </w:r>
    </w:p>
    <w:p>
      <w:pPr>
        <w:pStyle w:val="FirstParagraph"/>
      </w:pPr>
      <w:r>
        <w:t xml:space="preserve">Geographic variation in seroprevalence levels.</w:t>
      </w:r>
    </w:p>
    <w:p>
      <w:pPr>
        <w:pStyle w:val="BodyText"/>
      </w:pPr>
      <w:r>
        <w:t xml:space="preserve">Fill color indicates overall prevalence (IgG or IgM) in each region.</w:t>
      </w:r>
      <w:r>
        <w:t xml:space="preserve"> </w:t>
      </w:r>
      <w:r>
        <w:t xml:space="preserve">Pie charts indicate household size, household location and proportion of the household that is seropositive (either IgG or IgM).</w:t>
      </w:r>
      <w:r>
        <w:t xml:space="preserve"> </w:t>
      </w:r>
      <w:r>
        <w:t xml:space="preserve">Pie charts are dodged in extra-dense regions to avoid overlap.</w:t>
      </w:r>
    </w:p>
    <w:p>
      <w:pPr>
        <w:pStyle w:val="BodyText"/>
      </w:pPr>
      <w:r>
        <w:t xml:space="preserve">We can see that the region with the smallest households, Cité Verte, also had the lowest overall prevalence.</w:t>
      </w:r>
    </w:p>
    <w:p>
      <w:pPr>
        <w:pStyle w:val="BodyText"/>
      </w:pPr>
      <w:r>
        <w:drawing>
          <wp:inline>
            <wp:extent cx="5334000" cy="56247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6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 5 households had either missing or improperly coded coordinates and are not shown on the map.</w:t>
      </w:r>
    </w:p>
    <w:bookmarkEnd w:id="29"/>
    <w:bookmarkStart w:id="31" w:name="risk-factors-for-seropositivity"/>
    <w:p>
      <w:pPr>
        <w:pStyle w:val="Heading2"/>
      </w:pPr>
      <w:r>
        <w:t xml:space="preserve">Risk factors for seropositivity</w:t>
      </w:r>
    </w:p>
    <w:p>
      <w:pPr>
        <w:pStyle w:val="FirstParagraph"/>
      </w:pPr>
      <w:r>
        <w:t xml:space="preserve">(Only regressors where the p-value for at least one factor level was below 0.1 are shown.)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7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966 individuals. 41 were dropped due to variable missingness.</w:t>
      </w:r>
    </w:p>
    <w:bookmarkEnd w:id="31"/>
    <w:bookmarkEnd w:id="32"/>
    <w:bookmarkStart w:id="41" w:name="covid-19-related-symptoms"/>
    <w:p>
      <w:pPr>
        <w:pStyle w:val="Heading1"/>
      </w:pPr>
      <w:r>
        <w:t xml:space="preserve">COVID-19 related Symptoms</w:t>
      </w:r>
    </w:p>
    <w:bookmarkStart w:id="34" w:name="symptoms-among-study-population"/>
    <w:p>
      <w:pPr>
        <w:pStyle w:val="Heading2"/>
      </w:pPr>
      <w:r>
        <w:t xml:space="preserve">Symptoms among study population</w:t>
      </w:r>
    </w:p>
    <w:p>
      <w:pPr>
        <w:pStyle w:val="FirstParagraph"/>
      </w:pPr>
      <w:r>
        <w:t xml:space="preserve">Denominator is all respondents</w:t>
      </w:r>
      <w:r>
        <w:t xml:space="preserve"> </w:t>
      </w:r>
      <w:r>
        <w:drawing>
          <wp:inline>
            <wp:extent cx="5334000" cy="27410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8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1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X3fbff0103f04fd2a81000efbbb95737ae29d848"/>
    <w:p>
      <w:pPr>
        <w:pStyle w:val="Heading2"/>
      </w:pPr>
      <w:r>
        <w:t xml:space="preserve">Common symptoms in seropositive and seronegative individuals</w:t>
      </w:r>
    </w:p>
    <w:p>
      <w:pPr>
        <w:pStyle w:val="FirstParagraph"/>
      </w:pPr>
      <w:r>
        <w:drawing>
          <wp:inline>
            <wp:extent cx="32004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9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8" w:name="Xce03a83df2faee802e2d28d7f39da3564efb237"/>
    <w:p>
      <w:pPr>
        <w:pStyle w:val="Heading2"/>
      </w:pPr>
      <w:r>
        <w:t xml:space="preserve">Have you taken one or several medications for symptoms characteristic of COVID-19?</w:t>
      </w:r>
    </w:p>
    <w:p>
      <w:pPr>
        <w:pStyle w:val="FirstParagraph"/>
      </w:pPr>
      <w:r>
        <w:t xml:space="preserve">(Denominator of percentages is those who reported any acute symptom compatible with COVID-19)</w:t>
      </w:r>
    </w:p>
    <w:p>
      <w:pPr>
        <w:pStyle w:val="BodyText"/>
      </w:pPr>
      <w:r>
        <w:drawing>
          <wp:inline>
            <wp:extent cx="5334000" cy="27410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10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1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0" w:name="risk-factors-for-symptomatic-covid-19"/>
    <w:p>
      <w:pPr>
        <w:pStyle w:val="Heading2"/>
      </w:pPr>
      <w:r>
        <w:t xml:space="preserve">Risk factors for symptomatic COVID-19</w:t>
      </w:r>
    </w:p>
    <w:p>
      <w:pPr>
        <w:pStyle w:val="FirstParagraph"/>
      </w:pPr>
      <w:r>
        <w:t xml:space="preserve">COVID-19 symptoms are defined as:</w:t>
      </w:r>
    </w:p>
    <w:p>
      <w:pPr>
        <w:pStyle w:val="BodyText"/>
      </w:pPr>
      <w:r>
        <w:t xml:space="preserve">• anosmia OR ageusia; or</w:t>
      </w:r>
      <w:r>
        <w:t xml:space="preserve"> </w:t>
      </w:r>
      <w:r>
        <w:t xml:space="preserve">• cough AND fever; or</w:t>
      </w:r>
      <w:r>
        <w:t xml:space="preserve"> </w:t>
      </w:r>
      <w:r>
        <w:t xml:space="preserve">• at least THREE of cough, fever, fatigue, headache, muscle pain, sore throat, runny/stuffy nose, shortness of breath, nausea, diarrhoea.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063"/>
        <w:tblLook w:firstRow="1" w:lastRow="0" w:firstColumn="0" w:lastColumn="0" w:noHBand="0" w:noVBand="1"/>
      </w:tblPr>
      <w:tblGrid>
        <w:gridCol w:w="1930"/>
        <w:gridCol w:w="2247"/>
        <w:gridCol w:w="2354"/>
        <w:gridCol w:w="2532"/>
      </w:tblGrid>
      <w:tr>
        <w:trPr>
          <w:cantSplit/>
          <w:trHeight w:val="383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IgG Seropositivity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No COVID symptoms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Has COVID symptoms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Percent with Symptoms</w:t>
            </w:r>
          </w:p>
        </w:tc>
      </w:tr>
      <w:tr>
        <w:trPr>
          <w:cantSplit/>
          <w:trHeight w:val="331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Positive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252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16.6 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9.72</w:t>
            </w:r>
          </w:p>
        </w:tc>
      </w:tr>
      <w:tr>
        <w:trPr>
          <w:cantSplit/>
          <w:trHeight w:val="3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 test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11.1 </w:t>
            </w:r>
          </w:p>
        </w:tc>
      </w:tr>
    </w:tbl>
    <w:p>
      <w:pPr>
        <w:pStyle w:val="BodyText"/>
      </w:pPr>
      <w:r>
        <w:t xml:space="preserve">(Only regressors where the p-value for at least one factor level was below 0.1 are shown.)</w:t>
      </w:r>
      <w:r>
        <w:t xml:space="preserve"> </w:t>
      </w:r>
      <w:r>
        <w:drawing>
          <wp:inline>
            <wp:extent cx="5334000" cy="23410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12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299 individuals. 708 were dropped due to variable missingness.</w:t>
      </w:r>
    </w:p>
    <w:bookmarkEnd w:id="40"/>
    <w:bookmarkEnd w:id="41"/>
    <w:bookmarkStart w:id="52" w:name="health-seeking-behavior"/>
    <w:p>
      <w:pPr>
        <w:pStyle w:val="Heading1"/>
      </w:pPr>
      <w:r>
        <w:t xml:space="preserve">Health-seeking behavior</w:t>
      </w:r>
    </w:p>
    <w:bookmarkStart w:id="43" w:name="symptoms-euler-diagram"/>
    <w:p>
      <w:pPr>
        <w:pStyle w:val="Heading2"/>
      </w:pPr>
      <w:r>
        <w:t xml:space="preserve">Symptoms Euler diagram</w:t>
      </w:r>
    </w:p>
    <w:p>
      <w:pPr>
        <w:pStyle w:val="FirstParagraph"/>
      </w:pPr>
      <w:r>
        <w:drawing>
          <wp:inline>
            <wp:extent cx="4572000" cy="2552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13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5" w:name="Xb25b2e98f4c8ea211b8deddc95e5aca702985ad"/>
    <w:p>
      <w:pPr>
        <w:pStyle w:val="Heading2"/>
      </w:pPr>
      <w:r>
        <w:t xml:space="preserve">Where did you consult for symptoms? (Among those who reported any acute symptom or chronic condition)</w:t>
      </w:r>
    </w:p>
    <w:p>
      <w:pPr>
        <w:pStyle w:val="FirstParagraph"/>
      </w:pPr>
      <w:r>
        <w:t xml:space="preserve">This is a combination of question 6.1.1, on COVID-related consultations, and question 11.7, on non-COVID-related consultations.</w:t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14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7" w:name="Xdb81d7ff71d6c96f145e4491336fc1eb42726d0"/>
    <w:p>
      <w:pPr>
        <w:pStyle w:val="Heading2"/>
      </w:pPr>
      <w:r>
        <w:t xml:space="preserve">Barriers to care among the health-care needing population (symptom or chronic condition)</w:t>
      </w:r>
    </w:p>
    <w:p>
      <w:pPr>
        <w:pStyle w:val="FirstParagraph"/>
      </w:pPr>
      <w:r>
        <w:drawing>
          <wp:inline>
            <wp:extent cx="5207000" cy="3009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15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9" w:name="Xb134792fd74e8f4223303bc95984c79708eb387"/>
    <w:p>
      <w:pPr>
        <w:pStyle w:val="Heading2"/>
      </w:pPr>
      <w:r>
        <w:t xml:space="preserve">Have you taken one or several medications for symptoms characteristic of COVID-19? (Question 6.2)</w:t>
      </w:r>
    </w:p>
    <w:p>
      <w:pPr>
        <w:pStyle w:val="FirstParagraph"/>
      </w:pPr>
      <w:r>
        <w:t xml:space="preserve">(Among those who reported COVID-suspect symptoms)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16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1" w:name="X59ddc3f47d002cf3a1f14b2e664a013505d1740"/>
    <w:p>
      <w:pPr>
        <w:pStyle w:val="Heading2"/>
      </w:pPr>
      <w:r>
        <w:t xml:space="preserve">Regression on use of formal health services by those reporting COVID-19 suspect symptoms</w:t>
      </w:r>
    </w:p>
    <w:p>
      <w:pPr>
        <w:pStyle w:val="FirstParagraph"/>
      </w:pPr>
      <w:r>
        <w:drawing>
          <wp:inline>
            <wp:extent cx="5334000" cy="2844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17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End w:id="52"/>
    <w:bookmarkStart w:id="57" w:name="attitudes-towards-the-pandemic"/>
    <w:p>
      <w:pPr>
        <w:pStyle w:val="Heading1"/>
      </w:pPr>
      <w:r>
        <w:t xml:space="preserve">Attitudes towards the pandemic</w:t>
      </w:r>
    </w:p>
    <w:bookmarkStart w:id="54" w:name="respect-of-distancing-measures"/>
    <w:p>
      <w:pPr>
        <w:pStyle w:val="Heading2"/>
      </w:pPr>
      <w:r>
        <w:t xml:space="preserve">Respect of distancing measures</w:t>
      </w:r>
    </w:p>
    <w:p>
      <w:pPr>
        <w:pStyle w:val="FirstParagraph"/>
      </w:pPr>
      <w:r>
        <w:drawing>
          <wp:inline>
            <wp:extent cx="3378200" cy="6489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18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6" w:name="other-attitudes"/>
    <w:p>
      <w:pPr>
        <w:pStyle w:val="Heading2"/>
      </w:pPr>
      <w:r>
        <w:t xml:space="preserve">Other attitudes</w:t>
      </w:r>
    </w:p>
    <w:p>
      <w:pPr>
        <w:pStyle w:val="FirstParagraph"/>
      </w:pPr>
      <w:r>
        <w:drawing>
          <wp:inline>
            <wp:extent cx="5334000" cy="28344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19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4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Start w:id="66" w:name="impact-on-households"/>
    <w:p>
      <w:pPr>
        <w:pStyle w:val="Heading1"/>
      </w:pPr>
      <w:r>
        <w:t xml:space="preserve">Impact on households</w:t>
      </w:r>
    </w:p>
    <w:bookmarkStart w:id="59" w:name="X43c6bbdf6cbf7dd318970ba3cb47b9c6f2c2a51"/>
    <w:p>
      <w:pPr>
        <w:pStyle w:val="Heading2"/>
      </w:pPr>
      <w:r>
        <w:t xml:space="preserve">3.5 Since March 1st, has the revenue of the household diminished?</w:t>
      </w:r>
    </w:p>
    <w:p>
      <w:pPr>
        <w:pStyle w:val="FirstParagraph"/>
      </w:pPr>
      <w:r>
        <w:t xml:space="preserve">(results only shown for the answers from household representatives)</w:t>
      </w:r>
    </w:p>
    <w:p>
      <w:pPr>
        <w:pStyle w:val="BodyText"/>
      </w:pPr>
      <w:r>
        <w:drawing>
          <wp:inline>
            <wp:extent cx="2921000" cy="7124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20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712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1" w:name="X888b0ac66ea00e4feebf70e1f28b6b70d1abebb"/>
    <w:p>
      <w:pPr>
        <w:pStyle w:val="Heading2"/>
      </w:pPr>
      <w:r>
        <w:t xml:space="preserve">14.1 Unable to carry out daily activities (other than work), such as visiting family, making meals, taking care of the children.</w:t>
      </w:r>
    </w:p>
    <w:p>
      <w:pPr>
        <w:pStyle w:val="FirstParagraph"/>
      </w:pPr>
      <w:r>
        <w:drawing>
          <wp:inline>
            <wp:extent cx="2921000" cy="7124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21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712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3" w:name="Xb0637c04f7e190512c02411d82d1a6b302f8891"/>
    <w:p>
      <w:pPr>
        <w:pStyle w:val="Heading2"/>
      </w:pPr>
      <w:r>
        <w:t xml:space="preserve">14.2 Have you stopped working or stopped one of your jobs due to the confinement?</w:t>
      </w:r>
    </w:p>
    <w:p>
      <w:pPr>
        <w:pStyle w:val="FirstParagraph"/>
      </w:pPr>
      <w:r>
        <w:drawing>
          <wp:inline>
            <wp:extent cx="2921000" cy="7124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22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712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5" w:name="Xb840f50071e212daa385e7a4e74b25daf2cd731"/>
    <w:p>
      <w:pPr>
        <w:pStyle w:val="Heading2"/>
      </w:pPr>
      <w:r>
        <w:t xml:space="preserve">14.4 Within your household, have you faced any physical or psychological violence since March 1st?</w:t>
      </w:r>
    </w:p>
    <w:p>
      <w:pPr>
        <w:pStyle w:val="FirstParagraph"/>
      </w:pPr>
      <w:r>
        <w:drawing>
          <wp:inline>
            <wp:extent cx="2921000" cy="7124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_report_files/figure-docx/unnamed-chunk-23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712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df" /><Relationship Type="http://schemas.openxmlformats.org/officeDocument/2006/relationships/image" Id="rId39" Target="media/rId39.pdf" /><Relationship Type="http://schemas.openxmlformats.org/officeDocument/2006/relationships/image" Id="rId42" Target="media/rId42.pdf" /><Relationship Type="http://schemas.openxmlformats.org/officeDocument/2006/relationships/image" Id="rId44" Target="media/rId44.pdf" /><Relationship Type="http://schemas.openxmlformats.org/officeDocument/2006/relationships/image" Id="rId46" Target="media/rId46.pdf" /><Relationship Type="http://schemas.openxmlformats.org/officeDocument/2006/relationships/image" Id="rId48" Target="media/rId48.pdf" /><Relationship Type="http://schemas.openxmlformats.org/officeDocument/2006/relationships/image" Id="rId50" Target="media/rId50.pdf" /><Relationship Type="http://schemas.openxmlformats.org/officeDocument/2006/relationships/image" Id="rId53" Target="media/rId53.pdf" /><Relationship Type="http://schemas.openxmlformats.org/officeDocument/2006/relationships/image" Id="rId55" Target="media/rId55.pdf" /><Relationship Type="http://schemas.openxmlformats.org/officeDocument/2006/relationships/image" Id="rId58" Target="media/rId58.pdf" /><Relationship Type="http://schemas.openxmlformats.org/officeDocument/2006/relationships/image" Id="rId60" Target="media/rId60.pdf" /><Relationship Type="http://schemas.openxmlformats.org/officeDocument/2006/relationships/image" Id="rId62" Target="media/rId62.pdf" /><Relationship Type="http://schemas.openxmlformats.org/officeDocument/2006/relationships/image" Id="rId64" Target="media/rId64.pdf" /><Relationship Type="http://schemas.openxmlformats.org/officeDocument/2006/relationships/image" Id="rId23" Target="media/rId23.pdf" /><Relationship Type="http://schemas.openxmlformats.org/officeDocument/2006/relationships/image" Id="rId25" Target="media/rId25.pdf" /><Relationship Type="http://schemas.openxmlformats.org/officeDocument/2006/relationships/image" Id="rId28" Target="media/rId28.pdf" /><Relationship Type="http://schemas.openxmlformats.org/officeDocument/2006/relationships/image" Id="rId30" Target="media/rId30.pdf" /><Relationship Type="http://schemas.openxmlformats.org/officeDocument/2006/relationships/image" Id="rId33" Target="media/rId33.pdf" /><Relationship Type="http://schemas.openxmlformats.org/officeDocument/2006/relationships/image" Id="rId35" Target="media/rId35.pd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Numbers and figures requested for Prelim report</dc:title>
  <dc:creator/>
  <cp:keywords/>
  <dcterms:created xsi:type="dcterms:W3CDTF">2021-01-12T10:17:16Z</dcterms:created>
  <dcterms:modified xsi:type="dcterms:W3CDTF">2021-01-12T10:17:16Z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2021-01-12</vt:lpwstr>
  </property>
  <property fmtid="{D5CDD505-2E9C-101B-9397-08002B2CF9AE}" pid="3" name="fontsize">
    <vt:lpwstr>10pt</vt:lpwstr>
  </property>
  <property fmtid="{D5CDD505-2E9C-101B-9397-08002B2CF9AE}" pid="4" name="output">
    <vt:lpwstr>word_document</vt:lpwstr>
  </property>
</Properties>
</file>