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C7FB" w14:textId="77777777" w:rsidR="00F24895" w:rsidRPr="00087F0E" w:rsidRDefault="00F24895" w:rsidP="007141BB">
      <w:pPr>
        <w:spacing w:after="0" w:line="240" w:lineRule="auto"/>
        <w:rPr>
          <w:rFonts w:ascii="Arial" w:hAnsi="Arial" w:cs="Arial"/>
          <w:b/>
        </w:rPr>
      </w:pPr>
      <w:r w:rsidRPr="00087F0E">
        <w:rPr>
          <w:rFonts w:ascii="Arial" w:hAnsi="Arial" w:cs="Arial"/>
          <w:b/>
        </w:rPr>
        <w:t>Background</w:t>
      </w:r>
    </w:p>
    <w:p w14:paraId="692FC351" w14:textId="7A6356E7" w:rsidR="00E94F6C" w:rsidRPr="00087F0E" w:rsidRDefault="005B60A4" w:rsidP="007141BB">
      <w:pPr>
        <w:spacing w:after="0" w:line="240" w:lineRule="auto"/>
        <w:rPr>
          <w:rFonts w:ascii="Arial" w:hAnsi="Arial" w:cs="Arial"/>
        </w:rPr>
      </w:pPr>
      <w:r w:rsidRPr="005B60A4">
        <w:rPr>
          <w:rFonts w:ascii="Arial" w:hAnsi="Arial" w:cs="Arial"/>
        </w:rPr>
        <w:t>The first COVID-19 outbreak was reported in Wuhan in 2019, and the disease eventually spread around the world, prompting the World Health Organization (WHO) to declare a global COVID-19 pandemic in March 2020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{"citationID":"JAy50tFh","properties":{"formattedCitation":"[1], [2]","plainCitation":"[1], [2]","noteIndex":0},"citationItems":[{"id":2666,"uris":["http://zotero.org/users/4985722/items/MPZUQ9IK"],"uri":["http://zotero.org/users/4985722/items/MPZUQ9IK"],"itemData":{"id":2666,"type":"article-journal","container-title":"The Lancet","DOI":"10.1016/S0140-6736(20)30185-9","ISSN":"0140-6736","issue":"10223","journalAbbreviation":"The Lancet","page":"470-473","title":"A novel coronavirus outbreak of global health concern","volume":"395","author":[{"family":"Wang","given":"Chen"},{"family":"Horby","given":"Peter W"},{"family":"Hayden","given":"Frederick G"},{"family":"Gao","given":"George F"}],"issued":{"date-parts":[["2020",2,15]]}}},{"id":2665,"uris":["http://zotero.org/users/4985722/items/KM9XMWKV"],"uri":["http://zotero.org/users/4985722/items/KM9XMWKV"],"itemData":{"id":2665,"type":"article-journal","abstract":"An unprecedented outbreak of pneumonia of unknown aetiology in Wuhan City, Hubei province in China emerged in December 2019. A novel coronavirus was identified as the causative agent and was subsequently termed COVID-19 by the World Health Organization (WHO). Considered a relative of severe acute respiratory syndrome (SARS) and Middle East respiratory syndrome (MERS), COVID-19 is caused by a betacoronavirus named SARS-CoV-2 that affects the lower respiratory tract and manifests as pneumonia in humans. Despite rigorous global containment and quarantine efforts, the incidence of COVID-19 continues to rise, with 90,870 laboratory-confirmed cases and over 3,000 deaths worldwide. In response to this global outbreak, we summarise the current state of knowledge surrounding COVID-19.","container-title":"International Journal of Surgery","DOI":"10.1016/j.ijsu.2020.02.034","ISSN":"1743-9191","journalAbbreviation":"International Journal of Surgery","page":"71-76","title":"World Health Organization declares global emergency: A review of the 2019 novel coronavirus (COVID-19)","volume":"76","author":[{"family":"Sohrabi","given":"Catrin"},{"family":"Alsafi","given":"Zaid"},{"family":"O'Neill","given":"Niamh"},{"family":"Khan","given":"Mehdi"},{"family":"Kerwan","given":"Ahmed"},{"family":"Al-Jabir","given":"Ahmed"},{"family":"Iosifidis","given":"Christos"},{"family":"Agha","given":"Riaz"}],"issued":{"date-parts":[["2020",4,1]]}}}],"schema":"https://github.com/citation-style-language/schema/raw/master/csl-citation.json"} </w:instrText>
      </w:r>
      <w:r>
        <w:rPr>
          <w:rFonts w:ascii="Arial" w:hAnsi="Arial" w:cs="Arial"/>
        </w:rPr>
        <w:fldChar w:fldCharType="separate"/>
      </w:r>
      <w:r w:rsidR="006458DE" w:rsidRPr="006458DE">
        <w:rPr>
          <w:rFonts w:ascii="Arial" w:hAnsi="Arial" w:cs="Arial"/>
        </w:rPr>
        <w:t>[1], [2]</w:t>
      </w:r>
      <w:r>
        <w:rPr>
          <w:rFonts w:ascii="Arial" w:hAnsi="Arial" w:cs="Arial"/>
        </w:rPr>
        <w:fldChar w:fldCharType="end"/>
      </w:r>
      <w:r w:rsidRPr="005B60A4">
        <w:rPr>
          <w:rFonts w:ascii="Arial" w:hAnsi="Arial" w:cs="Arial"/>
        </w:rPr>
        <w:t xml:space="preserve">. As in </w:t>
      </w:r>
      <w:r w:rsidR="00942914">
        <w:rPr>
          <w:rFonts w:ascii="Arial" w:hAnsi="Arial" w:cs="Arial"/>
        </w:rPr>
        <w:t>6</w:t>
      </w:r>
      <w:r w:rsidR="00AC7031">
        <w:rPr>
          <w:rFonts w:ascii="Arial" w:hAnsi="Arial" w:cs="Arial"/>
        </w:rPr>
        <w:t xml:space="preserve"> </w:t>
      </w:r>
      <w:r w:rsidR="000B1E54">
        <w:rPr>
          <w:rFonts w:ascii="Arial" w:hAnsi="Arial" w:cs="Arial"/>
        </w:rPr>
        <w:t>August</w:t>
      </w:r>
      <w:r w:rsidRPr="005B60A4">
        <w:rPr>
          <w:rFonts w:ascii="Arial" w:hAnsi="Arial" w:cs="Arial"/>
        </w:rPr>
        <w:t xml:space="preserve"> 2021,</w:t>
      </w:r>
      <w:r w:rsidR="0061320C">
        <w:rPr>
          <w:rFonts w:ascii="Arial" w:hAnsi="Arial" w:cs="Arial"/>
        </w:rPr>
        <w:t xml:space="preserve"> the</w:t>
      </w:r>
      <w:r w:rsidRPr="005B60A4">
        <w:rPr>
          <w:rFonts w:ascii="Arial" w:hAnsi="Arial" w:cs="Arial"/>
        </w:rPr>
        <w:t xml:space="preserve"> COVID</w:t>
      </w:r>
      <w:r w:rsidR="00050141">
        <w:rPr>
          <w:rFonts w:ascii="Arial" w:hAnsi="Arial" w:cs="Arial"/>
        </w:rPr>
        <w:t>-19</w:t>
      </w:r>
      <w:r w:rsidRPr="005B60A4">
        <w:rPr>
          <w:rFonts w:ascii="Arial" w:hAnsi="Arial" w:cs="Arial"/>
        </w:rPr>
        <w:t xml:space="preserve"> pandemic has caused more than </w:t>
      </w:r>
      <w:r w:rsidR="003C67D6">
        <w:rPr>
          <w:rFonts w:ascii="Arial" w:hAnsi="Arial" w:cs="Arial"/>
        </w:rPr>
        <w:t>4</w:t>
      </w:r>
      <w:r w:rsidRPr="005B60A4">
        <w:rPr>
          <w:rFonts w:ascii="Arial" w:hAnsi="Arial" w:cs="Arial"/>
        </w:rPr>
        <w:t xml:space="preserve"> million deaths worldwide</w:t>
      </w:r>
      <w:r>
        <w:rPr>
          <w:rFonts w:ascii="Arial" w:hAnsi="Arial" w:cs="Arial"/>
        </w:rPr>
        <w:t xml:space="preserve"> </w:t>
      </w:r>
      <w:r w:rsidRPr="00087F0E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m8C0lD6g","properties":{"formattedCitation":"[3]","plainCitation":"[3]","noteIndex":0},"citationItems":[{"id":2655,"uris":["http://zotero.org/users/4985722/items/75FDBBYD"],"uri":["http://zotero.org/users/4985722/items/75FDBBYD"],"itemData":{"id":2655,"type":"webpage","container-title":"Worldometer","title":"COVID-19 coronavirus pandemic","URL":"https://www.worldometers.info/coronavirus/#countries","issued":{"date-parts":[["2021",8,6]]}}}],"schema":"https://github.com/citation-style-language/schema/raw/master/csl-citation.json"} </w:instrText>
      </w:r>
      <w:r w:rsidRPr="00087F0E">
        <w:rPr>
          <w:rFonts w:ascii="Arial" w:hAnsi="Arial" w:cs="Arial"/>
        </w:rPr>
        <w:fldChar w:fldCharType="separate"/>
      </w:r>
      <w:r w:rsidRPr="005B60A4">
        <w:rPr>
          <w:rFonts w:ascii="Arial" w:hAnsi="Arial" w:cs="Arial"/>
        </w:rPr>
        <w:t>[3]</w:t>
      </w:r>
      <w:r w:rsidRPr="00087F0E">
        <w:rPr>
          <w:rFonts w:ascii="Arial" w:hAnsi="Arial" w:cs="Arial"/>
        </w:rPr>
        <w:fldChar w:fldCharType="end"/>
      </w:r>
      <w:r w:rsidR="002D3FFC">
        <w:rPr>
          <w:rFonts w:ascii="Arial" w:hAnsi="Arial" w:cs="Arial"/>
        </w:rPr>
        <w:t xml:space="preserve">, and </w:t>
      </w:r>
      <w:r w:rsidR="002D3FFC" w:rsidRPr="00087F0E">
        <w:rPr>
          <w:rFonts w:ascii="Arial" w:hAnsi="Arial" w:cs="Arial"/>
        </w:rPr>
        <w:t xml:space="preserve">a total of </w:t>
      </w:r>
      <w:r w:rsidR="00942914">
        <w:rPr>
          <w:rFonts w:ascii="Arial" w:hAnsi="Arial" w:cs="Arial"/>
        </w:rPr>
        <w:t>more than 12,000</w:t>
      </w:r>
      <w:r w:rsidR="002D3FFC" w:rsidRPr="00087F0E">
        <w:rPr>
          <w:rFonts w:ascii="Arial" w:hAnsi="Arial" w:cs="Arial"/>
        </w:rPr>
        <w:t xml:space="preserve"> confirmed cases </w:t>
      </w:r>
      <w:r w:rsidR="00050141">
        <w:rPr>
          <w:rFonts w:ascii="Arial" w:hAnsi="Arial" w:cs="Arial"/>
        </w:rPr>
        <w:t>i</w:t>
      </w:r>
      <w:r w:rsidR="002D3FFC" w:rsidRPr="00087F0E">
        <w:rPr>
          <w:rFonts w:ascii="Arial" w:hAnsi="Arial" w:cs="Arial"/>
        </w:rPr>
        <w:t xml:space="preserve">n Hong Kong </w:t>
      </w:r>
      <w:r w:rsidR="002D3FFC" w:rsidRPr="00087F0E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YAYli8xO","properties":{"formattedCitation":"[3]","plainCitation":"[3]","noteIndex":0},"citationItems":[{"id":2655,"uris":["http://zotero.org/users/4985722/items/75FDBBYD"],"uri":["http://zotero.org/users/4985722/items/75FDBBYD"],"itemData":{"id":2655,"type":"webpage","container-title":"Worldometer","title":"COVID-19 coronavirus pandemic","URL":"https://www.worldometers.info/coronavirus/#countries","issued":{"date-parts":[["2021",8,6]]}}}],"schema":"https://github.com/citation-style-language/schema/raw/master/csl-citation.json"} </w:instrText>
      </w:r>
      <w:r w:rsidR="002D3FFC" w:rsidRPr="00087F0E">
        <w:rPr>
          <w:rFonts w:ascii="Arial" w:hAnsi="Arial" w:cs="Arial"/>
        </w:rPr>
        <w:fldChar w:fldCharType="separate"/>
      </w:r>
      <w:r w:rsidR="002D3FFC" w:rsidRPr="005B60A4">
        <w:rPr>
          <w:rFonts w:ascii="Arial" w:hAnsi="Arial" w:cs="Arial"/>
        </w:rPr>
        <w:t>[3]</w:t>
      </w:r>
      <w:r w:rsidR="002D3FFC" w:rsidRPr="00087F0E">
        <w:rPr>
          <w:rFonts w:ascii="Arial" w:hAnsi="Arial" w:cs="Arial"/>
        </w:rPr>
        <w:fldChar w:fldCharType="end"/>
      </w:r>
      <w:r w:rsidR="002D3FFC">
        <w:rPr>
          <w:rFonts w:ascii="Arial" w:hAnsi="Arial" w:cs="Arial"/>
        </w:rPr>
        <w:t>.</w:t>
      </w:r>
      <w:r w:rsidRPr="00F927CF">
        <w:t xml:space="preserve"> </w:t>
      </w:r>
      <w:r w:rsidR="00D70DB0" w:rsidRPr="00087F0E">
        <w:rPr>
          <w:rFonts w:ascii="Arial" w:hAnsi="Arial" w:cs="Arial"/>
        </w:rPr>
        <w:t xml:space="preserve">Transmission of COVID-19 is largely attributed to direct or close contact with infected individuals. </w:t>
      </w:r>
      <w:r w:rsidR="009F15C7" w:rsidRPr="00087F0E">
        <w:rPr>
          <w:rFonts w:ascii="Arial" w:hAnsi="Arial" w:cs="Arial"/>
        </w:rPr>
        <w:t>Social distanc</w:t>
      </w:r>
      <w:r w:rsidR="000C20BF">
        <w:rPr>
          <w:rFonts w:ascii="Arial" w:hAnsi="Arial" w:cs="Arial"/>
        </w:rPr>
        <w:t>ing</w:t>
      </w:r>
      <w:r w:rsidR="009F15C7" w:rsidRPr="00087F0E">
        <w:rPr>
          <w:rFonts w:ascii="Arial" w:hAnsi="Arial" w:cs="Arial"/>
        </w:rPr>
        <w:t xml:space="preserve"> policies</w:t>
      </w:r>
      <w:r w:rsidR="00A75A19">
        <w:rPr>
          <w:rFonts w:ascii="Arial" w:hAnsi="Arial" w:cs="Arial"/>
        </w:rPr>
        <w:t>,</w:t>
      </w:r>
      <w:r w:rsidR="009F15C7" w:rsidRPr="00087F0E">
        <w:rPr>
          <w:rFonts w:ascii="Arial" w:hAnsi="Arial" w:cs="Arial"/>
        </w:rPr>
        <w:t xml:space="preserve"> </w:t>
      </w:r>
      <w:r w:rsidR="00C130C8">
        <w:rPr>
          <w:rFonts w:ascii="Arial" w:hAnsi="Arial" w:cs="Arial"/>
        </w:rPr>
        <w:t xml:space="preserve">which include </w:t>
      </w:r>
      <w:r w:rsidR="00DE6AF0">
        <w:rPr>
          <w:rFonts w:ascii="Arial" w:hAnsi="Arial" w:cs="Arial"/>
        </w:rPr>
        <w:t>w</w:t>
      </w:r>
      <w:r w:rsidR="0084788A">
        <w:rPr>
          <w:rFonts w:ascii="Arial" w:hAnsi="Arial" w:cs="Arial"/>
        </w:rPr>
        <w:t>earing face masks,</w:t>
      </w:r>
      <w:r w:rsidR="000D2D0E">
        <w:rPr>
          <w:rFonts w:ascii="Arial" w:hAnsi="Arial" w:cs="Arial"/>
        </w:rPr>
        <w:t xml:space="preserve"> limiting the opening hours of restaurants,</w:t>
      </w:r>
      <w:r w:rsidR="0084057E">
        <w:rPr>
          <w:rFonts w:ascii="Arial" w:hAnsi="Arial" w:cs="Arial"/>
        </w:rPr>
        <w:t xml:space="preserve"> restric</w:t>
      </w:r>
      <w:r w:rsidR="00721E50">
        <w:rPr>
          <w:rFonts w:ascii="Arial" w:hAnsi="Arial" w:cs="Arial"/>
        </w:rPr>
        <w:t>ting the opening hours of schools,</w:t>
      </w:r>
      <w:r w:rsidR="0084788A">
        <w:rPr>
          <w:rFonts w:ascii="Arial" w:hAnsi="Arial" w:cs="Arial"/>
        </w:rPr>
        <w:t xml:space="preserve"> </w:t>
      </w:r>
      <w:r w:rsidR="00C130C8">
        <w:rPr>
          <w:rFonts w:ascii="Arial" w:hAnsi="Arial" w:cs="Arial"/>
        </w:rPr>
        <w:t>restricting the maximum number of people gather at once</w:t>
      </w:r>
      <w:r w:rsidR="00EF0579">
        <w:rPr>
          <w:rFonts w:ascii="Arial" w:hAnsi="Arial" w:cs="Arial"/>
        </w:rPr>
        <w:t xml:space="preserve"> in public</w:t>
      </w:r>
      <w:r w:rsidR="00904C52">
        <w:rPr>
          <w:rFonts w:ascii="Arial" w:hAnsi="Arial" w:cs="Arial"/>
        </w:rPr>
        <w:t xml:space="preserve">, </w:t>
      </w:r>
      <w:r w:rsidR="00A75A19" w:rsidRPr="00087F0E">
        <w:rPr>
          <w:rFonts w:ascii="Arial" w:hAnsi="Arial" w:cs="Arial"/>
        </w:rPr>
        <w:t>have lowered the number of new cases,</w:t>
      </w:r>
      <w:r w:rsidR="00A75A19">
        <w:rPr>
          <w:rFonts w:ascii="Arial" w:hAnsi="Arial" w:cs="Arial"/>
        </w:rPr>
        <w:t xml:space="preserve"> </w:t>
      </w:r>
      <w:r w:rsidR="009F15C7" w:rsidRPr="00087F0E">
        <w:rPr>
          <w:rFonts w:ascii="Arial" w:hAnsi="Arial" w:cs="Arial"/>
        </w:rPr>
        <w:t xml:space="preserve">indicating that a general reduction in the number of contacts can decrease the number of individuals contracting the disease. </w:t>
      </w:r>
      <w:r w:rsidR="00A0520F">
        <w:rPr>
          <w:rFonts w:ascii="Arial" w:hAnsi="Arial" w:cs="Arial"/>
        </w:rPr>
        <w:t>In addition</w:t>
      </w:r>
      <w:r w:rsidR="00A7774A">
        <w:rPr>
          <w:rFonts w:ascii="Arial" w:hAnsi="Arial" w:cs="Arial"/>
        </w:rPr>
        <w:t xml:space="preserve"> to these social distancing policies</w:t>
      </w:r>
      <w:r w:rsidR="00A0520F">
        <w:rPr>
          <w:rFonts w:ascii="Arial" w:hAnsi="Arial" w:cs="Arial"/>
        </w:rPr>
        <w:t xml:space="preserve">, all in-bound </w:t>
      </w:r>
      <w:r w:rsidR="00410012">
        <w:rPr>
          <w:rFonts w:ascii="Arial" w:hAnsi="Arial" w:cs="Arial"/>
        </w:rPr>
        <w:t>travellers</w:t>
      </w:r>
      <w:r w:rsidR="00A0520F">
        <w:rPr>
          <w:rFonts w:ascii="Arial" w:hAnsi="Arial" w:cs="Arial"/>
        </w:rPr>
        <w:t xml:space="preserve"> are required to quarantine at one of the designated quarantine hotels and tested periodically for COVID-19. </w:t>
      </w:r>
      <w:r w:rsidR="001776BD" w:rsidRPr="00087F0E">
        <w:rPr>
          <w:rFonts w:ascii="Arial" w:hAnsi="Arial" w:cs="Arial"/>
        </w:rPr>
        <w:t xml:space="preserve">Once new </w:t>
      </w:r>
      <w:r w:rsidR="001776BD">
        <w:rPr>
          <w:rFonts w:ascii="Arial" w:hAnsi="Arial" w:cs="Arial"/>
        </w:rPr>
        <w:t xml:space="preserve">community </w:t>
      </w:r>
      <w:r w:rsidR="001776BD" w:rsidRPr="00087F0E">
        <w:rPr>
          <w:rFonts w:ascii="Arial" w:hAnsi="Arial" w:cs="Arial"/>
        </w:rPr>
        <w:t xml:space="preserve">cases of COVID-19 are confirmed, buildings where confirmed cases reside are being blocked and residents of the entire building are being mandatorily tested. </w:t>
      </w:r>
      <w:r w:rsidR="00414FA4">
        <w:rPr>
          <w:rFonts w:ascii="Arial" w:hAnsi="Arial" w:cs="Arial"/>
        </w:rPr>
        <w:t>However, these measures are not sustainable. The city needs to pay societal and economic costs</w:t>
      </w:r>
      <w:r w:rsidR="00806A73">
        <w:rPr>
          <w:rFonts w:ascii="Arial" w:hAnsi="Arial" w:cs="Arial"/>
        </w:rPr>
        <w:t xml:space="preserve"> </w:t>
      </w:r>
      <w:r w:rsidR="00832FA2">
        <w:rPr>
          <w:rFonts w:ascii="Arial" w:hAnsi="Arial" w:cs="Arial"/>
        </w:rPr>
        <w:t>to keep</w:t>
      </w:r>
      <w:r w:rsidR="00806A73">
        <w:rPr>
          <w:rFonts w:ascii="Arial" w:hAnsi="Arial" w:cs="Arial"/>
        </w:rPr>
        <w:t xml:space="preserve"> </w:t>
      </w:r>
      <w:r w:rsidR="00832FA2">
        <w:rPr>
          <w:rFonts w:ascii="Arial" w:hAnsi="Arial" w:cs="Arial"/>
        </w:rPr>
        <w:t>the number of new cases at low level</w:t>
      </w:r>
      <w:r w:rsidR="00414FA4">
        <w:rPr>
          <w:rFonts w:ascii="Arial" w:hAnsi="Arial" w:cs="Arial"/>
        </w:rPr>
        <w:t>. For instance, for making bars close early. Thus, s</w:t>
      </w:r>
      <w:r w:rsidR="00F36223" w:rsidRPr="00087F0E">
        <w:rPr>
          <w:rFonts w:ascii="Arial" w:hAnsi="Arial" w:cs="Arial"/>
        </w:rPr>
        <w:t xml:space="preserve">ince the vaccine roll-out, public health officials </w:t>
      </w:r>
      <w:r w:rsidR="00E94F6C" w:rsidRPr="00087F0E">
        <w:rPr>
          <w:rFonts w:ascii="Arial" w:hAnsi="Arial" w:cs="Arial"/>
        </w:rPr>
        <w:t>have continued to deliberate over when to reopen, which places are safe to return to, and how much activity to allow.</w:t>
      </w:r>
    </w:p>
    <w:p w14:paraId="6864DE9A" w14:textId="3AB04656" w:rsidR="00E94F6C" w:rsidRDefault="00E94F6C" w:rsidP="007141BB">
      <w:pPr>
        <w:spacing w:after="0" w:line="240" w:lineRule="auto"/>
        <w:rPr>
          <w:rFonts w:ascii="Arial" w:hAnsi="Arial" w:cs="Arial"/>
        </w:rPr>
      </w:pPr>
    </w:p>
    <w:p w14:paraId="1C1584E0" w14:textId="0D25652D" w:rsidR="00B9239D" w:rsidRPr="00087F0E" w:rsidRDefault="00B9239D" w:rsidP="00B9239D">
      <w:pPr>
        <w:spacing w:after="0" w:line="240" w:lineRule="auto"/>
        <w:rPr>
          <w:rFonts w:ascii="Arial" w:hAnsi="Arial" w:cs="Arial"/>
        </w:rPr>
      </w:pPr>
      <w:r w:rsidRPr="00087F0E">
        <w:rPr>
          <w:rFonts w:ascii="Arial" w:hAnsi="Arial" w:cs="Arial"/>
        </w:rPr>
        <w:t>Answering these questions</w:t>
      </w:r>
      <w:r>
        <w:rPr>
          <w:rFonts w:ascii="Arial" w:hAnsi="Arial" w:cs="Arial"/>
        </w:rPr>
        <w:t xml:space="preserve"> r</w:t>
      </w:r>
      <w:r w:rsidRPr="00087F0E">
        <w:rPr>
          <w:rFonts w:ascii="Arial" w:hAnsi="Arial" w:cs="Arial"/>
        </w:rPr>
        <w:t>equires epidemiological models that can capture the effects of changes in mobility of virus spread. In particular, findings of COVID-19 superspreader events motivate models that can reflect the heterogeneous risks of visiting different locations.</w:t>
      </w:r>
    </w:p>
    <w:p w14:paraId="4469F4FF" w14:textId="77777777" w:rsidR="00B9239D" w:rsidRDefault="00B9239D" w:rsidP="007141BB">
      <w:pPr>
        <w:spacing w:after="0" w:line="240" w:lineRule="auto"/>
        <w:rPr>
          <w:rFonts w:ascii="Arial" w:hAnsi="Arial" w:cs="Arial"/>
        </w:rPr>
      </w:pPr>
    </w:p>
    <w:p w14:paraId="2130B076" w14:textId="5F74F98F" w:rsidR="0020558A" w:rsidRDefault="007824D1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Genomic sequencing analyses the virus sample taken from a diagnosed patient and compares it with other cases.</w:t>
      </w:r>
      <w:r w:rsidR="00F14947">
        <w:rPr>
          <w:rFonts w:ascii="Arial" w:hAnsi="Arial" w:cs="Arial"/>
        </w:rPr>
        <w:t xml:space="preserve"> As a virus passes from human to human, the virus changes slightly. While the genome of one COVID-19 patient compared with the person they </w:t>
      </w:r>
      <w:r w:rsidR="00E54AFE">
        <w:rPr>
          <w:rFonts w:ascii="Arial" w:hAnsi="Arial" w:cs="Arial"/>
        </w:rPr>
        <w:t>caught</w:t>
      </w:r>
      <w:r w:rsidR="00F14947">
        <w:rPr>
          <w:rFonts w:ascii="Arial" w:hAnsi="Arial" w:cs="Arial"/>
        </w:rPr>
        <w:t xml:space="preserve"> it from will appear almost identi</w:t>
      </w:r>
      <w:r w:rsidR="00E54AFE">
        <w:rPr>
          <w:rFonts w:ascii="Arial" w:hAnsi="Arial" w:cs="Arial"/>
        </w:rPr>
        <w:t xml:space="preserve">cal, after the virus has been transmitted onto further people, difference between the strands of the virus they carry become more apparent. These different changes, or mutations, define branches on a tree. Each branch of COVID-19 could be linked back to China in the original </w:t>
      </w:r>
      <w:r w:rsidR="001A677A">
        <w:rPr>
          <w:rFonts w:ascii="Arial" w:hAnsi="Arial" w:cs="Arial"/>
        </w:rPr>
        <w:t>Wuhan outbreak</w:t>
      </w:r>
      <w:r w:rsidR="00E54AFE">
        <w:rPr>
          <w:rFonts w:ascii="Arial" w:hAnsi="Arial" w:cs="Arial"/>
        </w:rPr>
        <w:t>, as well as via an outbreak in a foreign county.</w:t>
      </w:r>
    </w:p>
    <w:p w14:paraId="416E1FAD" w14:textId="77777777" w:rsidR="0020558A" w:rsidRDefault="0020558A" w:rsidP="007141BB">
      <w:pPr>
        <w:spacing w:after="0" w:line="240" w:lineRule="auto"/>
        <w:rPr>
          <w:rFonts w:ascii="Arial" w:hAnsi="Arial" w:cs="Arial"/>
        </w:rPr>
      </w:pPr>
    </w:p>
    <w:p w14:paraId="7BD67018" w14:textId="38D86A4B" w:rsidR="0060779F" w:rsidRDefault="002C6806" w:rsidP="006077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0779F">
        <w:rPr>
          <w:rFonts w:ascii="Arial" w:hAnsi="Arial" w:cs="Arial"/>
        </w:rPr>
        <w:t>here have been s</w:t>
      </w:r>
      <w:r w:rsidR="0060779F" w:rsidRPr="009E0B74" w:rsidDel="00B5249D">
        <w:rPr>
          <w:rFonts w:ascii="Arial" w:hAnsi="Arial" w:cs="Arial"/>
        </w:rPr>
        <w:t xml:space="preserve">everal new variants of SARS-CoV-2 emerged in late 2020 that are more human-to-human transmissible than the other variants </w:t>
      </w:r>
      <w:r w:rsidR="0060779F" w:rsidRPr="009E0B74" w:rsidDel="00B5249D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q2Vf3q3U","properties":{"formattedCitation":"[4]","plainCitation":"[4]","noteIndex":0},"citationItems":[{"id":2652,"uris":["http://zotero.org/users/4985722/items/25VJYYEA"],"uri":["http://zotero.org/users/4985722/items/25VJYYEA"],"itemData":{"id":2652,"type":"article-newspaper","container-title":"Science","title":"Mutant coronavirus in the United Kingdom sets off alarms, but its importance remains unclear","URL":"https://www.sciencemag.org/news/2020/12/mutant-coronavirus-united-kingdom-sets-alarms-its-importance-remains-unclear","author":[{"family":"Kupferschmidt","given":"Kai"}],"issued":{"date-parts":[["2020",12,20]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[4]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</w:t>
      </w:r>
      <w:r w:rsidR="0060779F">
        <w:rPr>
          <w:rFonts w:ascii="Arial" w:hAnsi="Arial" w:cs="Arial"/>
        </w:rPr>
        <w:t>Alpha (</w:t>
      </w:r>
      <w:r w:rsidR="0060779F" w:rsidRPr="009E0B74" w:rsidDel="00B5249D">
        <w:rPr>
          <w:rFonts w:ascii="Arial" w:hAnsi="Arial" w:cs="Arial"/>
        </w:rPr>
        <w:t>B.1.1.7</w:t>
      </w:r>
      <w:r w:rsidR="0060779F">
        <w:rPr>
          <w:rFonts w:ascii="Arial" w:hAnsi="Arial" w:cs="Arial"/>
        </w:rPr>
        <w:t>)</w:t>
      </w:r>
      <w:r w:rsidR="0060779F" w:rsidRPr="009E0B74" w:rsidDel="00B5249D">
        <w:rPr>
          <w:rFonts w:ascii="Arial" w:hAnsi="Arial" w:cs="Arial"/>
        </w:rPr>
        <w:t xml:space="preserve"> was reported in the United Kingdom in September 2020 as variant of concern </w:t>
      </w:r>
      <w:r w:rsidR="0060779F" w:rsidRPr="009E0B74" w:rsidDel="00B5249D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p9NVzgAU","properties":{"formattedCitation":"[5]","plainCitation":"[5]","noteIndex":0},"citationItems":[{"id":2649,"uris":["http://zotero.org/users/4985722/items/3D3RYM8M"],"uri":["http://zotero.org/users/4985722/items/3D3RYM8M"],"itemData":{"id":2649,"type":"webpage","title":"SARS-CoV-2 virus variants: a year into the COVID-19 pandemic","URL":"https://post.parliament.uk/sars-cov-2-virus-variants-a-year-into-the-covid-19-pandemic/","author":[{"family":"UK Parliament","given":""}],"issued":{"date-parts":[["2021",1,27]]}}}],"schema":"https://github.com/citation-style-language/schema/raw/master/csl-citation.json"}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[5]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, which has increased the virus’ transmissibility by 70% </w:t>
      </w:r>
      <w:r w:rsidR="0060779F" w:rsidRPr="009E0B74" w:rsidDel="00B5249D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t9MIDf7m","properties":{"formattedCitation":"[4]","plainCitation":"[4]","noteIndex":0},"citationItems":[{"id":2652,"uris":["http://zotero.org/users/4985722/items/25VJYYEA"],"uri":["http://zotero.org/users/4985722/items/25VJYYEA"],"itemData":{"id":2652,"type":"article-newspaper","container-title":"Science","title":"Mutant coronavirus in the United Kingdom sets off alarms, but its importance remains unclear","URL":"https://www.sciencemag.org/news/2020/12/mutant-coronavirus-united-kingdom-sets-alarms-its-importance-remains-unclear","author":[{"family":"Kupferschmidt","given":"Kai"}],"issued":{"date-parts":[["2020",12,20]]}}}],"schema":"https://github.com/citation-style-language/schema/raw/master/csl-citation.json"} </w:instrText>
      </w:r>
      <w:r w:rsidR="0060779F" w:rsidRPr="009E0B74" w:rsidDel="00B5249D">
        <w:rPr>
          <w:rFonts w:ascii="Arial" w:hAnsi="Arial" w:cs="Arial"/>
        </w:rPr>
        <w:fldChar w:fldCharType="separate"/>
      </w:r>
      <w:r w:rsidR="005B60A4" w:rsidRPr="005B60A4">
        <w:rPr>
          <w:rFonts w:ascii="Arial" w:hAnsi="Arial" w:cs="Arial"/>
        </w:rPr>
        <w:t>[4]</w:t>
      </w:r>
      <w:r w:rsidR="0060779F" w:rsidRPr="009E0B74" w:rsidDel="00B5249D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Another variant </w:t>
      </w:r>
      <w:r w:rsidR="0060779F">
        <w:rPr>
          <w:rFonts w:ascii="Arial" w:hAnsi="Arial" w:cs="Arial"/>
        </w:rPr>
        <w:t>beta (</w:t>
      </w:r>
      <w:r w:rsidR="0060779F" w:rsidRPr="009E0B74" w:rsidDel="00B5249D">
        <w:rPr>
          <w:rFonts w:ascii="Arial" w:hAnsi="Arial" w:cs="Arial"/>
        </w:rPr>
        <w:t>B.1.351</w:t>
      </w:r>
      <w:r w:rsidR="0060779F">
        <w:rPr>
          <w:rFonts w:ascii="Arial" w:hAnsi="Arial" w:cs="Arial"/>
        </w:rPr>
        <w:t xml:space="preserve">) </w:t>
      </w:r>
      <w:r w:rsidR="0060779F" w:rsidRPr="009E0B74" w:rsidDel="00B5249D">
        <w:rPr>
          <w:rFonts w:ascii="Arial" w:hAnsi="Arial" w:cs="Arial"/>
        </w:rPr>
        <w:t xml:space="preserve">emerged independently of </w:t>
      </w:r>
      <w:r w:rsidR="0060779F">
        <w:rPr>
          <w:rFonts w:ascii="Arial" w:hAnsi="Arial" w:cs="Arial"/>
        </w:rPr>
        <w:t xml:space="preserve">alpha </w:t>
      </w:r>
      <w:r w:rsidR="0060779F" w:rsidRPr="009E0B74" w:rsidDel="00B5249D">
        <w:rPr>
          <w:rFonts w:ascii="Arial" w:hAnsi="Arial" w:cs="Arial"/>
        </w:rPr>
        <w:t>in South Africa</w:t>
      </w:r>
      <w:r w:rsidR="00997EEE">
        <w:rPr>
          <w:rFonts w:ascii="Arial" w:hAnsi="Arial" w:cs="Arial"/>
        </w:rPr>
        <w:t xml:space="preserve"> in May 2020</w:t>
      </w:r>
      <w:r w:rsidR="00490BBF">
        <w:rPr>
          <w:rFonts w:ascii="Arial" w:hAnsi="Arial" w:cs="Arial"/>
        </w:rPr>
        <w:t xml:space="preserve"> </w:t>
      </w:r>
      <w:r w:rsidR="00490BBF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KMgjlZbA","properties":{"formattedCitation":"[6]","plainCitation":"[6]","noteIndex":0},"citationItems":[{"id":2664,"uris":["http://zotero.org/users/4985722/items/EZ3AM3A3"],"uri":["http://zotero.org/users/4985722/items/EZ3AM3A3"],"itemData":{"id":2664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490BBF">
        <w:rPr>
          <w:rFonts w:ascii="Arial" w:hAnsi="Arial" w:cs="Arial"/>
        </w:rPr>
        <w:fldChar w:fldCharType="separate"/>
      </w:r>
      <w:r w:rsidR="00490BBF" w:rsidRPr="00490BBF">
        <w:rPr>
          <w:rFonts w:ascii="Arial" w:hAnsi="Arial" w:cs="Arial"/>
        </w:rPr>
        <w:t>[6]</w:t>
      </w:r>
      <w:r w:rsidR="00490BBF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, and </w:t>
      </w:r>
      <w:r w:rsidR="0060779F">
        <w:rPr>
          <w:rFonts w:ascii="Arial" w:hAnsi="Arial" w:cs="Arial"/>
        </w:rPr>
        <w:t>gamma (</w:t>
      </w:r>
      <w:r w:rsidR="0060779F" w:rsidRPr="009E0B74" w:rsidDel="00B5249D">
        <w:rPr>
          <w:rFonts w:ascii="Arial" w:hAnsi="Arial" w:cs="Arial"/>
        </w:rPr>
        <w:t>P.1</w:t>
      </w:r>
      <w:r w:rsidR="0060779F">
        <w:rPr>
          <w:rFonts w:ascii="Arial" w:hAnsi="Arial" w:cs="Arial"/>
        </w:rPr>
        <w:t>)</w:t>
      </w:r>
      <w:r w:rsidR="0060779F" w:rsidRPr="009E0B74" w:rsidDel="00B5249D">
        <w:rPr>
          <w:rFonts w:ascii="Arial" w:hAnsi="Arial" w:cs="Arial"/>
        </w:rPr>
        <w:t xml:space="preserve"> was reported i</w:t>
      </w:r>
      <w:r w:rsidR="00997EEE">
        <w:rPr>
          <w:rFonts w:ascii="Arial" w:hAnsi="Arial" w:cs="Arial"/>
        </w:rPr>
        <w:t>n Brazil</w:t>
      </w:r>
      <w:r w:rsidR="0060779F" w:rsidRPr="009E0B74" w:rsidDel="00B5249D">
        <w:rPr>
          <w:rFonts w:ascii="Arial" w:hAnsi="Arial" w:cs="Arial"/>
        </w:rPr>
        <w:t xml:space="preserve"> in </w:t>
      </w:r>
      <w:r w:rsidR="00997EEE">
        <w:rPr>
          <w:rFonts w:ascii="Arial" w:hAnsi="Arial" w:cs="Arial"/>
        </w:rPr>
        <w:t>November</w:t>
      </w:r>
      <w:r w:rsidR="0060779F" w:rsidRPr="009E0B74" w:rsidDel="00B5249D">
        <w:rPr>
          <w:rFonts w:ascii="Arial" w:hAnsi="Arial" w:cs="Arial"/>
        </w:rPr>
        <w:t xml:space="preserve"> 202</w:t>
      </w:r>
      <w:r w:rsidR="00997EEE">
        <w:rPr>
          <w:rFonts w:ascii="Arial" w:hAnsi="Arial" w:cs="Arial"/>
        </w:rPr>
        <w:t>0</w:t>
      </w:r>
      <w:r w:rsidR="00076DFA">
        <w:rPr>
          <w:rFonts w:ascii="Arial" w:hAnsi="Arial" w:cs="Arial"/>
        </w:rPr>
        <w:t xml:space="preserve"> </w:t>
      </w:r>
      <w:r w:rsidR="00076DFA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6Q9KrllG","properties":{"formattedCitation":"[6]","plainCitation":"[6]","noteIndex":0},"citationItems":[{"id":2664,"uris":["http://zotero.org/users/4985722/items/EZ3AM3A3"],"uri":["http://zotero.org/users/4985722/items/EZ3AM3A3"],"itemData":{"id":2664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076DFA">
        <w:rPr>
          <w:rFonts w:ascii="Arial" w:hAnsi="Arial" w:cs="Arial"/>
        </w:rPr>
        <w:fldChar w:fldCharType="separate"/>
      </w:r>
      <w:r w:rsidR="00490BBF" w:rsidRPr="00490BBF">
        <w:rPr>
          <w:rFonts w:ascii="Arial" w:hAnsi="Arial" w:cs="Arial"/>
        </w:rPr>
        <w:t>[6]</w:t>
      </w:r>
      <w:r w:rsidR="00076DFA">
        <w:rPr>
          <w:rFonts w:ascii="Arial" w:hAnsi="Arial" w:cs="Arial"/>
        </w:rPr>
        <w:fldChar w:fldCharType="end"/>
      </w:r>
      <w:r w:rsidR="0060779F" w:rsidRPr="009E0B74" w:rsidDel="00B5249D">
        <w:rPr>
          <w:rFonts w:ascii="Arial" w:hAnsi="Arial" w:cs="Arial"/>
        </w:rPr>
        <w:t xml:space="preserve">. </w:t>
      </w:r>
      <w:r w:rsidR="005A097C">
        <w:rPr>
          <w:rFonts w:ascii="Arial" w:hAnsi="Arial" w:cs="Arial"/>
        </w:rPr>
        <w:t xml:space="preserve">The delta </w:t>
      </w:r>
      <w:r w:rsidR="00C84933">
        <w:rPr>
          <w:rFonts w:ascii="Arial" w:hAnsi="Arial" w:cs="Arial"/>
        </w:rPr>
        <w:t xml:space="preserve">variant (B.1.617.2) </w:t>
      </w:r>
      <w:r w:rsidR="005A097C">
        <w:rPr>
          <w:rFonts w:ascii="Arial" w:hAnsi="Arial" w:cs="Arial"/>
        </w:rPr>
        <w:t xml:space="preserve">was first detected in India last </w:t>
      </w:r>
      <w:r w:rsidR="00997EEE">
        <w:rPr>
          <w:rFonts w:ascii="Arial" w:hAnsi="Arial" w:cs="Arial"/>
        </w:rPr>
        <w:t>October</w:t>
      </w:r>
      <w:r w:rsidR="00C31DD4">
        <w:rPr>
          <w:rFonts w:ascii="Arial" w:hAnsi="Arial" w:cs="Arial"/>
        </w:rPr>
        <w:t xml:space="preserve"> </w:t>
      </w:r>
      <w:r w:rsidR="00C31DD4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BSI9iSzX","properties":{"formattedCitation":"[6]","plainCitation":"[6]","noteIndex":0},"citationItems":[{"id":2664,"uris":["http://zotero.org/users/4985722/items/EZ3AM3A3"],"uri":["http://zotero.org/users/4985722/items/EZ3AM3A3"],"itemData":{"id":2664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C31DD4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C31DD4">
        <w:rPr>
          <w:rFonts w:ascii="Arial" w:hAnsi="Arial" w:cs="Arial"/>
        </w:rPr>
        <w:fldChar w:fldCharType="end"/>
      </w:r>
      <w:r w:rsidR="005A097C">
        <w:rPr>
          <w:rFonts w:ascii="Arial" w:hAnsi="Arial" w:cs="Arial"/>
        </w:rPr>
        <w:t>.</w:t>
      </w:r>
    </w:p>
    <w:p w14:paraId="003795B1" w14:textId="77777777" w:rsidR="0060779F" w:rsidRDefault="0060779F" w:rsidP="007141BB">
      <w:pPr>
        <w:spacing w:after="0" w:line="240" w:lineRule="auto"/>
        <w:rPr>
          <w:rFonts w:ascii="Arial" w:hAnsi="Arial" w:cs="Arial"/>
        </w:rPr>
      </w:pPr>
    </w:p>
    <w:p w14:paraId="5F9C2C11" w14:textId="6E972D8C" w:rsidR="0060779F" w:rsidRDefault="0060779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COVID-19</w:t>
      </w:r>
      <w:r w:rsidR="004C0082">
        <w:rPr>
          <w:rFonts w:ascii="Arial" w:hAnsi="Arial" w:cs="Arial"/>
        </w:rPr>
        <w:t xml:space="preserve"> has mutated to variants that t</w:t>
      </w:r>
      <w:r w:rsidR="00BC5AD9">
        <w:rPr>
          <w:rFonts w:ascii="Arial" w:hAnsi="Arial" w:cs="Arial"/>
        </w:rPr>
        <w:t xml:space="preserve">he World Health Organization </w:t>
      </w:r>
      <w:r w:rsidR="00B10F94">
        <w:rPr>
          <w:rFonts w:ascii="Arial" w:hAnsi="Arial" w:cs="Arial"/>
        </w:rPr>
        <w:t xml:space="preserve">has denoted </w:t>
      </w:r>
      <w:r>
        <w:rPr>
          <w:rFonts w:ascii="Arial" w:hAnsi="Arial" w:cs="Arial"/>
        </w:rPr>
        <w:t xml:space="preserve">as </w:t>
      </w:r>
      <w:r w:rsidR="00B10F94">
        <w:rPr>
          <w:rFonts w:ascii="Arial" w:hAnsi="Arial" w:cs="Arial"/>
        </w:rPr>
        <w:t xml:space="preserve">variant of interest (VOI) and variant of concern (VOC). </w:t>
      </w:r>
      <w:r w:rsidR="002D6CE6">
        <w:rPr>
          <w:rFonts w:ascii="Arial" w:hAnsi="Arial" w:cs="Arial"/>
        </w:rPr>
        <w:t xml:space="preserve">For VOI, </w:t>
      </w:r>
      <w:r w:rsidR="004A05FD">
        <w:rPr>
          <w:rFonts w:ascii="Arial" w:hAnsi="Arial" w:cs="Arial"/>
        </w:rPr>
        <w:t xml:space="preserve">it is a SARS-CoV-2 variant with genetic changes that are predicted or known to affect virus characteristics such as transmissibility, disease severity, immune escape, diagnostic or therapeutic escape and </w:t>
      </w:r>
      <w:r w:rsidR="00C9208A">
        <w:rPr>
          <w:rFonts w:ascii="Arial" w:hAnsi="Arial" w:cs="Arial"/>
        </w:rPr>
        <w:t xml:space="preserve">identified to cause significant community </w:t>
      </w:r>
      <w:r w:rsidR="00CD416F">
        <w:rPr>
          <w:rFonts w:ascii="Arial" w:hAnsi="Arial" w:cs="Arial"/>
        </w:rPr>
        <w:t>transmission or multiple COVID-19 clusters, in multiple counties with increasing relative prevalence alongside increasing number of cases over time, or other apparent epidemiological impacts to suggest an emerging risk to global public health</w:t>
      </w:r>
      <w:r w:rsidR="00004B3C">
        <w:rPr>
          <w:rFonts w:ascii="Arial" w:hAnsi="Arial" w:cs="Arial"/>
        </w:rPr>
        <w:t xml:space="preserve"> </w:t>
      </w:r>
      <w:r w:rsidR="00004B3C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rhKp6iy0","properties":{"formattedCitation":"[6]","plainCitation":"[6]","noteIndex":0},"citationItems":[{"id":2664,"uris":["http://zotero.org/users/4985722/items/EZ3AM3A3"],"uri":["http://zotero.org/users/4985722/items/EZ3AM3A3"],"itemData":{"id":2664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004B3C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004B3C">
        <w:rPr>
          <w:rFonts w:ascii="Arial" w:hAnsi="Arial" w:cs="Arial"/>
        </w:rPr>
        <w:fldChar w:fldCharType="end"/>
      </w:r>
      <w:r w:rsidR="00CD416F">
        <w:rPr>
          <w:rFonts w:ascii="Arial" w:hAnsi="Arial" w:cs="Arial"/>
        </w:rPr>
        <w:t xml:space="preserve">. </w:t>
      </w:r>
      <w:r w:rsidR="00D77B9D">
        <w:rPr>
          <w:rFonts w:ascii="Arial" w:hAnsi="Arial" w:cs="Arial"/>
        </w:rPr>
        <w:t xml:space="preserve">For VOC, </w:t>
      </w:r>
      <w:r w:rsidR="00983663">
        <w:rPr>
          <w:rFonts w:ascii="Arial" w:hAnsi="Arial" w:cs="Arial"/>
        </w:rPr>
        <w:t>it is a SARS-COV-2 variant that meets the definition of a VOI, and one of the following: Increase in transmissibility or det</w:t>
      </w:r>
      <w:r w:rsidR="00002687">
        <w:rPr>
          <w:rFonts w:ascii="Arial" w:hAnsi="Arial" w:cs="Arial"/>
        </w:rPr>
        <w:t>rimental</w:t>
      </w:r>
      <w:r w:rsidR="00983663">
        <w:rPr>
          <w:rFonts w:ascii="Arial" w:hAnsi="Arial" w:cs="Arial"/>
        </w:rPr>
        <w:t xml:space="preserve"> change </w:t>
      </w:r>
      <w:r w:rsidR="00002687">
        <w:rPr>
          <w:rFonts w:ascii="Arial" w:hAnsi="Arial" w:cs="Arial"/>
        </w:rPr>
        <w:t>in COVID-19 epidemiology, increase in virulence or change in clinical disease presentation, or decre</w:t>
      </w:r>
      <w:r w:rsidR="009E48EC">
        <w:rPr>
          <w:rFonts w:ascii="Arial" w:hAnsi="Arial" w:cs="Arial"/>
        </w:rPr>
        <w:t>a</w:t>
      </w:r>
      <w:r w:rsidR="00002687">
        <w:rPr>
          <w:rFonts w:ascii="Arial" w:hAnsi="Arial" w:cs="Arial"/>
        </w:rPr>
        <w:t>se in effectiveness of public health and social measures or available dia</w:t>
      </w:r>
      <w:r w:rsidR="009E48EC">
        <w:rPr>
          <w:rFonts w:ascii="Arial" w:hAnsi="Arial" w:cs="Arial"/>
        </w:rPr>
        <w:t>gnostics</w:t>
      </w:r>
      <w:r w:rsidR="00002687">
        <w:rPr>
          <w:rFonts w:ascii="Arial" w:hAnsi="Arial" w:cs="Arial"/>
        </w:rPr>
        <w:t>, vaccines, therapeutics</w:t>
      </w:r>
      <w:r w:rsidR="00004B3C">
        <w:rPr>
          <w:rFonts w:ascii="Arial" w:hAnsi="Arial" w:cs="Arial"/>
        </w:rPr>
        <w:t xml:space="preserve"> </w:t>
      </w:r>
      <w:r w:rsidR="00E83565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xtvYN9zu","properties":{"formattedCitation":"[6]","plainCitation":"[6]","noteIndex":0},"citationItems":[{"id":2664,"uris":["http://zotero.org/users/4985722/items/EZ3AM3A3"],"uri":["http://zotero.org/users/4985722/items/EZ3AM3A3"],"itemData":{"id":2664,"type":"webpage","title":"Tracking SARS-CoV-2 variants","URL":"https://www.who.int/en/activities/tracking-SARS-CoV-2-variants/","author":[{"family":"World Health Organization","given":""}],"issued":{"date-parts":[["2021",8,1]]}}}],"schema":"https://github.com/citation-style-language/schema/raw/master/csl-citation.json"} </w:instrText>
      </w:r>
      <w:r w:rsidR="00E83565">
        <w:rPr>
          <w:rFonts w:ascii="Arial" w:hAnsi="Arial" w:cs="Arial"/>
        </w:rPr>
        <w:fldChar w:fldCharType="separate"/>
      </w:r>
      <w:r w:rsidR="00C31DD4" w:rsidRPr="00C31DD4">
        <w:rPr>
          <w:rFonts w:ascii="Arial" w:hAnsi="Arial" w:cs="Arial"/>
        </w:rPr>
        <w:t>[6]</w:t>
      </w:r>
      <w:r w:rsidR="00E83565">
        <w:rPr>
          <w:rFonts w:ascii="Arial" w:hAnsi="Arial" w:cs="Arial"/>
        </w:rPr>
        <w:fldChar w:fldCharType="end"/>
      </w:r>
      <w:r w:rsidR="009E48EC">
        <w:rPr>
          <w:rFonts w:ascii="Arial" w:hAnsi="Arial" w:cs="Arial"/>
        </w:rPr>
        <w:t xml:space="preserve">. </w:t>
      </w:r>
    </w:p>
    <w:p w14:paraId="6FD4CC38" w14:textId="77777777" w:rsidR="0060779F" w:rsidRDefault="0060779F" w:rsidP="007141BB">
      <w:pPr>
        <w:spacing w:after="0" w:line="240" w:lineRule="auto"/>
        <w:rPr>
          <w:rFonts w:ascii="Arial" w:hAnsi="Arial" w:cs="Arial"/>
        </w:rPr>
      </w:pPr>
    </w:p>
    <w:p w14:paraId="0765C2EE" w14:textId="67F4DAD9" w:rsidR="00E96E80" w:rsidRDefault="00E96E80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 data from England suggests that for some groups, protection offered by vaccines against severe disease and death begins to wane several months after the second dose of vaccine.</w:t>
      </w:r>
      <w:r w:rsidR="00AE6D81">
        <w:rPr>
          <w:rFonts w:ascii="Arial" w:hAnsi="Arial" w:cs="Arial"/>
        </w:rPr>
        <w:t xml:space="preserve"> </w:t>
      </w:r>
      <w:r w:rsidR="007F61ED">
        <w:rPr>
          <w:rFonts w:ascii="Arial" w:hAnsi="Arial" w:cs="Arial"/>
        </w:rPr>
        <w:t xml:space="preserve">For Pfizer/ BioNTech, </w:t>
      </w:r>
      <w:r w:rsidR="00490BBF">
        <w:rPr>
          <w:rFonts w:ascii="Arial" w:hAnsi="Arial" w:cs="Arial"/>
        </w:rPr>
        <w:t xml:space="preserve">for example, </w:t>
      </w:r>
      <w:r w:rsidR="007F61ED">
        <w:rPr>
          <w:rFonts w:ascii="Arial" w:hAnsi="Arial" w:cs="Arial"/>
        </w:rPr>
        <w:t>efficacy against symptomatic infection for age 16 and above was 90%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70% after week</w:t>
      </w:r>
      <w:r w:rsidR="005E7C83">
        <w:rPr>
          <w:rFonts w:ascii="Arial" w:hAnsi="Arial" w:cs="Arial"/>
        </w:rPr>
        <w:t xml:space="preserve">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kW6fWNwe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>. For AstraZeneca, it was 67%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50% after week</w:t>
      </w:r>
      <w:r w:rsidR="005E7C83">
        <w:rPr>
          <w:rFonts w:ascii="Arial" w:hAnsi="Arial" w:cs="Arial"/>
        </w:rPr>
        <w:t xml:space="preserve">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KuXzFbnc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>. For Pfizer/ BioNTech, efficacy against hospital admission for age 65 and above and not clinical extremely vulnerable was 100%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</w:t>
      </w:r>
      <w:r w:rsidR="005E7C83">
        <w:rPr>
          <w:rFonts w:ascii="Arial" w:hAnsi="Arial" w:cs="Arial"/>
        </w:rPr>
        <w:t xml:space="preserve">and waned </w:t>
      </w:r>
      <w:r w:rsidR="007F61ED">
        <w:rPr>
          <w:rFonts w:ascii="Arial" w:hAnsi="Arial" w:cs="Arial"/>
        </w:rPr>
        <w:t xml:space="preserve">to 95% at week 20; for </w:t>
      </w:r>
      <w:r w:rsidR="005E7C83">
        <w:rPr>
          <w:rFonts w:ascii="Arial" w:hAnsi="Arial" w:cs="Arial"/>
        </w:rPr>
        <w:t xml:space="preserve">the </w:t>
      </w:r>
      <w:r w:rsidR="007F61ED">
        <w:rPr>
          <w:rFonts w:ascii="Arial" w:hAnsi="Arial" w:cs="Arial"/>
        </w:rPr>
        <w:t>clinical extremely vulnerable</w:t>
      </w:r>
      <w:r w:rsidR="005E7C83">
        <w:rPr>
          <w:rFonts w:ascii="Arial" w:hAnsi="Arial" w:cs="Arial"/>
        </w:rPr>
        <w:t>, it</w:t>
      </w:r>
      <w:r w:rsidR="007F61ED">
        <w:rPr>
          <w:rFonts w:ascii="Arial" w:hAnsi="Arial" w:cs="Arial"/>
        </w:rPr>
        <w:t xml:space="preserve"> was 95% at week 2</w:t>
      </w:r>
      <w:r w:rsidR="008F650E">
        <w:rPr>
          <w:rFonts w:ascii="Arial" w:hAnsi="Arial" w:cs="Arial"/>
        </w:rPr>
        <w:t>-9</w:t>
      </w:r>
      <w:r w:rsidR="007F61ED">
        <w:rPr>
          <w:rFonts w:ascii="Arial" w:hAnsi="Arial" w:cs="Arial"/>
        </w:rPr>
        <w:t xml:space="preserve"> and waned to 70%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pg5hx52Z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0103D6">
        <w:rPr>
          <w:rFonts w:ascii="Arial" w:hAnsi="Arial" w:cs="Arial"/>
        </w:rPr>
        <w:fldChar w:fldCharType="end"/>
      </w:r>
      <w:r w:rsidR="007F61ED">
        <w:rPr>
          <w:rFonts w:ascii="Arial" w:hAnsi="Arial" w:cs="Arial"/>
        </w:rPr>
        <w:t>.</w:t>
      </w:r>
      <w:r w:rsidR="005E7C83">
        <w:rPr>
          <w:rFonts w:ascii="Arial" w:hAnsi="Arial" w:cs="Arial"/>
        </w:rPr>
        <w:t xml:space="preserve"> For AstraZeneca, efficacy against hospital admission for age 65 and above and not clinical extremely vulnerable was 95%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80% at week 20; for the clinical extremely vulnerable, it was 80%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60%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14vsmHCK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0103D6">
        <w:rPr>
          <w:rFonts w:ascii="Arial" w:hAnsi="Arial" w:cs="Arial"/>
        </w:rPr>
        <w:fldChar w:fldCharType="end"/>
      </w:r>
      <w:r w:rsidR="005E7C83">
        <w:rPr>
          <w:rFonts w:ascii="Arial" w:hAnsi="Arial" w:cs="Arial"/>
        </w:rPr>
        <w:t>. For Pfizer/ BioNTech, efficacy against death was 95% at week 2</w:t>
      </w:r>
      <w:r w:rsidR="008F650E">
        <w:rPr>
          <w:rFonts w:ascii="Arial" w:hAnsi="Arial" w:cs="Arial"/>
        </w:rPr>
        <w:t>-9</w:t>
      </w:r>
      <w:r w:rsidR="005E7C83">
        <w:rPr>
          <w:rFonts w:ascii="Arial" w:hAnsi="Arial" w:cs="Arial"/>
        </w:rPr>
        <w:t xml:space="preserve"> and waned to 90% at week 20. For AstraZeneca, it was </w:t>
      </w:r>
      <w:r w:rsidR="008F650E">
        <w:rPr>
          <w:rFonts w:ascii="Arial" w:hAnsi="Arial" w:cs="Arial"/>
        </w:rPr>
        <w:t>90% at week 2-9 and weaned to 80% at week 20</w:t>
      </w:r>
      <w:r w:rsidR="000103D6">
        <w:rPr>
          <w:rFonts w:ascii="Arial" w:hAnsi="Arial" w:cs="Arial"/>
        </w:rPr>
        <w:t xml:space="preserve"> </w:t>
      </w:r>
      <w:r w:rsidR="000103D6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EHYlFqEb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0103D6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0103D6">
        <w:rPr>
          <w:rFonts w:ascii="Arial" w:hAnsi="Arial" w:cs="Arial"/>
        </w:rPr>
        <w:fldChar w:fldCharType="end"/>
      </w:r>
      <w:r w:rsidR="008F650E">
        <w:rPr>
          <w:rFonts w:ascii="Arial" w:hAnsi="Arial" w:cs="Arial"/>
        </w:rPr>
        <w:t xml:space="preserve">. </w:t>
      </w:r>
    </w:p>
    <w:p w14:paraId="3AF615B0" w14:textId="0DAADE14" w:rsidR="008F650E" w:rsidRDefault="008F650E" w:rsidP="007141BB">
      <w:pPr>
        <w:spacing w:after="0" w:line="240" w:lineRule="auto"/>
        <w:rPr>
          <w:rFonts w:ascii="Arial" w:hAnsi="Arial" w:cs="Arial"/>
        </w:rPr>
      </w:pPr>
    </w:p>
    <w:p w14:paraId="6F165046" w14:textId="79A70B6E" w:rsidR="008F650E" w:rsidRDefault="00E35F94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Efficacy is higher if vaccine dose gap is longer. For Pfizer/ BioNTech and f</w:t>
      </w:r>
      <w:r w:rsidR="008F650E">
        <w:rPr>
          <w:rFonts w:ascii="Arial" w:hAnsi="Arial" w:cs="Arial"/>
        </w:rPr>
        <w:t xml:space="preserve">or age 80 and above, </w:t>
      </w:r>
      <w:r w:rsidR="004F6F54">
        <w:rPr>
          <w:rFonts w:ascii="Arial" w:hAnsi="Arial" w:cs="Arial"/>
        </w:rPr>
        <w:t xml:space="preserve">efficacy against symptomatic infection </w:t>
      </w:r>
      <w:r w:rsidR="008F650E">
        <w:rPr>
          <w:rFonts w:ascii="Arial" w:hAnsi="Arial" w:cs="Arial"/>
        </w:rPr>
        <w:t>was 35% (15%, 50%)</w:t>
      </w:r>
      <w:r w:rsidR="004F6F54">
        <w:rPr>
          <w:rFonts w:ascii="Arial" w:hAnsi="Arial" w:cs="Arial"/>
        </w:rPr>
        <w:t xml:space="preserve"> at week 25 for vaccine dose gap less than 4 weeks</w:t>
      </w:r>
      <w:r w:rsidR="008F650E">
        <w:rPr>
          <w:rFonts w:ascii="Arial" w:hAnsi="Arial" w:cs="Arial"/>
        </w:rPr>
        <w:t xml:space="preserve">; whereas, </w:t>
      </w:r>
      <w:r w:rsidR="004F6F54">
        <w:rPr>
          <w:rFonts w:ascii="Arial" w:hAnsi="Arial" w:cs="Arial"/>
        </w:rPr>
        <w:t xml:space="preserve">it </w:t>
      </w:r>
      <w:r w:rsidR="008F650E">
        <w:rPr>
          <w:rFonts w:ascii="Arial" w:hAnsi="Arial" w:cs="Arial"/>
        </w:rPr>
        <w:t>was 65% (</w:t>
      </w:r>
      <w:r w:rsidR="004F6F54">
        <w:rPr>
          <w:rFonts w:ascii="Arial" w:hAnsi="Arial" w:cs="Arial"/>
        </w:rPr>
        <w:t xml:space="preserve">38%, </w:t>
      </w:r>
      <w:r w:rsidR="008F650E">
        <w:rPr>
          <w:rFonts w:ascii="Arial" w:hAnsi="Arial" w:cs="Arial"/>
        </w:rPr>
        <w:t>82%)</w:t>
      </w:r>
      <w:r w:rsidR="004F6F54">
        <w:rPr>
          <w:rFonts w:ascii="Arial" w:hAnsi="Arial" w:cs="Arial"/>
        </w:rPr>
        <w:t xml:space="preserve"> at week 25 for dose gap that is 8 weeks and beyond</w:t>
      </w:r>
      <w:r w:rsidR="004778FF">
        <w:rPr>
          <w:rFonts w:ascii="Arial" w:hAnsi="Arial" w:cs="Arial"/>
        </w:rPr>
        <w:t xml:space="preserve"> </w:t>
      </w:r>
      <w:r w:rsidR="004778FF"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eYgPJwhI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 w:rsidR="004778FF"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 w:rsidR="004778FF">
        <w:rPr>
          <w:rFonts w:ascii="Arial" w:hAnsi="Arial" w:cs="Arial"/>
        </w:rPr>
        <w:fldChar w:fldCharType="end"/>
      </w:r>
      <w:r w:rsidR="004F6F54">
        <w:rPr>
          <w:rFonts w:ascii="Arial" w:hAnsi="Arial" w:cs="Arial"/>
        </w:rPr>
        <w:t>.</w:t>
      </w:r>
    </w:p>
    <w:p w14:paraId="097B65F8" w14:textId="5E03A3EC" w:rsidR="000103D6" w:rsidRDefault="000103D6" w:rsidP="007141BB">
      <w:pPr>
        <w:spacing w:after="0" w:line="240" w:lineRule="auto"/>
        <w:rPr>
          <w:rFonts w:ascii="Arial" w:hAnsi="Arial" w:cs="Arial"/>
        </w:rPr>
      </w:pPr>
    </w:p>
    <w:p w14:paraId="4CB483DA" w14:textId="26730162" w:rsidR="000103D6" w:rsidRDefault="000103D6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Rates of cases, severe disease, and death are markedly lower among over-60s Israelis who have received a booster shot than among those who have not </w:t>
      </w:r>
      <w:r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ZOTERO_ITEM CSL_CITATION {"citationID":"89Bgy6PH","properties":{"formattedCitation":"[7]","plainCitation":"[7]","noteIndex":0},"citationItems":[{"id":2667,"uris":["http://zotero.org/users/4985722/items/QH36Y9WT"],"uri":["http://zotero.org/users/4985722/items/QH36Y9WT"],"itemData":{"id":2667,"type":"article-newspaper","container-title":"Financial Times","title":"Why are Covid vaccine boosters needed and who in the UK will receive them?","URL":"https://www.ft.com/content/cf83b3a1-fe06-4c9f-999c-7500090aee7c","author":[{"family":"Cookson","given":"Clive"},{"family":"Barnes","given":"Oliver"},{"family":"Burn-Murdoch","given":"John"}],"issued":{"date-parts":[["2021",9,15]]}}}],"schema":"https://github.com/citation-style-language/schema/raw/master/csl-citation.json"} </w:instrText>
      </w:r>
      <w:r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[7]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1D0CF117" w14:textId="77777777" w:rsidR="00370584" w:rsidRDefault="00370584" w:rsidP="007141BB">
      <w:pPr>
        <w:spacing w:after="0" w:line="240" w:lineRule="auto"/>
        <w:rPr>
          <w:rFonts w:ascii="Arial" w:hAnsi="Arial" w:cs="Arial"/>
        </w:rPr>
      </w:pPr>
    </w:p>
    <w:p w14:paraId="5541A9C9" w14:textId="77777777" w:rsidR="004066D9" w:rsidRDefault="00285FE4" w:rsidP="004066D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Hong Kong as a case study, the objectives of the study are as follows:</w:t>
      </w:r>
    </w:p>
    <w:p w14:paraId="581765DD" w14:textId="57C1FC39" w:rsidR="008E4973" w:rsidRDefault="008E4973" w:rsidP="008E49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the workload of Hong Kong healthcare system after vaccines rollout;</w:t>
      </w:r>
    </w:p>
    <w:p w14:paraId="4081C12B" w14:textId="430124C6" w:rsidR="00285FE4" w:rsidRPr="008E4973" w:rsidRDefault="00285FE4" w:rsidP="008E49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E4973">
        <w:rPr>
          <w:rFonts w:ascii="Arial" w:hAnsi="Arial" w:cs="Arial"/>
        </w:rPr>
        <w:t xml:space="preserve">Determine which social distancing measure can be relaxed </w:t>
      </w:r>
      <w:r w:rsidR="008647A6" w:rsidRPr="008E4973">
        <w:rPr>
          <w:rFonts w:ascii="Arial" w:hAnsi="Arial" w:cs="Arial"/>
        </w:rPr>
        <w:t xml:space="preserve">in Hong Kong </w:t>
      </w:r>
      <w:r w:rsidRPr="008E4973">
        <w:rPr>
          <w:rFonts w:ascii="Arial" w:hAnsi="Arial" w:cs="Arial"/>
        </w:rPr>
        <w:t>after vaccines roll-out</w:t>
      </w:r>
      <w:r w:rsidR="00B54220">
        <w:rPr>
          <w:rFonts w:ascii="Arial" w:hAnsi="Arial" w:cs="Arial"/>
        </w:rPr>
        <w:t xml:space="preserve">, particularly in </w:t>
      </w:r>
      <w:r w:rsidR="00ED0683">
        <w:rPr>
          <w:rFonts w:ascii="Arial" w:hAnsi="Arial" w:cs="Arial"/>
        </w:rPr>
        <w:t>the impact of schools returning</w:t>
      </w:r>
      <w:r w:rsidRPr="008E4973">
        <w:rPr>
          <w:rFonts w:ascii="Arial" w:hAnsi="Arial" w:cs="Arial"/>
        </w:rPr>
        <w:t>;</w:t>
      </w:r>
      <w:r w:rsidR="008E4973">
        <w:rPr>
          <w:rFonts w:ascii="Arial" w:hAnsi="Arial" w:cs="Arial"/>
        </w:rPr>
        <w:t xml:space="preserve"> and</w:t>
      </w:r>
    </w:p>
    <w:p w14:paraId="3EC5A6DC" w14:textId="23F826CF" w:rsidR="00285FE4" w:rsidRDefault="001B663D" w:rsidP="00285FE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the incidence of COVID-19 of some foreign countries which frequently have travellers travelling to Hong Kong;</w:t>
      </w:r>
    </w:p>
    <w:p w14:paraId="1E325237" w14:textId="000407F8" w:rsidR="0080258D" w:rsidRDefault="0080258D" w:rsidP="007141BB">
      <w:pPr>
        <w:spacing w:after="0" w:line="240" w:lineRule="auto"/>
        <w:rPr>
          <w:rFonts w:ascii="Arial" w:hAnsi="Arial" w:cs="Arial"/>
        </w:rPr>
      </w:pPr>
    </w:p>
    <w:p w14:paraId="35B25B62" w14:textId="77777777" w:rsidR="008E4973" w:rsidRDefault="008E4973" w:rsidP="007141BB">
      <w:pPr>
        <w:spacing w:after="0" w:line="240" w:lineRule="auto"/>
        <w:rPr>
          <w:rFonts w:ascii="Arial" w:hAnsi="Arial" w:cs="Arial"/>
        </w:rPr>
      </w:pPr>
    </w:p>
    <w:p w14:paraId="48663AC0" w14:textId="77777777" w:rsidR="00F24895" w:rsidRPr="00087F0E" w:rsidRDefault="00F24895" w:rsidP="007141BB">
      <w:pPr>
        <w:spacing w:after="0" w:line="240" w:lineRule="auto"/>
        <w:rPr>
          <w:rFonts w:ascii="Arial" w:hAnsi="Arial" w:cs="Arial"/>
          <w:b/>
        </w:rPr>
      </w:pPr>
      <w:r w:rsidRPr="00087F0E">
        <w:rPr>
          <w:rFonts w:ascii="Arial" w:hAnsi="Arial" w:cs="Arial"/>
          <w:b/>
        </w:rPr>
        <w:t>Methodology</w:t>
      </w:r>
    </w:p>
    <w:p w14:paraId="771C12D6" w14:textId="77777777" w:rsidR="00FA53BE" w:rsidRDefault="007A1E4F" w:rsidP="006C3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Three level of efficac</w:t>
      </w:r>
      <w:r w:rsidR="00EB6EB7">
        <w:rPr>
          <w:rFonts w:ascii="Arial" w:hAnsi="Arial" w:cs="Arial"/>
        </w:rPr>
        <w:t>ies of vaccines (50%, 70%, and 90%) were distributed among the population, and half of the population had their social distancing measures relaxed.</w:t>
      </w:r>
    </w:p>
    <w:p w14:paraId="64DCB490" w14:textId="51F1E584" w:rsidR="006C35CD" w:rsidRDefault="007523A9" w:rsidP="006C35CD">
      <w:pPr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3EA9E3F6" w14:textId="47FEE214" w:rsidR="006C35CD" w:rsidRPr="006C35CD" w:rsidRDefault="00FA53BE" w:rsidP="00FA53BE">
      <w:pPr>
        <w:spacing w:after="0" w:line="24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vac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67E64597" w14:textId="1833ED0A" w:rsidR="006C35CD" w:rsidRPr="006C35CD" w:rsidRDefault="007523A9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7CBAB105" w14:textId="1B194EF5" w:rsidR="006C35CD" w:rsidRDefault="007523A9" w:rsidP="006C35CD">
      <w:pPr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I)(1-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vac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21260694" w14:textId="7D39B2B3" w:rsidR="006C35CD" w:rsidRPr="006C35CD" w:rsidRDefault="00FA53BE" w:rsidP="006C35C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</w:p>
    <w:p w14:paraId="4AD715AF" w14:textId="1AFAADBB" w:rsidR="006C35CD" w:rsidRPr="006C35CD" w:rsidRDefault="00FA53BE" w:rsidP="006C35CD">
      <w:pPr>
        <w:spacing w:after="0" w:line="240" w:lineRule="auto"/>
        <w:ind w:firstLine="184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=-(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6</m:t>
            </m:r>
          </m:sub>
        </m:sSub>
        <m:r>
          <w:rPr>
            <w:rFonts w:ascii="Cambria Math" w:hAnsi="Cambria Math" w:cs="Arial"/>
          </w:rPr>
          <m:t>I)(1-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vac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14362874" w14:textId="212B42B9" w:rsidR="006C35CD" w:rsidRPr="009C0E89" w:rsidRDefault="007523A9" w:rsidP="006C35CD">
      <w:pPr>
        <w:spacing w:after="0" w:line="240" w:lineRule="auto"/>
        <w:ind w:firstLine="1843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dE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d>
      </m:oMath>
      <w:r w:rsidR="009C0E89">
        <w:rPr>
          <w:rFonts w:ascii="Arial" w:hAnsi="Arial" w:cs="Arial"/>
        </w:rPr>
        <w:t>+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4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5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vac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</w:rPr>
          <m:t>-σE</m:t>
        </m:r>
      </m:oMath>
    </w:p>
    <w:p w14:paraId="04D2BCEE" w14:textId="26D165DD" w:rsidR="009C0E89" w:rsidRPr="003046AF" w:rsidRDefault="007523A9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dI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=σE-γI</m:t>
          </m:r>
        </m:oMath>
      </m:oMathPara>
    </w:p>
    <w:p w14:paraId="4A3D9FC2" w14:textId="0AB1FBBC" w:rsidR="003046AF" w:rsidRPr="003046AF" w:rsidRDefault="007523A9" w:rsidP="006C35CD">
      <w:pPr>
        <w:spacing w:after="0" w:line="240" w:lineRule="auto"/>
        <w:ind w:firstLine="1843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dR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=γI</m:t>
          </m:r>
        </m:oMath>
      </m:oMathPara>
    </w:p>
    <w:p w14:paraId="503CAE78" w14:textId="69131297" w:rsidR="006C35CD" w:rsidRDefault="006C35CD" w:rsidP="00972975">
      <w:pPr>
        <w:spacing w:after="0" w:line="240" w:lineRule="auto"/>
        <w:rPr>
          <w:rFonts w:ascii="Arial" w:hAnsi="Arial" w:cs="Arial"/>
        </w:rPr>
      </w:pPr>
    </w:p>
    <w:p w14:paraId="1BBD2D02" w14:textId="0DADB2FC" w:rsidR="003046AF" w:rsidRDefault="003046AF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where vac</w:t>
      </w:r>
      <w:r w:rsidRPr="003046AF"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is vaccine efficacy in percentage and vac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50%, vac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70%, and vac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</w:t>
      </w:r>
      <w:r w:rsidR="00C57054">
        <w:rPr>
          <w:rFonts w:ascii="Arial" w:hAnsi="Arial" w:cs="Arial"/>
        </w:rPr>
        <w:t>wa</w:t>
      </w:r>
      <w:r>
        <w:rPr>
          <w:rFonts w:ascii="Arial" w:hAnsi="Arial" w:cs="Arial"/>
        </w:rPr>
        <w:t>s 90%.</w:t>
      </w:r>
    </w:p>
    <w:p w14:paraId="6ED8C044" w14:textId="32C0E708" w:rsidR="003046AF" w:rsidRDefault="003046AF" w:rsidP="00972975">
      <w:pPr>
        <w:spacing w:after="0" w:line="240" w:lineRule="auto"/>
        <w:rPr>
          <w:rFonts w:ascii="Arial" w:hAnsi="Arial" w:cs="Arial"/>
        </w:rPr>
      </w:pPr>
    </w:p>
    <w:p w14:paraId="2D6BEA2F" w14:textId="292B9A47" w:rsidR="009C35F8" w:rsidRDefault="00C57054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function estimate_R in library EpiEstim</w:t>
      </w:r>
      <w:r w:rsidR="00313732">
        <w:rPr>
          <w:rFonts w:ascii="Arial" w:hAnsi="Arial" w:cs="Arial"/>
        </w:rPr>
        <w:t xml:space="preserve"> of R</w:t>
      </w:r>
      <w:r>
        <w:rPr>
          <w:rFonts w:ascii="Arial" w:hAnsi="Arial" w:cs="Arial"/>
        </w:rPr>
        <w:t>, reproductive number was estimated.</w:t>
      </w:r>
    </w:p>
    <w:p w14:paraId="1BE391F9" w14:textId="0463CB63" w:rsidR="003C07C8" w:rsidRDefault="003C07C8" w:rsidP="00972975">
      <w:pPr>
        <w:spacing w:after="0" w:line="240" w:lineRule="auto"/>
        <w:rPr>
          <w:rFonts w:ascii="Arial" w:hAnsi="Arial" w:cs="Arial"/>
        </w:rPr>
      </w:pPr>
    </w:p>
    <w:p w14:paraId="037E44D9" w14:textId="029617CF" w:rsidR="003C07C8" w:rsidRDefault="003C07C8" w:rsidP="0097297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do not have empirical data.</w:t>
      </w:r>
    </w:p>
    <w:p w14:paraId="30E23A2B" w14:textId="073CC5D1" w:rsidR="00972975" w:rsidRDefault="00972975" w:rsidP="007141BB">
      <w:pPr>
        <w:spacing w:after="0" w:line="240" w:lineRule="auto"/>
        <w:rPr>
          <w:rFonts w:ascii="Arial" w:hAnsi="Arial" w:cs="Arial"/>
        </w:rPr>
      </w:pPr>
    </w:p>
    <w:p w14:paraId="417D88EA" w14:textId="77777777" w:rsidR="006648C9" w:rsidRPr="00972975" w:rsidRDefault="006648C9" w:rsidP="007141BB">
      <w:pPr>
        <w:spacing w:after="0" w:line="240" w:lineRule="auto"/>
        <w:rPr>
          <w:rFonts w:ascii="Arial" w:hAnsi="Arial" w:cs="Arial"/>
        </w:rPr>
      </w:pPr>
    </w:p>
    <w:p w14:paraId="0A8B6F86" w14:textId="66D58343" w:rsidR="00EF1D05" w:rsidRDefault="00D90EC1" w:rsidP="007141BB">
      <w:pPr>
        <w:spacing w:after="0" w:line="240" w:lineRule="auto"/>
        <w:rPr>
          <w:rFonts w:ascii="Arial" w:hAnsi="Arial" w:cs="Arial"/>
          <w:b/>
        </w:rPr>
      </w:pPr>
      <w:r w:rsidRPr="007E4D43">
        <w:rPr>
          <w:rFonts w:ascii="Arial" w:hAnsi="Arial" w:cs="Arial"/>
          <w:b/>
        </w:rPr>
        <w:t>Results</w:t>
      </w:r>
    </w:p>
    <w:p w14:paraId="28198DC3" w14:textId="2880D26B" w:rsidR="009A686F" w:rsidRPr="009A686F" w:rsidRDefault="009A686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 1 shows the epidemic curves over time, Figure 2</w:t>
      </w:r>
      <w:r w:rsidR="004F2A2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shows </w:t>
      </w:r>
      <w:r w:rsidR="00AC6BC3">
        <w:rPr>
          <w:rFonts w:ascii="Arial" w:hAnsi="Arial" w:cs="Arial"/>
        </w:rPr>
        <w:t xml:space="preserve">the estimated </w:t>
      </w:r>
      <w:r>
        <w:rPr>
          <w:rFonts w:ascii="Arial" w:hAnsi="Arial" w:cs="Arial"/>
        </w:rPr>
        <w:t>reproductive number over time</w:t>
      </w:r>
      <w:r w:rsidR="004F2A29">
        <w:rPr>
          <w:rFonts w:ascii="Arial" w:hAnsi="Arial" w:cs="Arial"/>
        </w:rPr>
        <w:t xml:space="preserve"> when no social distancing measures was relaxed, and Figure 2b shows the estimated reproductive number over time when half of the population had their social distancing measures relaxed</w:t>
      </w:r>
      <w:r>
        <w:rPr>
          <w:rFonts w:ascii="Arial" w:hAnsi="Arial" w:cs="Arial"/>
        </w:rPr>
        <w:t>.</w:t>
      </w:r>
      <w:r w:rsidR="00FD3BB0">
        <w:rPr>
          <w:rFonts w:ascii="Arial" w:hAnsi="Arial" w:cs="Arial"/>
        </w:rPr>
        <w:t xml:space="preserve"> The six lines of susceptibles</w:t>
      </w:r>
      <w:r w:rsidR="004445BA">
        <w:rPr>
          <w:rFonts w:ascii="Arial" w:hAnsi="Arial" w:cs="Arial"/>
        </w:rPr>
        <w:t xml:space="preserve"> </w:t>
      </w:r>
      <w:r w:rsidR="0032195A">
        <w:rPr>
          <w:rFonts w:ascii="Arial" w:hAnsi="Arial" w:cs="Arial"/>
        </w:rPr>
        <w:t xml:space="preserve">in Figure 1 </w:t>
      </w:r>
      <w:r w:rsidR="004445BA">
        <w:rPr>
          <w:rFonts w:ascii="Arial" w:hAnsi="Arial" w:cs="Arial"/>
        </w:rPr>
        <w:t>were S</w:t>
      </w:r>
      <w:r w:rsidR="004445BA" w:rsidRPr="004445BA">
        <w:rPr>
          <w:rFonts w:ascii="Arial" w:hAnsi="Arial" w:cs="Arial"/>
          <w:vertAlign w:val="subscript"/>
        </w:rPr>
        <w:t>1</w:t>
      </w:r>
      <w:r w:rsidR="004445BA">
        <w:rPr>
          <w:rFonts w:ascii="Arial" w:hAnsi="Arial" w:cs="Arial"/>
        </w:rPr>
        <w:t>-S</w:t>
      </w:r>
      <w:r w:rsidR="004445BA" w:rsidRPr="004445BA">
        <w:rPr>
          <w:rFonts w:ascii="Arial" w:hAnsi="Arial" w:cs="Arial"/>
          <w:vertAlign w:val="subscript"/>
        </w:rPr>
        <w:t>6</w:t>
      </w:r>
      <w:r w:rsidR="004445BA">
        <w:rPr>
          <w:rFonts w:ascii="Arial" w:hAnsi="Arial" w:cs="Arial"/>
        </w:rPr>
        <w:t xml:space="preserve">. </w:t>
      </w:r>
      <w:r w:rsidR="007038FD">
        <w:rPr>
          <w:rFonts w:ascii="Arial" w:hAnsi="Arial" w:cs="Arial"/>
        </w:rPr>
        <w:t xml:space="preserve">This figure shows half of the population </w:t>
      </w:r>
      <w:r w:rsidR="006F6FA3">
        <w:rPr>
          <w:rFonts w:ascii="Arial" w:hAnsi="Arial" w:cs="Arial"/>
        </w:rPr>
        <w:t>have their social distancing measures relaxed.</w:t>
      </w:r>
    </w:p>
    <w:p w14:paraId="66A3D887" w14:textId="6D05F0C4" w:rsidR="00285FE4" w:rsidRPr="00285FE4" w:rsidRDefault="008361EB" w:rsidP="00285FE4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17F2E7" wp14:editId="41DD9B31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6A0" w14:textId="677281D0" w:rsidR="00946F5F" w:rsidRDefault="009A686F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Figure 1. </w:t>
      </w:r>
      <w:r w:rsidR="00AA22B5">
        <w:rPr>
          <w:rFonts w:ascii="Arial" w:hAnsi="Arial" w:cs="Arial"/>
        </w:rPr>
        <w:t xml:space="preserve">The epidemic curves over time. The grey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exposed, the black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infected, the red line </w:t>
      </w:r>
      <w:r w:rsidR="00216CC8">
        <w:rPr>
          <w:rFonts w:ascii="Arial" w:hAnsi="Arial" w:cs="Arial"/>
        </w:rPr>
        <w:t>was</w:t>
      </w:r>
      <w:r w:rsidR="00AA22B5">
        <w:rPr>
          <w:rFonts w:ascii="Arial" w:hAnsi="Arial" w:cs="Arial"/>
        </w:rPr>
        <w:t xml:space="preserve"> recovered, and the rest of the lines </w:t>
      </w:r>
      <w:r w:rsidR="00216CC8">
        <w:rPr>
          <w:rFonts w:ascii="Arial" w:hAnsi="Arial" w:cs="Arial"/>
        </w:rPr>
        <w:t>were</w:t>
      </w:r>
      <w:r w:rsidR="00AA22B5">
        <w:rPr>
          <w:rFonts w:ascii="Arial" w:hAnsi="Arial" w:cs="Arial"/>
        </w:rPr>
        <w:t xml:space="preserve"> </w:t>
      </w:r>
      <w:r w:rsidR="00AE0668">
        <w:rPr>
          <w:rFonts w:ascii="Arial" w:hAnsi="Arial" w:cs="Arial"/>
        </w:rPr>
        <w:t>susceptibles</w:t>
      </w:r>
      <w:r w:rsidR="00AA22B5">
        <w:rPr>
          <w:rFonts w:ascii="Arial" w:hAnsi="Arial" w:cs="Arial"/>
        </w:rPr>
        <w:t>.</w:t>
      </w:r>
    </w:p>
    <w:p w14:paraId="5C2B6871" w14:textId="09DB68C9" w:rsidR="00AA22B5" w:rsidRDefault="00AA22B5" w:rsidP="007141BB">
      <w:pPr>
        <w:spacing w:after="0" w:line="240" w:lineRule="auto"/>
        <w:rPr>
          <w:rFonts w:ascii="Arial" w:hAnsi="Arial" w:cs="Arial"/>
        </w:rPr>
      </w:pPr>
    </w:p>
    <w:p w14:paraId="2548B2EC" w14:textId="4BD0365A" w:rsidR="004A183C" w:rsidRPr="00AA22B5" w:rsidRDefault="00713CD3" w:rsidP="004A183C">
      <w:pPr>
        <w:spacing w:after="0" w:line="240" w:lineRule="auto"/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0DC1EC72" wp14:editId="5EB1AC5C">
            <wp:extent cx="5153025" cy="36192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21" cy="36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DD99" w14:textId="2EEC700B" w:rsidR="004A183C" w:rsidRDefault="004A183C" w:rsidP="004A183C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Figure 2a. </w:t>
      </w:r>
      <w:r w:rsidRPr="00AA22B5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 xml:space="preserve">estimated </w:t>
      </w:r>
      <w:r w:rsidRPr="00AA22B5">
        <w:rPr>
          <w:rFonts w:ascii="Arial" w:hAnsi="Arial" w:cs="Arial"/>
          <w:bCs/>
        </w:rPr>
        <w:t>reproductive number over time</w:t>
      </w:r>
      <w:r>
        <w:rPr>
          <w:rFonts w:ascii="Arial" w:hAnsi="Arial" w:cs="Arial"/>
          <w:bCs/>
        </w:rPr>
        <w:t xml:space="preserve"> when no social distancing measures is relaxed</w:t>
      </w:r>
      <w:r w:rsidRPr="00AA22B5">
        <w:rPr>
          <w:rFonts w:ascii="Arial" w:hAnsi="Arial" w:cs="Arial"/>
          <w:bCs/>
        </w:rPr>
        <w:t>.</w:t>
      </w:r>
    </w:p>
    <w:p w14:paraId="414F9660" w14:textId="77777777" w:rsidR="004A183C" w:rsidRDefault="004A183C" w:rsidP="007141BB">
      <w:pPr>
        <w:spacing w:after="0" w:line="240" w:lineRule="auto"/>
        <w:rPr>
          <w:rFonts w:ascii="Arial" w:hAnsi="Arial" w:cs="Arial"/>
        </w:rPr>
      </w:pPr>
    </w:p>
    <w:p w14:paraId="5E165A4E" w14:textId="1953ABCF" w:rsidR="00AA22B5" w:rsidRDefault="004D6DCF" w:rsidP="007141BB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F2DD5F" wp14:editId="64198287">
            <wp:extent cx="5372100" cy="3773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838" cy="37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6CC" w14:textId="0D4B6EA8" w:rsidR="00AA22B5" w:rsidRDefault="009A686F" w:rsidP="007141BB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Figure 2</w:t>
      </w:r>
      <w:r w:rsidR="004A183C">
        <w:rPr>
          <w:rFonts w:ascii="Arial" w:hAnsi="Arial" w:cs="Arial"/>
          <w:bCs/>
        </w:rPr>
        <w:t>b</w:t>
      </w:r>
      <w:r>
        <w:rPr>
          <w:rFonts w:ascii="Arial" w:hAnsi="Arial" w:cs="Arial"/>
          <w:bCs/>
        </w:rPr>
        <w:t xml:space="preserve">. </w:t>
      </w:r>
      <w:r w:rsidR="00AA22B5" w:rsidRPr="00AA22B5">
        <w:rPr>
          <w:rFonts w:ascii="Arial" w:hAnsi="Arial" w:cs="Arial"/>
          <w:bCs/>
        </w:rPr>
        <w:t xml:space="preserve">The </w:t>
      </w:r>
      <w:r w:rsidR="00AC6BC3">
        <w:rPr>
          <w:rFonts w:ascii="Arial" w:hAnsi="Arial" w:cs="Arial"/>
          <w:bCs/>
        </w:rPr>
        <w:t xml:space="preserve">estimated </w:t>
      </w:r>
      <w:r w:rsidR="00AA22B5" w:rsidRPr="00AA22B5">
        <w:rPr>
          <w:rFonts w:ascii="Arial" w:hAnsi="Arial" w:cs="Arial"/>
          <w:bCs/>
        </w:rPr>
        <w:t>reproductive number over time</w:t>
      </w:r>
      <w:r w:rsidR="006F6FA3">
        <w:rPr>
          <w:rFonts w:ascii="Arial" w:hAnsi="Arial" w:cs="Arial"/>
          <w:bCs/>
        </w:rPr>
        <w:t xml:space="preserve"> when half of the population had their social distancing measures relaxed</w:t>
      </w:r>
      <w:r w:rsidR="00AA22B5" w:rsidRPr="00AA22B5">
        <w:rPr>
          <w:rFonts w:ascii="Arial" w:hAnsi="Arial" w:cs="Arial"/>
          <w:bCs/>
        </w:rPr>
        <w:t>.</w:t>
      </w:r>
    </w:p>
    <w:p w14:paraId="23352299" w14:textId="487D0D1E" w:rsidR="006F6FA3" w:rsidRDefault="006F6FA3" w:rsidP="007141BB">
      <w:pPr>
        <w:spacing w:after="0" w:line="240" w:lineRule="auto"/>
        <w:rPr>
          <w:rFonts w:ascii="Arial" w:hAnsi="Arial" w:cs="Arial"/>
          <w:bCs/>
        </w:rPr>
      </w:pPr>
    </w:p>
    <w:p w14:paraId="1E2BEFB6" w14:textId="77777777" w:rsidR="00AA22B5" w:rsidRDefault="00AA22B5" w:rsidP="007141BB">
      <w:pPr>
        <w:spacing w:after="0" w:line="240" w:lineRule="auto"/>
        <w:rPr>
          <w:rFonts w:ascii="Arial" w:hAnsi="Arial" w:cs="Arial"/>
          <w:b/>
          <w:bCs/>
        </w:rPr>
      </w:pPr>
    </w:p>
    <w:p w14:paraId="5066FA27" w14:textId="7DE0DA02" w:rsidR="00373058" w:rsidRPr="00617118" w:rsidRDefault="00373058" w:rsidP="007141BB">
      <w:pPr>
        <w:spacing w:after="0" w:line="240" w:lineRule="auto"/>
        <w:rPr>
          <w:rFonts w:ascii="Arial" w:hAnsi="Arial" w:cs="Arial"/>
          <w:b/>
          <w:bCs/>
        </w:rPr>
      </w:pPr>
      <w:r w:rsidRPr="00617118">
        <w:rPr>
          <w:rFonts w:ascii="Arial" w:hAnsi="Arial" w:cs="Arial" w:hint="eastAsia"/>
          <w:b/>
          <w:bCs/>
        </w:rPr>
        <w:t>B</w:t>
      </w:r>
      <w:r w:rsidRPr="00617118">
        <w:rPr>
          <w:rFonts w:ascii="Arial" w:hAnsi="Arial" w:cs="Arial"/>
          <w:b/>
          <w:bCs/>
        </w:rPr>
        <w:t>i</w:t>
      </w:r>
      <w:r w:rsidR="00617118" w:rsidRPr="00617118">
        <w:rPr>
          <w:rFonts w:ascii="Arial" w:hAnsi="Arial" w:cs="Arial"/>
          <w:b/>
          <w:bCs/>
        </w:rPr>
        <w:t>bli</w:t>
      </w:r>
      <w:r w:rsidRPr="00617118">
        <w:rPr>
          <w:rFonts w:ascii="Arial" w:hAnsi="Arial" w:cs="Arial"/>
          <w:b/>
          <w:bCs/>
        </w:rPr>
        <w:t>o</w:t>
      </w:r>
      <w:r w:rsidR="00617118" w:rsidRPr="00617118">
        <w:rPr>
          <w:rFonts w:ascii="Arial" w:hAnsi="Arial" w:cs="Arial"/>
          <w:b/>
          <w:bCs/>
        </w:rPr>
        <w:t>graphy</w:t>
      </w:r>
    </w:p>
    <w:p w14:paraId="166848A5" w14:textId="77777777" w:rsidR="00085610" w:rsidRPr="00085610" w:rsidRDefault="006458DE" w:rsidP="00085610">
      <w:pPr>
        <w:pStyle w:val="Bibliography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085610"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="00085610" w:rsidRPr="00085610">
        <w:rPr>
          <w:rFonts w:ascii="Arial" w:hAnsi="Arial" w:cs="Arial"/>
        </w:rPr>
        <w:t>[1]</w:t>
      </w:r>
      <w:r w:rsidR="00085610" w:rsidRPr="00085610">
        <w:rPr>
          <w:rFonts w:ascii="Arial" w:hAnsi="Arial" w:cs="Arial"/>
        </w:rPr>
        <w:tab/>
        <w:t xml:space="preserve">C. Wang, P. W. Horby, F. G. Hayden, and G. F. Gao, “A novel coronavirus outbreak of global health concern,” </w:t>
      </w:r>
      <w:r w:rsidR="00085610" w:rsidRPr="00085610">
        <w:rPr>
          <w:rFonts w:ascii="Arial" w:hAnsi="Arial" w:cs="Arial"/>
          <w:i/>
          <w:iCs/>
        </w:rPr>
        <w:t>The Lancet</w:t>
      </w:r>
      <w:r w:rsidR="00085610" w:rsidRPr="00085610">
        <w:rPr>
          <w:rFonts w:ascii="Arial" w:hAnsi="Arial" w:cs="Arial"/>
        </w:rPr>
        <w:t>, vol. 395, no. 10223, pp. 470–473, Feb. 2020, doi: 10.1016/S0140-6736(20)30185-9.</w:t>
      </w:r>
    </w:p>
    <w:p w14:paraId="39B7A933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[2]</w:t>
      </w:r>
      <w:r w:rsidRPr="00085610">
        <w:rPr>
          <w:rFonts w:ascii="Arial" w:hAnsi="Arial" w:cs="Arial"/>
        </w:rPr>
        <w:tab/>
        <w:t xml:space="preserve">C. Sohrabi </w:t>
      </w:r>
      <w:r w:rsidRPr="00085610">
        <w:rPr>
          <w:rFonts w:ascii="Arial" w:hAnsi="Arial" w:cs="Arial"/>
          <w:i/>
          <w:iCs/>
        </w:rPr>
        <w:t>et al.</w:t>
      </w:r>
      <w:r w:rsidRPr="00085610">
        <w:rPr>
          <w:rFonts w:ascii="Arial" w:hAnsi="Arial" w:cs="Arial"/>
        </w:rPr>
        <w:t xml:space="preserve">, “World Health Organization declares global emergency: A review of the 2019 novel coronavirus (COVID-19),” </w:t>
      </w:r>
      <w:r w:rsidRPr="00085610">
        <w:rPr>
          <w:rFonts w:ascii="Arial" w:hAnsi="Arial" w:cs="Arial"/>
          <w:i/>
          <w:iCs/>
        </w:rPr>
        <w:t>International Journal of Surgery</w:t>
      </w:r>
      <w:r w:rsidRPr="00085610">
        <w:rPr>
          <w:rFonts w:ascii="Arial" w:hAnsi="Arial" w:cs="Arial"/>
        </w:rPr>
        <w:t>, vol. 76, pp. 71–76, Apr. 2020, doi: 10.1016/j.ijsu.2020.02.034.</w:t>
      </w:r>
    </w:p>
    <w:p w14:paraId="55E2D966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[3]</w:t>
      </w:r>
      <w:r w:rsidRPr="00085610">
        <w:rPr>
          <w:rFonts w:ascii="Arial" w:hAnsi="Arial" w:cs="Arial"/>
        </w:rPr>
        <w:tab/>
        <w:t xml:space="preserve">“COVID-19 coronavirus pandemic,” </w:t>
      </w:r>
      <w:r w:rsidRPr="00085610">
        <w:rPr>
          <w:rFonts w:ascii="Arial" w:hAnsi="Arial" w:cs="Arial"/>
          <w:i/>
          <w:iCs/>
        </w:rPr>
        <w:t>Worldometer</w:t>
      </w:r>
      <w:r w:rsidRPr="00085610">
        <w:rPr>
          <w:rFonts w:ascii="Arial" w:hAnsi="Arial" w:cs="Arial"/>
        </w:rPr>
        <w:t>, Aug. 06, 2021. https://www.worldometers.info/coronavirus/#countries</w:t>
      </w:r>
    </w:p>
    <w:p w14:paraId="7ABB1004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[4]</w:t>
      </w:r>
      <w:r w:rsidRPr="00085610">
        <w:rPr>
          <w:rFonts w:ascii="Arial" w:hAnsi="Arial" w:cs="Arial"/>
        </w:rPr>
        <w:tab/>
        <w:t xml:space="preserve">K. Kupferschmidt, “Mutant coronavirus in the United Kingdom sets off alarms, but its importance remains unclear,” </w:t>
      </w:r>
      <w:r w:rsidRPr="00085610">
        <w:rPr>
          <w:rFonts w:ascii="Arial" w:hAnsi="Arial" w:cs="Arial"/>
          <w:i/>
          <w:iCs/>
        </w:rPr>
        <w:t>Science</w:t>
      </w:r>
      <w:r w:rsidRPr="00085610">
        <w:rPr>
          <w:rFonts w:ascii="Arial" w:hAnsi="Arial" w:cs="Arial"/>
        </w:rPr>
        <w:t>, Dec. 20, 2020. [Online]. Available: https://www.sciencemag.org/news/2020/12/mutant-coronavirus-united-kingdom-sets-alarms-its-importance-remains-unclear</w:t>
      </w:r>
    </w:p>
    <w:p w14:paraId="75627438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[5]</w:t>
      </w:r>
      <w:r w:rsidRPr="00085610">
        <w:rPr>
          <w:rFonts w:ascii="Arial" w:hAnsi="Arial" w:cs="Arial"/>
        </w:rPr>
        <w:tab/>
        <w:t>UK Parliament, “SARS-CoV-2 virus variants: a year into the COVID-19 pandemic,” Jan. 27, 2021. https://post.parliament.uk/sars-cov-2-virus-variants-a-year-into-the-covid-19-pandemic/</w:t>
      </w:r>
    </w:p>
    <w:p w14:paraId="5D117177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[6]</w:t>
      </w:r>
      <w:r w:rsidRPr="00085610">
        <w:rPr>
          <w:rFonts w:ascii="Arial" w:hAnsi="Arial" w:cs="Arial"/>
        </w:rPr>
        <w:tab/>
        <w:t>World Health Organization, “Tracking SARS-CoV-2 variants,” Aug. 01, 2021. https://www.who.int/en/activities/tracking-SARS-CoV-2-variants/</w:t>
      </w:r>
    </w:p>
    <w:p w14:paraId="013ADC71" w14:textId="77777777" w:rsidR="00085610" w:rsidRPr="00085610" w:rsidRDefault="00085610" w:rsidP="00085610">
      <w:pPr>
        <w:pStyle w:val="Bibliography"/>
        <w:rPr>
          <w:rFonts w:ascii="Arial" w:hAnsi="Arial" w:cs="Arial"/>
        </w:rPr>
      </w:pPr>
      <w:r w:rsidRPr="00085610">
        <w:rPr>
          <w:rFonts w:ascii="Arial" w:hAnsi="Arial" w:cs="Arial"/>
        </w:rPr>
        <w:t>[7]</w:t>
      </w:r>
      <w:r w:rsidRPr="00085610">
        <w:rPr>
          <w:rFonts w:ascii="Arial" w:hAnsi="Arial" w:cs="Arial"/>
        </w:rPr>
        <w:tab/>
        <w:t xml:space="preserve">C. Cookson, O. Barnes, and J. Burn-Murdoch, “Why are Covid vaccine boosters needed and who in the UK will receive them?,” </w:t>
      </w:r>
      <w:r w:rsidRPr="00085610">
        <w:rPr>
          <w:rFonts w:ascii="Arial" w:hAnsi="Arial" w:cs="Arial"/>
          <w:i/>
          <w:iCs/>
        </w:rPr>
        <w:t>Financial Times</w:t>
      </w:r>
      <w:r w:rsidRPr="00085610">
        <w:rPr>
          <w:rFonts w:ascii="Arial" w:hAnsi="Arial" w:cs="Arial"/>
        </w:rPr>
        <w:t>, Sep. 15, 2021. [Online]. Available: https://www.ft.com/content/cf83b3a1-fe06-4c9f-999c-7500090aee7c</w:t>
      </w:r>
    </w:p>
    <w:p w14:paraId="5F1B3F0C" w14:textId="6C0C31C6" w:rsidR="00EF1D05" w:rsidRPr="00087F0E" w:rsidRDefault="006458DE" w:rsidP="007141B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EF1D05" w:rsidRPr="00087F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1CBC" w14:textId="77777777" w:rsidR="007523A9" w:rsidRDefault="007523A9" w:rsidP="00E94F6C">
      <w:pPr>
        <w:spacing w:after="0" w:line="240" w:lineRule="auto"/>
      </w:pPr>
      <w:r>
        <w:separator/>
      </w:r>
    </w:p>
  </w:endnote>
  <w:endnote w:type="continuationSeparator" w:id="0">
    <w:p w14:paraId="72B962BC" w14:textId="77777777" w:rsidR="007523A9" w:rsidRDefault="007523A9" w:rsidP="00E9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AC75" w14:textId="77777777" w:rsidR="00285FE4" w:rsidRDefault="00285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291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E851C" w14:textId="11114ACF" w:rsidR="00285FE4" w:rsidRDefault="00285F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DC5A9" w14:textId="77777777" w:rsidR="00285FE4" w:rsidRDefault="00285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77B1" w14:textId="77777777" w:rsidR="00285FE4" w:rsidRDefault="0028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F2C4" w14:textId="77777777" w:rsidR="007523A9" w:rsidRDefault="007523A9" w:rsidP="00E94F6C">
      <w:pPr>
        <w:spacing w:after="0" w:line="240" w:lineRule="auto"/>
      </w:pPr>
      <w:r>
        <w:separator/>
      </w:r>
    </w:p>
  </w:footnote>
  <w:footnote w:type="continuationSeparator" w:id="0">
    <w:p w14:paraId="1763F28D" w14:textId="77777777" w:rsidR="007523A9" w:rsidRDefault="007523A9" w:rsidP="00E9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1C52" w14:textId="77777777" w:rsidR="00285FE4" w:rsidRDefault="002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D2BE" w14:textId="77777777" w:rsidR="00285FE4" w:rsidRDefault="002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77E0" w14:textId="77777777" w:rsidR="00285FE4" w:rsidRDefault="002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AF5"/>
    <w:multiLevelType w:val="hybridMultilevel"/>
    <w:tmpl w:val="35B60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220E"/>
    <w:multiLevelType w:val="hybridMultilevel"/>
    <w:tmpl w:val="5CD6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4B"/>
    <w:rsid w:val="00001BF8"/>
    <w:rsid w:val="00002687"/>
    <w:rsid w:val="00004B3C"/>
    <w:rsid w:val="000103D6"/>
    <w:rsid w:val="00043243"/>
    <w:rsid w:val="00050141"/>
    <w:rsid w:val="00066C3B"/>
    <w:rsid w:val="00074420"/>
    <w:rsid w:val="00076DFA"/>
    <w:rsid w:val="00085610"/>
    <w:rsid w:val="00087F0E"/>
    <w:rsid w:val="00091155"/>
    <w:rsid w:val="000B1C97"/>
    <w:rsid w:val="000B1E54"/>
    <w:rsid w:val="000C20BF"/>
    <w:rsid w:val="000D2D0E"/>
    <w:rsid w:val="001004FC"/>
    <w:rsid w:val="00117AC3"/>
    <w:rsid w:val="00137686"/>
    <w:rsid w:val="00167156"/>
    <w:rsid w:val="001776BD"/>
    <w:rsid w:val="001A398E"/>
    <w:rsid w:val="001A677A"/>
    <w:rsid w:val="001B663D"/>
    <w:rsid w:val="001C3BA2"/>
    <w:rsid w:val="001C6D8A"/>
    <w:rsid w:val="001F0326"/>
    <w:rsid w:val="00201A04"/>
    <w:rsid w:val="0020558A"/>
    <w:rsid w:val="00205955"/>
    <w:rsid w:val="00216CC8"/>
    <w:rsid w:val="002839BC"/>
    <w:rsid w:val="00285379"/>
    <w:rsid w:val="00285FE4"/>
    <w:rsid w:val="00296F15"/>
    <w:rsid w:val="002C6806"/>
    <w:rsid w:val="002D3FFC"/>
    <w:rsid w:val="002D6CE6"/>
    <w:rsid w:val="002E4835"/>
    <w:rsid w:val="002F2590"/>
    <w:rsid w:val="002F6575"/>
    <w:rsid w:val="003046AF"/>
    <w:rsid w:val="00313732"/>
    <w:rsid w:val="0032195A"/>
    <w:rsid w:val="00360D45"/>
    <w:rsid w:val="00370584"/>
    <w:rsid w:val="00373058"/>
    <w:rsid w:val="00380268"/>
    <w:rsid w:val="003808DA"/>
    <w:rsid w:val="00394C6F"/>
    <w:rsid w:val="003C07C8"/>
    <w:rsid w:val="003C3E90"/>
    <w:rsid w:val="003C67D6"/>
    <w:rsid w:val="003D202C"/>
    <w:rsid w:val="004066D9"/>
    <w:rsid w:val="00410012"/>
    <w:rsid w:val="00414FA4"/>
    <w:rsid w:val="00423830"/>
    <w:rsid w:val="004445BA"/>
    <w:rsid w:val="00463957"/>
    <w:rsid w:val="00472EEF"/>
    <w:rsid w:val="00476519"/>
    <w:rsid w:val="004778FF"/>
    <w:rsid w:val="00490BBF"/>
    <w:rsid w:val="004958C4"/>
    <w:rsid w:val="004A05FD"/>
    <w:rsid w:val="004A183C"/>
    <w:rsid w:val="004A23F0"/>
    <w:rsid w:val="004C0082"/>
    <w:rsid w:val="004C44AD"/>
    <w:rsid w:val="004D6DCF"/>
    <w:rsid w:val="004F2A29"/>
    <w:rsid w:val="004F6F54"/>
    <w:rsid w:val="005006C9"/>
    <w:rsid w:val="0050384E"/>
    <w:rsid w:val="00503AF4"/>
    <w:rsid w:val="00504783"/>
    <w:rsid w:val="00517304"/>
    <w:rsid w:val="005611A9"/>
    <w:rsid w:val="005A097C"/>
    <w:rsid w:val="005A34A1"/>
    <w:rsid w:val="005B60A4"/>
    <w:rsid w:val="005B6A42"/>
    <w:rsid w:val="005E7C83"/>
    <w:rsid w:val="005F4E77"/>
    <w:rsid w:val="00604B80"/>
    <w:rsid w:val="0060779F"/>
    <w:rsid w:val="0061320C"/>
    <w:rsid w:val="00617118"/>
    <w:rsid w:val="006176CB"/>
    <w:rsid w:val="006275F6"/>
    <w:rsid w:val="006360EE"/>
    <w:rsid w:val="006458DE"/>
    <w:rsid w:val="006606C9"/>
    <w:rsid w:val="006648C9"/>
    <w:rsid w:val="006A6271"/>
    <w:rsid w:val="006A6D94"/>
    <w:rsid w:val="006B3442"/>
    <w:rsid w:val="006C35CD"/>
    <w:rsid w:val="006D2BF9"/>
    <w:rsid w:val="006F1FF5"/>
    <w:rsid w:val="006F6FA3"/>
    <w:rsid w:val="007038FD"/>
    <w:rsid w:val="00713CD3"/>
    <w:rsid w:val="007141BB"/>
    <w:rsid w:val="00721E50"/>
    <w:rsid w:val="00732C29"/>
    <w:rsid w:val="00733C98"/>
    <w:rsid w:val="00743E43"/>
    <w:rsid w:val="007440C6"/>
    <w:rsid w:val="007523A9"/>
    <w:rsid w:val="0076003A"/>
    <w:rsid w:val="00770441"/>
    <w:rsid w:val="007824D1"/>
    <w:rsid w:val="007A0D3D"/>
    <w:rsid w:val="007A1E4F"/>
    <w:rsid w:val="007A4BA6"/>
    <w:rsid w:val="007B014C"/>
    <w:rsid w:val="007B5845"/>
    <w:rsid w:val="007E3B6D"/>
    <w:rsid w:val="007E4D43"/>
    <w:rsid w:val="007F61ED"/>
    <w:rsid w:val="0080258D"/>
    <w:rsid w:val="00806A73"/>
    <w:rsid w:val="00832FA2"/>
    <w:rsid w:val="008338D3"/>
    <w:rsid w:val="008361EB"/>
    <w:rsid w:val="0084057E"/>
    <w:rsid w:val="0084788A"/>
    <w:rsid w:val="00847B4B"/>
    <w:rsid w:val="0086468A"/>
    <w:rsid w:val="008647A6"/>
    <w:rsid w:val="00887B96"/>
    <w:rsid w:val="00894D07"/>
    <w:rsid w:val="008B24F2"/>
    <w:rsid w:val="008E4973"/>
    <w:rsid w:val="008F650E"/>
    <w:rsid w:val="00904C52"/>
    <w:rsid w:val="00912E88"/>
    <w:rsid w:val="0093511C"/>
    <w:rsid w:val="00942914"/>
    <w:rsid w:val="00946F5F"/>
    <w:rsid w:val="009511BF"/>
    <w:rsid w:val="00972975"/>
    <w:rsid w:val="00983663"/>
    <w:rsid w:val="00997EEE"/>
    <w:rsid w:val="009A686F"/>
    <w:rsid w:val="009C0E89"/>
    <w:rsid w:val="009C35F8"/>
    <w:rsid w:val="009E48EC"/>
    <w:rsid w:val="009F15C7"/>
    <w:rsid w:val="00A0520F"/>
    <w:rsid w:val="00A20E2D"/>
    <w:rsid w:val="00A726A0"/>
    <w:rsid w:val="00A75A19"/>
    <w:rsid w:val="00A7774A"/>
    <w:rsid w:val="00A87973"/>
    <w:rsid w:val="00AA22B5"/>
    <w:rsid w:val="00AA31C0"/>
    <w:rsid w:val="00AC63CC"/>
    <w:rsid w:val="00AC6BC3"/>
    <w:rsid w:val="00AC7031"/>
    <w:rsid w:val="00AE0668"/>
    <w:rsid w:val="00AE6D81"/>
    <w:rsid w:val="00AF41B5"/>
    <w:rsid w:val="00B03997"/>
    <w:rsid w:val="00B07976"/>
    <w:rsid w:val="00B10F94"/>
    <w:rsid w:val="00B1244D"/>
    <w:rsid w:val="00B31F73"/>
    <w:rsid w:val="00B429F6"/>
    <w:rsid w:val="00B54220"/>
    <w:rsid w:val="00B9239D"/>
    <w:rsid w:val="00B94D62"/>
    <w:rsid w:val="00BC5AD9"/>
    <w:rsid w:val="00BC66F0"/>
    <w:rsid w:val="00BD2A70"/>
    <w:rsid w:val="00BD3030"/>
    <w:rsid w:val="00BF65DE"/>
    <w:rsid w:val="00C049D0"/>
    <w:rsid w:val="00C130C8"/>
    <w:rsid w:val="00C31DD4"/>
    <w:rsid w:val="00C43A1B"/>
    <w:rsid w:val="00C57054"/>
    <w:rsid w:val="00C7197A"/>
    <w:rsid w:val="00C7407C"/>
    <w:rsid w:val="00C84933"/>
    <w:rsid w:val="00C9208A"/>
    <w:rsid w:val="00CB7ACE"/>
    <w:rsid w:val="00CD3698"/>
    <w:rsid w:val="00CD416F"/>
    <w:rsid w:val="00CD4F74"/>
    <w:rsid w:val="00CD5EA1"/>
    <w:rsid w:val="00CF012E"/>
    <w:rsid w:val="00CF435C"/>
    <w:rsid w:val="00D3159B"/>
    <w:rsid w:val="00D3504C"/>
    <w:rsid w:val="00D47F1A"/>
    <w:rsid w:val="00D6086F"/>
    <w:rsid w:val="00D632E4"/>
    <w:rsid w:val="00D70DB0"/>
    <w:rsid w:val="00D77B9D"/>
    <w:rsid w:val="00D84451"/>
    <w:rsid w:val="00D90EC1"/>
    <w:rsid w:val="00D91F7D"/>
    <w:rsid w:val="00D956C6"/>
    <w:rsid w:val="00DB21A8"/>
    <w:rsid w:val="00DC7C36"/>
    <w:rsid w:val="00DE6AF0"/>
    <w:rsid w:val="00E01C28"/>
    <w:rsid w:val="00E04EA4"/>
    <w:rsid w:val="00E109DB"/>
    <w:rsid w:val="00E119F0"/>
    <w:rsid w:val="00E1256B"/>
    <w:rsid w:val="00E27FE4"/>
    <w:rsid w:val="00E35F94"/>
    <w:rsid w:val="00E5305A"/>
    <w:rsid w:val="00E54AFE"/>
    <w:rsid w:val="00E57381"/>
    <w:rsid w:val="00E76192"/>
    <w:rsid w:val="00E76E8C"/>
    <w:rsid w:val="00E82B2F"/>
    <w:rsid w:val="00E83565"/>
    <w:rsid w:val="00E8683F"/>
    <w:rsid w:val="00E90A07"/>
    <w:rsid w:val="00E94F6C"/>
    <w:rsid w:val="00E96E80"/>
    <w:rsid w:val="00EA385B"/>
    <w:rsid w:val="00EA6DBE"/>
    <w:rsid w:val="00EB6EB7"/>
    <w:rsid w:val="00ED0683"/>
    <w:rsid w:val="00EF0579"/>
    <w:rsid w:val="00EF1D05"/>
    <w:rsid w:val="00F0317A"/>
    <w:rsid w:val="00F13FFB"/>
    <w:rsid w:val="00F14947"/>
    <w:rsid w:val="00F24895"/>
    <w:rsid w:val="00F36223"/>
    <w:rsid w:val="00F422F4"/>
    <w:rsid w:val="00F45AFB"/>
    <w:rsid w:val="00F63558"/>
    <w:rsid w:val="00F741B6"/>
    <w:rsid w:val="00F8044D"/>
    <w:rsid w:val="00F82956"/>
    <w:rsid w:val="00F86D91"/>
    <w:rsid w:val="00FA53BE"/>
    <w:rsid w:val="00FB69F8"/>
    <w:rsid w:val="00FD3BB0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A88D"/>
  <w15:chartTrackingRefBased/>
  <w15:docId w15:val="{91550CCA-2FFA-49BB-BBEE-9DA9E3E0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73058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5B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A4"/>
  </w:style>
  <w:style w:type="paragraph" w:styleId="Footer">
    <w:name w:val="footer"/>
    <w:basedOn w:val="Normal"/>
    <w:link w:val="FooterChar"/>
    <w:uiPriority w:val="99"/>
    <w:unhideWhenUsed/>
    <w:rsid w:val="005B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A4"/>
  </w:style>
  <w:style w:type="character" w:customStyle="1" w:styleId="CommentTextChar">
    <w:name w:val="Comment Text Char"/>
    <w:basedOn w:val="DefaultParagraphFont"/>
    <w:link w:val="CommentText"/>
    <w:uiPriority w:val="99"/>
    <w:rsid w:val="005B60A4"/>
  </w:style>
  <w:style w:type="paragraph" w:styleId="CommentText">
    <w:name w:val="annotation text"/>
    <w:basedOn w:val="Normal"/>
    <w:link w:val="CommentTextChar"/>
    <w:uiPriority w:val="99"/>
    <w:unhideWhenUsed/>
    <w:rsid w:val="005B60A4"/>
    <w:pPr>
      <w:widowControl w:val="0"/>
      <w:spacing w:after="0" w:line="240" w:lineRule="auto"/>
    </w:pPr>
  </w:style>
  <w:style w:type="character" w:customStyle="1" w:styleId="CommentTextChar1">
    <w:name w:val="Comment Text Char1"/>
    <w:basedOn w:val="DefaultParagraphFont"/>
    <w:uiPriority w:val="99"/>
    <w:semiHidden/>
    <w:rsid w:val="005B60A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B60A4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0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6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94CD-4904-4E5A-A10C-7F9F06F8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8459</TotalTime>
  <Pages>5</Pages>
  <Words>3557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Kendra WU</dc:creator>
  <cp:keywords/>
  <dc:description/>
  <cp:lastModifiedBy>Kendra Wu</cp:lastModifiedBy>
  <cp:revision>21</cp:revision>
  <dcterms:created xsi:type="dcterms:W3CDTF">2021-10-20T06:52:00Z</dcterms:created>
  <dcterms:modified xsi:type="dcterms:W3CDTF">2021-12-14T09:25:00Z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id="cSq3PBte"/&gt;&lt;style id="http://www.zotero.org/styles/ieee" locale="en-US" hasBibliography="1" bibliographyStyleHasBeenSet="1"/&gt;&lt;prefs&gt;&lt;pref name="fieldType" value="Field"/&gt;&lt;/prefs&gt;&lt;/data&gt;</vt:lpwstr>
  </property>
</Properties>
</file>