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AB0FD" w14:textId="77777777" w:rsidR="00801E1D" w:rsidRDefault="00801E1D" w:rsidP="00801E1D">
      <w:pPr>
        <w:rPr>
          <w:highlight w:val="red"/>
        </w:rPr>
      </w:pPr>
    </w:p>
    <w:p w14:paraId="7334BD56" w14:textId="37100A26" w:rsidR="00801E1D" w:rsidRDefault="00801E1D" w:rsidP="00801E1D">
      <w:pPr>
        <w:jc w:val="center"/>
        <w:rPr>
          <w:b/>
          <w:bCs/>
          <w:color w:val="000000" w:themeColor="text1"/>
          <w:sz w:val="36"/>
          <w:szCs w:val="36"/>
        </w:rPr>
      </w:pPr>
      <w:r w:rsidRPr="00636464">
        <w:rPr>
          <w:noProof/>
          <w:color w:val="000000" w:themeColor="text1"/>
        </w:rPr>
        <w:drawing>
          <wp:anchor distT="0" distB="0" distL="114300" distR="114300" simplePos="0" relativeHeight="251661312" behindDoc="0" locked="0" layoutInCell="1" allowOverlap="1" wp14:anchorId="7D62197C" wp14:editId="7F8B056F">
            <wp:simplePos x="0" y="0"/>
            <wp:positionH relativeFrom="margin">
              <wp:posOffset>1208186</wp:posOffset>
            </wp:positionH>
            <wp:positionV relativeFrom="paragraph">
              <wp:posOffset>293370</wp:posOffset>
            </wp:positionV>
            <wp:extent cx="3676650" cy="1761490"/>
            <wp:effectExtent l="0" t="0" r="0" b="0"/>
            <wp:wrapThrough wrapText="bothSides">
              <wp:wrapPolygon edited="0">
                <wp:start x="0" y="0"/>
                <wp:lineTo x="0" y="21257"/>
                <wp:lineTo x="21488" y="21257"/>
                <wp:lineTo x="21488" y="0"/>
                <wp:lineTo x="0" y="0"/>
              </wp:wrapPolygon>
            </wp:wrapThrough>
            <wp:docPr id="1288689753" name="Picture 128868975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89753" name="Picture 1" descr="A close-up of a logo&#10;&#10;Description automatically generated"/>
                    <pic:cNvPicPr/>
                  </pic:nvPicPr>
                  <pic:blipFill rotWithShape="1">
                    <a:blip r:embed="rId5">
                      <a:extLst>
                        <a:ext uri="{28A0092B-C50C-407E-A947-70E740481C1C}">
                          <a14:useLocalDpi xmlns:a14="http://schemas.microsoft.com/office/drawing/2010/main" val="0"/>
                        </a:ext>
                      </a:extLst>
                    </a:blip>
                    <a:srcRect r="3448"/>
                    <a:stretch/>
                  </pic:blipFill>
                  <pic:spPr bwMode="auto">
                    <a:xfrm>
                      <a:off x="0" y="0"/>
                      <a:ext cx="3676650" cy="1761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508DDE" w14:textId="77777777" w:rsidR="00801E1D" w:rsidRDefault="00801E1D" w:rsidP="00801E1D">
      <w:pPr>
        <w:jc w:val="center"/>
        <w:rPr>
          <w:b/>
          <w:bCs/>
          <w:color w:val="000000" w:themeColor="text1"/>
          <w:sz w:val="36"/>
          <w:szCs w:val="36"/>
        </w:rPr>
      </w:pPr>
    </w:p>
    <w:p w14:paraId="325F60C8" w14:textId="77777777" w:rsidR="00801E1D" w:rsidRDefault="00801E1D" w:rsidP="00801E1D">
      <w:pPr>
        <w:jc w:val="center"/>
        <w:rPr>
          <w:b/>
          <w:bCs/>
          <w:color w:val="000000" w:themeColor="text1"/>
          <w:sz w:val="36"/>
          <w:szCs w:val="36"/>
        </w:rPr>
      </w:pPr>
    </w:p>
    <w:p w14:paraId="1010980D" w14:textId="77777777" w:rsidR="00801E1D" w:rsidRDefault="00801E1D" w:rsidP="00801E1D">
      <w:pPr>
        <w:jc w:val="center"/>
        <w:rPr>
          <w:b/>
          <w:bCs/>
          <w:color w:val="000000" w:themeColor="text1"/>
          <w:sz w:val="36"/>
          <w:szCs w:val="36"/>
        </w:rPr>
      </w:pPr>
    </w:p>
    <w:p w14:paraId="67A5D175" w14:textId="77777777" w:rsidR="00801E1D" w:rsidRDefault="00801E1D" w:rsidP="00801E1D">
      <w:pPr>
        <w:jc w:val="center"/>
        <w:rPr>
          <w:b/>
          <w:bCs/>
          <w:color w:val="000000" w:themeColor="text1"/>
          <w:sz w:val="36"/>
          <w:szCs w:val="36"/>
        </w:rPr>
      </w:pPr>
    </w:p>
    <w:p w14:paraId="5F61722F" w14:textId="77777777" w:rsidR="00801E1D" w:rsidRDefault="00801E1D" w:rsidP="00801E1D">
      <w:pPr>
        <w:jc w:val="center"/>
        <w:rPr>
          <w:b/>
          <w:bCs/>
          <w:color w:val="000000" w:themeColor="text1"/>
          <w:sz w:val="36"/>
          <w:szCs w:val="36"/>
        </w:rPr>
      </w:pPr>
    </w:p>
    <w:p w14:paraId="38665881" w14:textId="77777777" w:rsidR="00801E1D" w:rsidRDefault="00801E1D" w:rsidP="00801E1D">
      <w:pPr>
        <w:jc w:val="center"/>
        <w:rPr>
          <w:b/>
          <w:bCs/>
          <w:color w:val="000000" w:themeColor="text1"/>
          <w:sz w:val="36"/>
          <w:szCs w:val="36"/>
        </w:rPr>
      </w:pPr>
    </w:p>
    <w:p w14:paraId="495E2820" w14:textId="77777777" w:rsidR="00801E1D" w:rsidRDefault="00801E1D" w:rsidP="00801E1D">
      <w:pPr>
        <w:jc w:val="center"/>
        <w:rPr>
          <w:b/>
          <w:bCs/>
          <w:color w:val="000000" w:themeColor="text1"/>
          <w:sz w:val="36"/>
          <w:szCs w:val="36"/>
        </w:rPr>
      </w:pPr>
    </w:p>
    <w:p w14:paraId="3C36369B" w14:textId="77777777" w:rsidR="00801E1D" w:rsidRDefault="00801E1D" w:rsidP="00801E1D">
      <w:pPr>
        <w:jc w:val="center"/>
        <w:rPr>
          <w:b/>
          <w:bCs/>
          <w:color w:val="000000" w:themeColor="text1"/>
          <w:sz w:val="36"/>
          <w:szCs w:val="36"/>
        </w:rPr>
      </w:pPr>
    </w:p>
    <w:p w14:paraId="06D9B021" w14:textId="77777777" w:rsidR="00801E1D" w:rsidRDefault="00801E1D" w:rsidP="00801E1D">
      <w:pPr>
        <w:jc w:val="center"/>
        <w:rPr>
          <w:b/>
          <w:bCs/>
          <w:color w:val="000000" w:themeColor="text1"/>
          <w:sz w:val="36"/>
          <w:szCs w:val="36"/>
        </w:rPr>
      </w:pPr>
    </w:p>
    <w:p w14:paraId="2CC79B95" w14:textId="29FD53BD" w:rsidR="00801E1D" w:rsidRDefault="00801E1D" w:rsidP="00801E1D">
      <w:pPr>
        <w:rPr>
          <w:b/>
          <w:bCs/>
          <w:color w:val="000000" w:themeColor="text1"/>
          <w:sz w:val="36"/>
          <w:szCs w:val="36"/>
        </w:rPr>
      </w:pPr>
    </w:p>
    <w:p w14:paraId="00A873AE" w14:textId="77777777" w:rsidR="00801E1D" w:rsidRDefault="00801E1D" w:rsidP="00801E1D">
      <w:pPr>
        <w:jc w:val="center"/>
        <w:rPr>
          <w:b/>
          <w:bCs/>
          <w:color w:val="000000" w:themeColor="text1"/>
          <w:sz w:val="36"/>
          <w:szCs w:val="36"/>
        </w:rPr>
      </w:pPr>
    </w:p>
    <w:p w14:paraId="596A97CD" w14:textId="2D19B77F" w:rsidR="00801E1D" w:rsidRDefault="00801E1D" w:rsidP="00801E1D">
      <w:pPr>
        <w:jc w:val="center"/>
        <w:rPr>
          <w:b/>
          <w:bCs/>
          <w:color w:val="000000" w:themeColor="text1"/>
          <w:sz w:val="36"/>
          <w:szCs w:val="36"/>
        </w:rPr>
      </w:pPr>
      <w:r>
        <w:rPr>
          <w:b/>
          <w:bCs/>
          <w:color w:val="000000" w:themeColor="text1"/>
          <w:sz w:val="36"/>
          <w:szCs w:val="36"/>
        </w:rPr>
        <w:t>Final Project</w:t>
      </w:r>
    </w:p>
    <w:p w14:paraId="694E7926" w14:textId="0790F311" w:rsidR="00801E1D" w:rsidRPr="00B95E1C" w:rsidRDefault="00801E1D" w:rsidP="00801E1D">
      <w:pPr>
        <w:jc w:val="center"/>
        <w:rPr>
          <w:sz w:val="20"/>
        </w:rPr>
      </w:pPr>
      <w:r w:rsidRPr="00B95E1C">
        <w:rPr>
          <w:color w:val="000000" w:themeColor="text1"/>
          <w:sz w:val="32"/>
          <w:szCs w:val="32"/>
        </w:rPr>
        <w:t>QF63</w:t>
      </w:r>
      <w:r>
        <w:rPr>
          <w:color w:val="000000" w:themeColor="text1"/>
          <w:sz w:val="32"/>
          <w:szCs w:val="32"/>
        </w:rPr>
        <w:t>3</w:t>
      </w:r>
      <w:r w:rsidRPr="00B95E1C">
        <w:rPr>
          <w:color w:val="000000" w:themeColor="text1"/>
          <w:sz w:val="32"/>
          <w:szCs w:val="32"/>
        </w:rPr>
        <w:t xml:space="preserve"> – </w:t>
      </w:r>
      <w:r>
        <w:rPr>
          <w:color w:val="000000" w:themeColor="text1"/>
          <w:sz w:val="32"/>
          <w:szCs w:val="32"/>
        </w:rPr>
        <w:t>C++ for Financial Engineering</w:t>
      </w:r>
    </w:p>
    <w:p w14:paraId="028A9EC5" w14:textId="77777777" w:rsidR="00801E1D" w:rsidRDefault="00801E1D" w:rsidP="00801E1D">
      <w:pPr>
        <w:jc w:val="center"/>
      </w:pPr>
    </w:p>
    <w:p w14:paraId="1AF997A0" w14:textId="77777777" w:rsidR="00801E1D" w:rsidRDefault="00801E1D" w:rsidP="00801E1D">
      <w:pPr>
        <w:jc w:val="center"/>
      </w:pPr>
    </w:p>
    <w:p w14:paraId="743AA778" w14:textId="153A432E" w:rsidR="00801E1D" w:rsidRDefault="00801E1D" w:rsidP="00801E1D">
      <w:pPr>
        <w:jc w:val="center"/>
      </w:pPr>
    </w:p>
    <w:p w14:paraId="773002F7" w14:textId="77777777" w:rsidR="00801E1D" w:rsidRDefault="00801E1D" w:rsidP="00801E1D">
      <w:pPr>
        <w:jc w:val="center"/>
      </w:pPr>
    </w:p>
    <w:p w14:paraId="0937AF57" w14:textId="77777777" w:rsidR="00801E1D" w:rsidRDefault="00801E1D" w:rsidP="00801E1D">
      <w:pPr>
        <w:jc w:val="center"/>
      </w:pPr>
    </w:p>
    <w:p w14:paraId="1E966550" w14:textId="77777777" w:rsidR="00801E1D" w:rsidRDefault="00801E1D" w:rsidP="00801E1D"/>
    <w:p w14:paraId="0AB96D01" w14:textId="77777777" w:rsidR="00801E1D" w:rsidRDefault="00801E1D" w:rsidP="00801E1D">
      <w:pPr>
        <w:jc w:val="center"/>
      </w:pPr>
    </w:p>
    <w:p w14:paraId="06978906" w14:textId="77777777" w:rsidR="00801E1D" w:rsidRDefault="00801E1D" w:rsidP="00801E1D">
      <w:pPr>
        <w:jc w:val="center"/>
      </w:pPr>
    </w:p>
    <w:p w14:paraId="7E704D7E" w14:textId="77777777" w:rsidR="00801E1D" w:rsidRDefault="00801E1D" w:rsidP="00801E1D">
      <w:pPr>
        <w:jc w:val="center"/>
      </w:pPr>
    </w:p>
    <w:p w14:paraId="3559E252" w14:textId="77777777" w:rsidR="00801E1D" w:rsidRDefault="00801E1D" w:rsidP="00801E1D">
      <w:pPr>
        <w:jc w:val="center"/>
      </w:pPr>
    </w:p>
    <w:p w14:paraId="544C2DE4" w14:textId="77777777" w:rsidR="00801E1D" w:rsidRDefault="00801E1D" w:rsidP="00801E1D">
      <w:pPr>
        <w:jc w:val="center"/>
      </w:pPr>
    </w:p>
    <w:p w14:paraId="09897652" w14:textId="77777777" w:rsidR="00801E1D" w:rsidRPr="005F1496" w:rsidRDefault="00801E1D" w:rsidP="00801E1D">
      <w:pPr>
        <w:ind w:right="26" w:hanging="270"/>
        <w:rPr>
          <w:b/>
          <w:bCs/>
          <w:color w:val="000000" w:themeColor="text1"/>
          <w:sz w:val="28"/>
        </w:rPr>
      </w:pPr>
      <w:r w:rsidRPr="005F1496">
        <w:rPr>
          <w:b/>
          <w:bCs/>
          <w:color w:val="000000" w:themeColor="text1"/>
          <w:sz w:val="28"/>
        </w:rPr>
        <w:t>Group Members:</w:t>
      </w:r>
      <w:r w:rsidRPr="005F1496">
        <w:rPr>
          <w:rFonts w:hint="cs"/>
          <w:b/>
          <w:bCs/>
          <w:color w:val="000000" w:themeColor="text1"/>
          <w:sz w:val="28"/>
          <w:cs/>
        </w:rPr>
        <w:t xml:space="preserve"> </w:t>
      </w:r>
    </w:p>
    <w:p w14:paraId="798CF03E" w14:textId="77777777" w:rsidR="00801E1D" w:rsidRDefault="00801E1D" w:rsidP="00801E1D">
      <w:pPr>
        <w:ind w:right="26" w:hanging="270"/>
        <w:rPr>
          <w:color w:val="000000" w:themeColor="text1"/>
          <w:sz w:val="28"/>
        </w:rPr>
      </w:pPr>
      <w:r>
        <w:rPr>
          <w:color w:val="000000" w:themeColor="text1"/>
          <w:sz w:val="28"/>
        </w:rPr>
        <w:t xml:space="preserve">Kendrick </w:t>
      </w:r>
      <w:proofErr w:type="spellStart"/>
      <w:r>
        <w:rPr>
          <w:color w:val="000000" w:themeColor="text1"/>
          <w:sz w:val="28"/>
        </w:rPr>
        <w:t>Winata</w:t>
      </w:r>
      <w:proofErr w:type="spellEnd"/>
    </w:p>
    <w:p w14:paraId="2EE96D2A" w14:textId="16643BC0" w:rsidR="00801E1D" w:rsidRDefault="00801E1D" w:rsidP="00801E1D">
      <w:pPr>
        <w:ind w:right="26" w:hanging="270"/>
        <w:rPr>
          <w:color w:val="000000" w:themeColor="text1"/>
          <w:sz w:val="28"/>
        </w:rPr>
      </w:pPr>
      <w:r>
        <w:rPr>
          <w:color w:val="000000" w:themeColor="text1"/>
          <w:sz w:val="28"/>
        </w:rPr>
        <w:t>Najwa Jia</w:t>
      </w:r>
      <w:r w:rsidR="009B2E25">
        <w:rPr>
          <w:color w:val="000000" w:themeColor="text1"/>
          <w:sz w:val="28"/>
        </w:rPr>
        <w:t xml:space="preserve"> H</w:t>
      </w:r>
      <w:r>
        <w:rPr>
          <w:color w:val="000000" w:themeColor="text1"/>
          <w:sz w:val="28"/>
        </w:rPr>
        <w:t xml:space="preserve">ui </w:t>
      </w:r>
      <w:proofErr w:type="spellStart"/>
      <w:r>
        <w:rPr>
          <w:color w:val="000000" w:themeColor="text1"/>
          <w:sz w:val="28"/>
        </w:rPr>
        <w:t>Rujok</w:t>
      </w:r>
      <w:proofErr w:type="spellEnd"/>
    </w:p>
    <w:p w14:paraId="4C0DBACD" w14:textId="04E4AEEB" w:rsidR="00801E1D" w:rsidRPr="005F1496" w:rsidRDefault="00801E1D" w:rsidP="00801E1D">
      <w:pPr>
        <w:ind w:right="26" w:hanging="270"/>
      </w:pPr>
      <w:r w:rsidRPr="351C4B58">
        <w:rPr>
          <w:color w:val="000000" w:themeColor="text1"/>
          <w:sz w:val="28"/>
          <w:szCs w:val="28"/>
        </w:rPr>
        <w:t>Cheok De Jun</w:t>
      </w:r>
    </w:p>
    <w:p w14:paraId="45C41C72" w14:textId="54171981" w:rsidR="00801E1D" w:rsidRPr="005F1496" w:rsidRDefault="00801E1D" w:rsidP="00801E1D">
      <w:pPr>
        <w:ind w:right="26" w:hanging="270"/>
        <w:rPr>
          <w:color w:val="000000" w:themeColor="text1"/>
          <w:sz w:val="28"/>
          <w:szCs w:val="28"/>
        </w:rPr>
      </w:pPr>
      <w:r>
        <w:rPr>
          <w:noProof/>
        </w:rPr>
        <mc:AlternateContent>
          <mc:Choice Requires="wps">
            <w:drawing>
              <wp:anchor distT="0" distB="0" distL="114300" distR="114300" simplePos="0" relativeHeight="251659264" behindDoc="0" locked="0" layoutInCell="1" allowOverlap="1" wp14:anchorId="43038BDF" wp14:editId="4C3C1E68">
                <wp:simplePos x="0" y="0"/>
                <wp:positionH relativeFrom="column">
                  <wp:posOffset>3108960</wp:posOffset>
                </wp:positionH>
                <wp:positionV relativeFrom="paragraph">
                  <wp:posOffset>41275</wp:posOffset>
                </wp:positionV>
                <wp:extent cx="3128010" cy="601980"/>
                <wp:effectExtent l="0" t="0" r="0" b="0"/>
                <wp:wrapNone/>
                <wp:docPr id="1986669547" name="Text Box 8627140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8010" cy="601980"/>
                        </a:xfrm>
                        <a:prstGeom prst="rect">
                          <a:avLst/>
                        </a:prstGeom>
                        <a:solidFill>
                          <a:srgbClr val="FFFFFF"/>
                        </a:solidFill>
                        <a:ln w="9525">
                          <a:noFill/>
                          <a:miter lim="800000"/>
                          <a:headEnd/>
                          <a:tailEnd/>
                        </a:ln>
                      </wps:spPr>
                      <wps:txbx>
                        <w:txbxContent>
                          <w:p w14:paraId="485C42DB" w14:textId="77777777" w:rsidR="00801E1D" w:rsidRPr="00D2436E" w:rsidRDefault="00801E1D" w:rsidP="00801E1D">
                            <w:pPr>
                              <w:jc w:val="right"/>
                              <w:rPr>
                                <w:b/>
                                <w:bCs/>
                                <w:sz w:val="32"/>
                                <w:szCs w:val="32"/>
                              </w:rPr>
                            </w:pPr>
                            <w:r w:rsidRPr="00D2436E">
                              <w:rPr>
                                <w:b/>
                                <w:bCs/>
                                <w:sz w:val="32"/>
                                <w:szCs w:val="32"/>
                              </w:rPr>
                              <w:t>MSc in Quantitative Finance</w:t>
                            </w:r>
                          </w:p>
                          <w:p w14:paraId="167DA1F4" w14:textId="77777777" w:rsidR="00801E1D" w:rsidRDefault="00801E1D" w:rsidP="00801E1D">
                            <w:pPr>
                              <w:jc w:val="right"/>
                              <w:rPr>
                                <w:sz w:val="28"/>
                              </w:rPr>
                            </w:pPr>
                            <w:r w:rsidRPr="00D2436E">
                              <w:rPr>
                                <w:sz w:val="28"/>
                              </w:rPr>
                              <w:t>Academic Year 202</w:t>
                            </w:r>
                            <w:r>
                              <w:rPr>
                                <w:sz w:val="28"/>
                              </w:rPr>
                              <w:t>4</w:t>
                            </w:r>
                            <w:r w:rsidRPr="00D2436E">
                              <w:rPr>
                                <w:sz w:val="28"/>
                              </w:rPr>
                              <w:t xml:space="preserve"> </w:t>
                            </w:r>
                            <w:r>
                              <w:rPr>
                                <w:sz w:val="28"/>
                              </w:rPr>
                              <w:t>–</w:t>
                            </w:r>
                            <w:r w:rsidRPr="00D2436E">
                              <w:rPr>
                                <w:sz w:val="28"/>
                              </w:rPr>
                              <w:t xml:space="preserve"> 202</w:t>
                            </w:r>
                            <w:r>
                              <w:rPr>
                                <w:sz w:val="28"/>
                              </w:rPr>
                              <w:t>5</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43038BDF" id="_x0000_t202" coordsize="21600,21600" o:spt="202" path="m,l,21600r21600,l21600,xe">
                <v:stroke joinstyle="miter"/>
                <v:path gradientshapeok="t" o:connecttype="rect"/>
              </v:shapetype>
              <v:shape id="Text Box 862714013" o:spid="_x0000_s1026" type="#_x0000_t202" style="position:absolute;margin-left:244.8pt;margin-top:3.25pt;width:246.3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" stroked="f">
                <v:textbox>
                  <w:txbxContent>
                    <w:p w14:paraId="485C42DB" w14:textId="77777777" w:rsidR="00801E1D" w:rsidRPr="00D2436E" w:rsidRDefault="00801E1D" w:rsidP="00801E1D">
                      <w:pPr>
                        <w:jc w:val="right"/>
                        <w:rPr>
                          <w:b/>
                          <w:bCs/>
                          <w:sz w:val="32"/>
                          <w:szCs w:val="32"/>
                        </w:rPr>
                      </w:pPr>
                      <w:r w:rsidRPr="00D2436E">
                        <w:rPr>
                          <w:b/>
                          <w:bCs/>
                          <w:sz w:val="32"/>
                          <w:szCs w:val="32"/>
                        </w:rPr>
                        <w:t>MSc in Quantitative Finance</w:t>
                      </w:r>
                    </w:p>
                    <w:p w14:paraId="167DA1F4" w14:textId="77777777" w:rsidR="00801E1D" w:rsidRDefault="00801E1D" w:rsidP="00801E1D">
                      <w:pPr>
                        <w:jc w:val="right"/>
                        <w:rPr>
                          <w:sz w:val="28"/>
                        </w:rPr>
                      </w:pPr>
                      <w:r w:rsidRPr="00D2436E">
                        <w:rPr>
                          <w:sz w:val="28"/>
                        </w:rPr>
                        <w:t>Academic Year 202</w:t>
                      </w:r>
                      <w:r>
                        <w:rPr>
                          <w:sz w:val="28"/>
                        </w:rPr>
                        <w:t>4</w:t>
                      </w:r>
                      <w:r w:rsidRPr="00D2436E">
                        <w:rPr>
                          <w:sz w:val="28"/>
                        </w:rPr>
                        <w:t xml:space="preserve"> </w:t>
                      </w:r>
                      <w:r>
                        <w:rPr>
                          <w:sz w:val="28"/>
                        </w:rPr>
                        <w:t>–</w:t>
                      </w:r>
                      <w:r w:rsidRPr="00D2436E">
                        <w:rPr>
                          <w:sz w:val="28"/>
                        </w:rPr>
                        <w:t xml:space="preserve"> 202</w:t>
                      </w:r>
                      <w:r>
                        <w:rPr>
                          <w:sz w:val="28"/>
                        </w:rPr>
                        <w:t>5</w:t>
                      </w:r>
                    </w:p>
                  </w:txbxContent>
                </v:textbox>
              </v:shape>
            </w:pict>
          </mc:Fallback>
        </mc:AlternateContent>
      </w:r>
      <w:r w:rsidRPr="351C4B58">
        <w:rPr>
          <w:color w:val="000000" w:themeColor="text1"/>
          <w:sz w:val="28"/>
          <w:szCs w:val="28"/>
        </w:rPr>
        <w:t>Yap Kian Tiong</w:t>
      </w:r>
    </w:p>
    <w:p w14:paraId="0F841051" w14:textId="77777777" w:rsidR="00801E1D" w:rsidRPr="005F1496" w:rsidRDefault="00801E1D" w:rsidP="00801E1D">
      <w:pPr>
        <w:ind w:right="26" w:hanging="270"/>
        <w:rPr>
          <w:color w:val="000000" w:themeColor="text1"/>
          <w:sz w:val="28"/>
          <w:szCs w:val="28"/>
        </w:rPr>
      </w:pPr>
      <w:r w:rsidRPr="4482A4D6">
        <w:rPr>
          <w:color w:val="000000" w:themeColor="text1"/>
          <w:sz w:val="28"/>
          <w:szCs w:val="28"/>
        </w:rPr>
        <w:t xml:space="preserve">Richard Wang </w:t>
      </w:r>
      <w:proofErr w:type="spellStart"/>
      <w:r w:rsidRPr="4482A4D6">
        <w:rPr>
          <w:color w:val="000000" w:themeColor="text1"/>
          <w:sz w:val="28"/>
          <w:szCs w:val="28"/>
        </w:rPr>
        <w:t>Zhi</w:t>
      </w:r>
      <w:proofErr w:type="spellEnd"/>
      <w:r w:rsidRPr="4482A4D6">
        <w:rPr>
          <w:color w:val="000000" w:themeColor="text1"/>
          <w:sz w:val="28"/>
          <w:szCs w:val="28"/>
        </w:rPr>
        <w:t xml:space="preserve"> Chen</w:t>
      </w:r>
    </w:p>
    <w:p w14:paraId="71552BEC" w14:textId="7CB3D63E" w:rsidR="00801E1D" w:rsidRPr="00801E1D" w:rsidRDefault="00801E1D" w:rsidP="00801E1D">
      <w:pPr>
        <w:spacing w:line="14" w:lineRule="exact"/>
      </w:pPr>
    </w:p>
    <w:p w14:paraId="02DA98E3" w14:textId="1727EA53" w:rsidR="00801E1D" w:rsidRDefault="00801E1D">
      <w:pPr>
        <w:rPr>
          <w:rFonts w:ascii="Times New Roman" w:eastAsia="Times New Roman" w:hAnsi="Times New Roman" w:cs="Times New Roman"/>
          <w:b/>
          <w:highlight w:val="white"/>
          <w:u w:val="single"/>
        </w:rPr>
      </w:pPr>
      <w:r>
        <w:rPr>
          <w:rFonts w:ascii="Times New Roman" w:eastAsia="Times New Roman" w:hAnsi="Times New Roman" w:cs="Times New Roman"/>
          <w:b/>
          <w:highlight w:val="white"/>
          <w:u w:val="single"/>
        </w:rPr>
        <w:br w:type="page"/>
      </w:r>
    </w:p>
    <w:p w14:paraId="1C2B3E8B" w14:textId="1B115445" w:rsidR="007F1E95" w:rsidRDefault="00037C33">
      <w:pPr>
        <w:spacing w:line="240" w:lineRule="auto"/>
        <w:rPr>
          <w:rFonts w:ascii="Times New Roman" w:eastAsia="Times New Roman" w:hAnsi="Times New Roman" w:cs="Times New Roman"/>
          <w:highlight w:val="white"/>
        </w:rPr>
      </w:pPr>
      <w:r>
        <w:rPr>
          <w:rFonts w:ascii="Times New Roman" w:eastAsia="Times New Roman" w:hAnsi="Times New Roman" w:cs="Times New Roman"/>
          <w:b/>
          <w:highlight w:val="white"/>
          <w:u w:val="single"/>
        </w:rPr>
        <w:lastRenderedPageBreak/>
        <w:t xml:space="preserve">Code output: </w:t>
      </w:r>
    </w:p>
    <w:tbl>
      <w:tblPr>
        <w:tblStyle w:val="a"/>
        <w:tblW w:w="92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2625"/>
        <w:gridCol w:w="2055"/>
        <w:gridCol w:w="2055"/>
        <w:gridCol w:w="2055"/>
      </w:tblGrid>
      <w:tr w:rsidR="007F1E95" w14:paraId="0DE1FC92" w14:textId="77777777">
        <w:tc>
          <w:tcPr>
            <w:tcW w:w="480" w:type="dxa"/>
            <w:shd w:val="clear" w:color="auto" w:fill="auto"/>
            <w:tcMar>
              <w:top w:w="0" w:type="dxa"/>
              <w:left w:w="0" w:type="dxa"/>
              <w:bottom w:w="0" w:type="dxa"/>
              <w:right w:w="0" w:type="dxa"/>
            </w:tcMar>
          </w:tcPr>
          <w:p w14:paraId="420B2B92" w14:textId="77777777" w:rsidR="007F1E95" w:rsidRDefault="00037C33">
            <w:pPr>
              <w:widowControl w:val="0"/>
              <w:pBdr>
                <w:top w:val="nil"/>
                <w:left w:val="nil"/>
                <w:bottom w:val="nil"/>
                <w:right w:val="nil"/>
                <w:between w:val="nil"/>
              </w:pBdr>
              <w:spacing w:line="240" w:lineRule="auto"/>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ID</w:t>
            </w:r>
          </w:p>
        </w:tc>
        <w:tc>
          <w:tcPr>
            <w:tcW w:w="2625" w:type="dxa"/>
            <w:shd w:val="clear" w:color="auto" w:fill="auto"/>
            <w:tcMar>
              <w:top w:w="0" w:type="dxa"/>
              <w:left w:w="0" w:type="dxa"/>
              <w:bottom w:w="0" w:type="dxa"/>
              <w:right w:w="0" w:type="dxa"/>
            </w:tcMar>
          </w:tcPr>
          <w:p w14:paraId="4193480C" w14:textId="77777777" w:rsidR="007F1E95" w:rsidRDefault="00037C33">
            <w:pPr>
              <w:widowControl w:val="0"/>
              <w:pBdr>
                <w:top w:val="nil"/>
                <w:left w:val="nil"/>
                <w:bottom w:val="nil"/>
                <w:right w:val="nil"/>
                <w:between w:val="nil"/>
              </w:pBdr>
              <w:spacing w:line="240" w:lineRule="auto"/>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Trade*</w:t>
            </w:r>
          </w:p>
        </w:tc>
        <w:tc>
          <w:tcPr>
            <w:tcW w:w="2055" w:type="dxa"/>
            <w:shd w:val="clear" w:color="auto" w:fill="auto"/>
            <w:tcMar>
              <w:top w:w="0" w:type="dxa"/>
              <w:left w:w="0" w:type="dxa"/>
              <w:bottom w:w="0" w:type="dxa"/>
              <w:right w:w="0" w:type="dxa"/>
            </w:tcMar>
          </w:tcPr>
          <w:p w14:paraId="4A3FBD30" w14:textId="77777777" w:rsidR="007F1E95" w:rsidRDefault="00037C33">
            <w:pPr>
              <w:widowControl w:val="0"/>
              <w:pBdr>
                <w:top w:val="nil"/>
                <w:left w:val="nil"/>
                <w:bottom w:val="nil"/>
                <w:right w:val="nil"/>
                <w:between w:val="nil"/>
              </w:pBdr>
              <w:spacing w:line="240" w:lineRule="auto"/>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PV</w:t>
            </w:r>
          </w:p>
        </w:tc>
        <w:tc>
          <w:tcPr>
            <w:tcW w:w="2055" w:type="dxa"/>
            <w:shd w:val="clear" w:color="auto" w:fill="auto"/>
            <w:tcMar>
              <w:top w:w="0" w:type="dxa"/>
              <w:left w:w="0" w:type="dxa"/>
              <w:bottom w:w="0" w:type="dxa"/>
              <w:right w:w="0" w:type="dxa"/>
            </w:tcMar>
          </w:tcPr>
          <w:p w14:paraId="0A49C98F" w14:textId="77777777" w:rsidR="007F1E95" w:rsidRDefault="00037C33">
            <w:pPr>
              <w:widowControl w:val="0"/>
              <w:pBdr>
                <w:top w:val="nil"/>
                <w:left w:val="nil"/>
                <w:bottom w:val="nil"/>
                <w:right w:val="nil"/>
                <w:between w:val="nil"/>
              </w:pBdr>
              <w:spacing w:line="240" w:lineRule="auto"/>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Delta</w:t>
            </w:r>
          </w:p>
        </w:tc>
        <w:tc>
          <w:tcPr>
            <w:tcW w:w="2055" w:type="dxa"/>
            <w:shd w:val="clear" w:color="auto" w:fill="auto"/>
            <w:tcMar>
              <w:top w:w="0" w:type="dxa"/>
              <w:left w:w="0" w:type="dxa"/>
              <w:bottom w:w="0" w:type="dxa"/>
              <w:right w:w="0" w:type="dxa"/>
            </w:tcMar>
          </w:tcPr>
          <w:p w14:paraId="4BC634BC" w14:textId="77777777" w:rsidR="007F1E95" w:rsidRDefault="00037C33">
            <w:pPr>
              <w:widowControl w:val="0"/>
              <w:pBdr>
                <w:top w:val="nil"/>
                <w:left w:val="nil"/>
                <w:bottom w:val="nil"/>
                <w:right w:val="nil"/>
                <w:between w:val="nil"/>
              </w:pBdr>
              <w:spacing w:line="240" w:lineRule="auto"/>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Vega</w:t>
            </w:r>
          </w:p>
        </w:tc>
      </w:tr>
      <w:tr w:rsidR="007F1E95" w14:paraId="633EFBA8" w14:textId="77777777">
        <w:tc>
          <w:tcPr>
            <w:tcW w:w="480" w:type="dxa"/>
            <w:tcMar>
              <w:top w:w="0" w:type="dxa"/>
              <w:left w:w="0" w:type="dxa"/>
              <w:bottom w:w="0" w:type="dxa"/>
              <w:right w:w="0" w:type="dxa"/>
            </w:tcMar>
            <w:vAlign w:val="bottom"/>
          </w:tcPr>
          <w:p w14:paraId="31A33293"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w:t>
            </w:r>
          </w:p>
        </w:tc>
        <w:tc>
          <w:tcPr>
            <w:tcW w:w="2625" w:type="dxa"/>
            <w:tcMar>
              <w:top w:w="0" w:type="dxa"/>
              <w:left w:w="0" w:type="dxa"/>
              <w:bottom w:w="0" w:type="dxa"/>
              <w:right w:w="0" w:type="dxa"/>
            </w:tcMar>
            <w:vAlign w:val="bottom"/>
          </w:tcPr>
          <w:p w14:paraId="5CD7FA75" w14:textId="77777777" w:rsidR="007F1E95" w:rsidRDefault="00037C33">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Swap USD-SOFR</w:t>
            </w:r>
          </w:p>
        </w:tc>
        <w:tc>
          <w:tcPr>
            <w:tcW w:w="2055" w:type="dxa"/>
            <w:tcMar>
              <w:top w:w="0" w:type="dxa"/>
              <w:left w:w="0" w:type="dxa"/>
              <w:bottom w:w="0" w:type="dxa"/>
              <w:right w:w="0" w:type="dxa"/>
            </w:tcMar>
            <w:vAlign w:val="bottom"/>
          </w:tcPr>
          <w:p w14:paraId="64B0382A"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139,769.3919</w:t>
            </w:r>
          </w:p>
        </w:tc>
        <w:tc>
          <w:tcPr>
            <w:tcW w:w="2055" w:type="dxa"/>
            <w:tcMar>
              <w:top w:w="0" w:type="dxa"/>
              <w:left w:w="0" w:type="dxa"/>
              <w:bottom w:w="0" w:type="dxa"/>
              <w:right w:w="0" w:type="dxa"/>
            </w:tcMar>
            <w:vAlign w:val="bottom"/>
          </w:tcPr>
          <w:p w14:paraId="57677F0B"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1,442.2532</w:t>
            </w:r>
          </w:p>
        </w:tc>
        <w:tc>
          <w:tcPr>
            <w:tcW w:w="2055" w:type="dxa"/>
            <w:tcMar>
              <w:top w:w="0" w:type="dxa"/>
              <w:left w:w="0" w:type="dxa"/>
              <w:bottom w:w="0" w:type="dxa"/>
              <w:right w:w="0" w:type="dxa"/>
            </w:tcMar>
            <w:vAlign w:val="bottom"/>
          </w:tcPr>
          <w:p w14:paraId="3881B664"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0.0000</w:t>
            </w:r>
          </w:p>
        </w:tc>
      </w:tr>
      <w:tr w:rsidR="007F1E95" w14:paraId="743EF353" w14:textId="77777777">
        <w:tc>
          <w:tcPr>
            <w:tcW w:w="480" w:type="dxa"/>
            <w:tcMar>
              <w:top w:w="0" w:type="dxa"/>
              <w:left w:w="0" w:type="dxa"/>
              <w:bottom w:w="0" w:type="dxa"/>
              <w:right w:w="0" w:type="dxa"/>
            </w:tcMar>
            <w:vAlign w:val="bottom"/>
          </w:tcPr>
          <w:p w14:paraId="02495A5D"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2</w:t>
            </w:r>
          </w:p>
        </w:tc>
        <w:tc>
          <w:tcPr>
            <w:tcW w:w="2625" w:type="dxa"/>
            <w:tcMar>
              <w:top w:w="0" w:type="dxa"/>
              <w:left w:w="0" w:type="dxa"/>
              <w:bottom w:w="0" w:type="dxa"/>
              <w:right w:w="0" w:type="dxa"/>
            </w:tcMar>
            <w:vAlign w:val="bottom"/>
          </w:tcPr>
          <w:p w14:paraId="531C5EB3" w14:textId="77777777" w:rsidR="007F1E95" w:rsidRDefault="00037C33">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Swap USD-SOFR</w:t>
            </w:r>
          </w:p>
        </w:tc>
        <w:tc>
          <w:tcPr>
            <w:tcW w:w="2055" w:type="dxa"/>
            <w:tcMar>
              <w:top w:w="0" w:type="dxa"/>
              <w:left w:w="0" w:type="dxa"/>
              <w:bottom w:w="0" w:type="dxa"/>
              <w:right w:w="0" w:type="dxa"/>
            </w:tcMar>
            <w:vAlign w:val="bottom"/>
          </w:tcPr>
          <w:p w14:paraId="0269ECB9"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-1,326,556.8802</w:t>
            </w:r>
          </w:p>
        </w:tc>
        <w:tc>
          <w:tcPr>
            <w:tcW w:w="2055" w:type="dxa"/>
            <w:tcMar>
              <w:top w:w="0" w:type="dxa"/>
              <w:left w:w="0" w:type="dxa"/>
              <w:bottom w:w="0" w:type="dxa"/>
              <w:right w:w="0" w:type="dxa"/>
            </w:tcMar>
            <w:vAlign w:val="bottom"/>
          </w:tcPr>
          <w:p w14:paraId="34AB2AB5"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-6,212.3893</w:t>
            </w:r>
          </w:p>
        </w:tc>
        <w:tc>
          <w:tcPr>
            <w:tcW w:w="2055" w:type="dxa"/>
            <w:tcMar>
              <w:top w:w="0" w:type="dxa"/>
              <w:left w:w="0" w:type="dxa"/>
              <w:bottom w:w="0" w:type="dxa"/>
              <w:right w:w="0" w:type="dxa"/>
            </w:tcMar>
            <w:vAlign w:val="bottom"/>
          </w:tcPr>
          <w:p w14:paraId="25922FC2"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0.0000</w:t>
            </w:r>
          </w:p>
        </w:tc>
      </w:tr>
      <w:tr w:rsidR="007F1E95" w14:paraId="06CD3D0E" w14:textId="77777777">
        <w:tc>
          <w:tcPr>
            <w:tcW w:w="480" w:type="dxa"/>
            <w:tcMar>
              <w:top w:w="0" w:type="dxa"/>
              <w:left w:w="0" w:type="dxa"/>
              <w:bottom w:w="0" w:type="dxa"/>
              <w:right w:w="0" w:type="dxa"/>
            </w:tcMar>
            <w:vAlign w:val="bottom"/>
          </w:tcPr>
          <w:p w14:paraId="2E09ACCB"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3</w:t>
            </w:r>
          </w:p>
        </w:tc>
        <w:tc>
          <w:tcPr>
            <w:tcW w:w="2625" w:type="dxa"/>
            <w:tcMar>
              <w:top w:w="0" w:type="dxa"/>
              <w:left w:w="0" w:type="dxa"/>
              <w:bottom w:w="0" w:type="dxa"/>
              <w:right w:w="0" w:type="dxa"/>
            </w:tcMar>
            <w:vAlign w:val="bottom"/>
          </w:tcPr>
          <w:p w14:paraId="4436A21E" w14:textId="77777777" w:rsidR="007F1E95" w:rsidRDefault="00037C33">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Swap SGD-SORA</w:t>
            </w:r>
          </w:p>
        </w:tc>
        <w:tc>
          <w:tcPr>
            <w:tcW w:w="2055" w:type="dxa"/>
            <w:tcMar>
              <w:top w:w="0" w:type="dxa"/>
              <w:left w:w="0" w:type="dxa"/>
              <w:bottom w:w="0" w:type="dxa"/>
              <w:right w:w="0" w:type="dxa"/>
            </w:tcMar>
            <w:vAlign w:val="bottom"/>
          </w:tcPr>
          <w:p w14:paraId="7EF61F7A"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-257,018.6551</w:t>
            </w:r>
          </w:p>
        </w:tc>
        <w:tc>
          <w:tcPr>
            <w:tcW w:w="2055" w:type="dxa"/>
            <w:tcMar>
              <w:top w:w="0" w:type="dxa"/>
              <w:left w:w="0" w:type="dxa"/>
              <w:bottom w:w="0" w:type="dxa"/>
              <w:right w:w="0" w:type="dxa"/>
            </w:tcMar>
            <w:vAlign w:val="bottom"/>
          </w:tcPr>
          <w:p w14:paraId="43228F92"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1,504.6434</w:t>
            </w:r>
          </w:p>
        </w:tc>
        <w:tc>
          <w:tcPr>
            <w:tcW w:w="2055" w:type="dxa"/>
            <w:tcMar>
              <w:top w:w="0" w:type="dxa"/>
              <w:left w:w="0" w:type="dxa"/>
              <w:bottom w:w="0" w:type="dxa"/>
              <w:right w:w="0" w:type="dxa"/>
            </w:tcMar>
            <w:vAlign w:val="bottom"/>
          </w:tcPr>
          <w:p w14:paraId="1FEA9E72"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0.0000</w:t>
            </w:r>
          </w:p>
        </w:tc>
      </w:tr>
      <w:tr w:rsidR="007F1E95" w14:paraId="7A2DD5FC" w14:textId="77777777">
        <w:tc>
          <w:tcPr>
            <w:tcW w:w="480" w:type="dxa"/>
            <w:tcMar>
              <w:top w:w="0" w:type="dxa"/>
              <w:left w:w="0" w:type="dxa"/>
              <w:bottom w:w="0" w:type="dxa"/>
              <w:right w:w="0" w:type="dxa"/>
            </w:tcMar>
            <w:vAlign w:val="bottom"/>
          </w:tcPr>
          <w:p w14:paraId="0AABFA10"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4</w:t>
            </w:r>
          </w:p>
        </w:tc>
        <w:tc>
          <w:tcPr>
            <w:tcW w:w="2625" w:type="dxa"/>
            <w:tcMar>
              <w:top w:w="0" w:type="dxa"/>
              <w:left w:w="0" w:type="dxa"/>
              <w:bottom w:w="0" w:type="dxa"/>
              <w:right w:w="0" w:type="dxa"/>
            </w:tcMar>
            <w:vAlign w:val="bottom"/>
          </w:tcPr>
          <w:p w14:paraId="02A4DF3B" w14:textId="77777777" w:rsidR="007F1E95" w:rsidRDefault="00037C33">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Swap SGD-SORA</w:t>
            </w:r>
          </w:p>
        </w:tc>
        <w:tc>
          <w:tcPr>
            <w:tcW w:w="2055" w:type="dxa"/>
            <w:tcMar>
              <w:top w:w="0" w:type="dxa"/>
              <w:left w:w="0" w:type="dxa"/>
              <w:bottom w:w="0" w:type="dxa"/>
              <w:right w:w="0" w:type="dxa"/>
            </w:tcMar>
            <w:vAlign w:val="bottom"/>
          </w:tcPr>
          <w:p w14:paraId="0A147C61"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-69,988.1434</w:t>
            </w:r>
          </w:p>
        </w:tc>
        <w:tc>
          <w:tcPr>
            <w:tcW w:w="2055" w:type="dxa"/>
            <w:tcMar>
              <w:top w:w="0" w:type="dxa"/>
              <w:left w:w="0" w:type="dxa"/>
              <w:bottom w:w="0" w:type="dxa"/>
              <w:right w:w="0" w:type="dxa"/>
            </w:tcMar>
            <w:vAlign w:val="bottom"/>
          </w:tcPr>
          <w:p w14:paraId="4EF45395"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-6,750.6491</w:t>
            </w:r>
          </w:p>
        </w:tc>
        <w:tc>
          <w:tcPr>
            <w:tcW w:w="2055" w:type="dxa"/>
            <w:tcMar>
              <w:top w:w="0" w:type="dxa"/>
              <w:left w:w="0" w:type="dxa"/>
              <w:bottom w:w="0" w:type="dxa"/>
              <w:right w:w="0" w:type="dxa"/>
            </w:tcMar>
            <w:vAlign w:val="bottom"/>
          </w:tcPr>
          <w:p w14:paraId="0E374A66"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0.0000</w:t>
            </w:r>
          </w:p>
        </w:tc>
      </w:tr>
      <w:tr w:rsidR="007F1E95" w14:paraId="0C86B1EC" w14:textId="77777777">
        <w:tc>
          <w:tcPr>
            <w:tcW w:w="480" w:type="dxa"/>
            <w:tcMar>
              <w:top w:w="0" w:type="dxa"/>
              <w:left w:w="0" w:type="dxa"/>
              <w:bottom w:w="0" w:type="dxa"/>
              <w:right w:w="0" w:type="dxa"/>
            </w:tcMar>
            <w:vAlign w:val="bottom"/>
          </w:tcPr>
          <w:p w14:paraId="4B7727D2"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5</w:t>
            </w:r>
          </w:p>
        </w:tc>
        <w:tc>
          <w:tcPr>
            <w:tcW w:w="2625" w:type="dxa"/>
            <w:tcMar>
              <w:top w:w="0" w:type="dxa"/>
              <w:left w:w="0" w:type="dxa"/>
              <w:bottom w:w="0" w:type="dxa"/>
              <w:right w:w="0" w:type="dxa"/>
            </w:tcMar>
            <w:vAlign w:val="bottom"/>
          </w:tcPr>
          <w:p w14:paraId="353F861F" w14:textId="77777777" w:rsidR="007F1E95" w:rsidRDefault="00037C33">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Bond USD-GOV</w:t>
            </w:r>
          </w:p>
        </w:tc>
        <w:tc>
          <w:tcPr>
            <w:tcW w:w="2055" w:type="dxa"/>
            <w:tcMar>
              <w:top w:w="0" w:type="dxa"/>
              <w:left w:w="0" w:type="dxa"/>
              <w:bottom w:w="0" w:type="dxa"/>
              <w:right w:w="0" w:type="dxa"/>
            </w:tcMar>
            <w:vAlign w:val="bottom"/>
          </w:tcPr>
          <w:p w14:paraId="61091D24"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475,676.4210</w:t>
            </w:r>
          </w:p>
        </w:tc>
        <w:tc>
          <w:tcPr>
            <w:tcW w:w="2055" w:type="dxa"/>
            <w:tcMar>
              <w:top w:w="0" w:type="dxa"/>
              <w:left w:w="0" w:type="dxa"/>
              <w:bottom w:w="0" w:type="dxa"/>
              <w:right w:w="0" w:type="dxa"/>
            </w:tcMar>
            <w:vAlign w:val="bottom"/>
          </w:tcPr>
          <w:p w14:paraId="35AFCBAA"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-392.4480</w:t>
            </w:r>
          </w:p>
        </w:tc>
        <w:tc>
          <w:tcPr>
            <w:tcW w:w="2055" w:type="dxa"/>
            <w:tcMar>
              <w:top w:w="0" w:type="dxa"/>
              <w:left w:w="0" w:type="dxa"/>
              <w:bottom w:w="0" w:type="dxa"/>
              <w:right w:w="0" w:type="dxa"/>
            </w:tcMar>
            <w:vAlign w:val="bottom"/>
          </w:tcPr>
          <w:p w14:paraId="34250D94"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0.0000</w:t>
            </w:r>
          </w:p>
        </w:tc>
      </w:tr>
      <w:tr w:rsidR="007F1E95" w14:paraId="3A1DA91C" w14:textId="77777777">
        <w:tc>
          <w:tcPr>
            <w:tcW w:w="480" w:type="dxa"/>
            <w:tcMar>
              <w:top w:w="0" w:type="dxa"/>
              <w:left w:w="0" w:type="dxa"/>
              <w:bottom w:w="0" w:type="dxa"/>
              <w:right w:w="0" w:type="dxa"/>
            </w:tcMar>
            <w:vAlign w:val="bottom"/>
          </w:tcPr>
          <w:p w14:paraId="26646555"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6</w:t>
            </w:r>
          </w:p>
        </w:tc>
        <w:tc>
          <w:tcPr>
            <w:tcW w:w="2625" w:type="dxa"/>
            <w:tcMar>
              <w:top w:w="0" w:type="dxa"/>
              <w:left w:w="0" w:type="dxa"/>
              <w:bottom w:w="0" w:type="dxa"/>
              <w:right w:w="0" w:type="dxa"/>
            </w:tcMar>
            <w:vAlign w:val="bottom"/>
          </w:tcPr>
          <w:p w14:paraId="74902300" w14:textId="77777777" w:rsidR="007F1E95" w:rsidRDefault="00037C33">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Bond SGD-GOV</w:t>
            </w:r>
          </w:p>
        </w:tc>
        <w:tc>
          <w:tcPr>
            <w:tcW w:w="2055" w:type="dxa"/>
            <w:tcMar>
              <w:top w:w="0" w:type="dxa"/>
              <w:left w:w="0" w:type="dxa"/>
              <w:bottom w:w="0" w:type="dxa"/>
              <w:right w:w="0" w:type="dxa"/>
            </w:tcMar>
            <w:vAlign w:val="bottom"/>
          </w:tcPr>
          <w:p w14:paraId="589BAEE2"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-1,562,036.8930</w:t>
            </w:r>
          </w:p>
        </w:tc>
        <w:tc>
          <w:tcPr>
            <w:tcW w:w="2055" w:type="dxa"/>
            <w:tcMar>
              <w:top w:w="0" w:type="dxa"/>
              <w:left w:w="0" w:type="dxa"/>
              <w:bottom w:w="0" w:type="dxa"/>
              <w:right w:w="0" w:type="dxa"/>
            </w:tcMar>
            <w:vAlign w:val="bottom"/>
          </w:tcPr>
          <w:p w14:paraId="679105EA"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672.2137</w:t>
            </w:r>
          </w:p>
        </w:tc>
        <w:tc>
          <w:tcPr>
            <w:tcW w:w="2055" w:type="dxa"/>
            <w:tcMar>
              <w:top w:w="0" w:type="dxa"/>
              <w:left w:w="0" w:type="dxa"/>
              <w:bottom w:w="0" w:type="dxa"/>
              <w:right w:w="0" w:type="dxa"/>
            </w:tcMar>
            <w:vAlign w:val="bottom"/>
          </w:tcPr>
          <w:p w14:paraId="419CDED7"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0.0000</w:t>
            </w:r>
          </w:p>
        </w:tc>
      </w:tr>
      <w:tr w:rsidR="007F1E95" w14:paraId="34DC004C" w14:textId="77777777">
        <w:tc>
          <w:tcPr>
            <w:tcW w:w="480" w:type="dxa"/>
            <w:tcMar>
              <w:top w:w="0" w:type="dxa"/>
              <w:left w:w="0" w:type="dxa"/>
              <w:bottom w:w="0" w:type="dxa"/>
              <w:right w:w="0" w:type="dxa"/>
            </w:tcMar>
            <w:vAlign w:val="bottom"/>
          </w:tcPr>
          <w:p w14:paraId="1EED6A32"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7</w:t>
            </w:r>
          </w:p>
        </w:tc>
        <w:tc>
          <w:tcPr>
            <w:tcW w:w="2625" w:type="dxa"/>
            <w:tcMar>
              <w:top w:w="0" w:type="dxa"/>
              <w:left w:w="0" w:type="dxa"/>
              <w:bottom w:w="0" w:type="dxa"/>
              <w:right w:w="0" w:type="dxa"/>
            </w:tcMar>
            <w:vAlign w:val="bottom"/>
          </w:tcPr>
          <w:p w14:paraId="150FBD89" w14:textId="77777777" w:rsidR="007F1E95" w:rsidRDefault="00037C33">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Bond SGD-MAS-BILL</w:t>
            </w:r>
          </w:p>
        </w:tc>
        <w:tc>
          <w:tcPr>
            <w:tcW w:w="2055" w:type="dxa"/>
            <w:tcMar>
              <w:top w:w="0" w:type="dxa"/>
              <w:left w:w="0" w:type="dxa"/>
              <w:bottom w:w="0" w:type="dxa"/>
              <w:right w:w="0" w:type="dxa"/>
            </w:tcMar>
            <w:vAlign w:val="bottom"/>
          </w:tcPr>
          <w:p w14:paraId="17E6DB2F"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99,784.6398</w:t>
            </w:r>
          </w:p>
        </w:tc>
        <w:tc>
          <w:tcPr>
            <w:tcW w:w="2055" w:type="dxa"/>
            <w:tcMar>
              <w:top w:w="0" w:type="dxa"/>
              <w:left w:w="0" w:type="dxa"/>
              <w:bottom w:w="0" w:type="dxa"/>
              <w:right w:w="0" w:type="dxa"/>
            </w:tcMar>
            <w:vAlign w:val="bottom"/>
          </w:tcPr>
          <w:p w14:paraId="0E734636"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-5.0170</w:t>
            </w:r>
          </w:p>
        </w:tc>
        <w:tc>
          <w:tcPr>
            <w:tcW w:w="2055" w:type="dxa"/>
            <w:tcMar>
              <w:top w:w="0" w:type="dxa"/>
              <w:left w:w="0" w:type="dxa"/>
              <w:bottom w:w="0" w:type="dxa"/>
              <w:right w:w="0" w:type="dxa"/>
            </w:tcMar>
            <w:vAlign w:val="bottom"/>
          </w:tcPr>
          <w:p w14:paraId="77593891"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0.0000</w:t>
            </w:r>
          </w:p>
        </w:tc>
      </w:tr>
      <w:tr w:rsidR="007F1E95" w14:paraId="40B7D71E" w14:textId="77777777">
        <w:tc>
          <w:tcPr>
            <w:tcW w:w="480" w:type="dxa"/>
            <w:tcMar>
              <w:top w:w="0" w:type="dxa"/>
              <w:left w:w="0" w:type="dxa"/>
              <w:bottom w:w="0" w:type="dxa"/>
              <w:right w:w="0" w:type="dxa"/>
            </w:tcMar>
            <w:vAlign w:val="bottom"/>
          </w:tcPr>
          <w:p w14:paraId="7704338E"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8</w:t>
            </w:r>
          </w:p>
        </w:tc>
        <w:tc>
          <w:tcPr>
            <w:tcW w:w="2625" w:type="dxa"/>
            <w:tcMar>
              <w:top w:w="0" w:type="dxa"/>
              <w:left w:w="0" w:type="dxa"/>
              <w:bottom w:w="0" w:type="dxa"/>
              <w:right w:w="0" w:type="dxa"/>
            </w:tcMar>
            <w:vAlign w:val="bottom"/>
          </w:tcPr>
          <w:p w14:paraId="773AC784" w14:textId="77777777" w:rsidR="007F1E95" w:rsidRDefault="00037C33">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TreeProduct</w:t>
            </w:r>
            <w:proofErr w:type="spellEnd"/>
            <w:r>
              <w:rPr>
                <w:rFonts w:ascii="Times New Roman" w:eastAsia="Times New Roman" w:hAnsi="Times New Roman" w:cs="Times New Roman"/>
                <w:highlight w:val="white"/>
              </w:rPr>
              <w:t xml:space="preserve"> APPL</w:t>
            </w:r>
          </w:p>
        </w:tc>
        <w:tc>
          <w:tcPr>
            <w:tcW w:w="2055" w:type="dxa"/>
            <w:tcMar>
              <w:top w:w="0" w:type="dxa"/>
              <w:left w:w="0" w:type="dxa"/>
              <w:bottom w:w="0" w:type="dxa"/>
              <w:right w:w="0" w:type="dxa"/>
            </w:tcMar>
            <w:vAlign w:val="bottom"/>
          </w:tcPr>
          <w:p w14:paraId="250519C0"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-5,945.9712</w:t>
            </w:r>
          </w:p>
        </w:tc>
        <w:tc>
          <w:tcPr>
            <w:tcW w:w="2055" w:type="dxa"/>
            <w:tcMar>
              <w:top w:w="0" w:type="dxa"/>
              <w:left w:w="0" w:type="dxa"/>
              <w:bottom w:w="0" w:type="dxa"/>
              <w:right w:w="0" w:type="dxa"/>
            </w:tcMar>
            <w:vAlign w:val="bottom"/>
          </w:tcPr>
          <w:p w14:paraId="4FB9ABE6"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-2.0464</w:t>
            </w:r>
          </w:p>
        </w:tc>
        <w:tc>
          <w:tcPr>
            <w:tcW w:w="2055" w:type="dxa"/>
            <w:tcMar>
              <w:top w:w="0" w:type="dxa"/>
              <w:left w:w="0" w:type="dxa"/>
              <w:bottom w:w="0" w:type="dxa"/>
              <w:right w:w="0" w:type="dxa"/>
            </w:tcMar>
            <w:vAlign w:val="bottom"/>
          </w:tcPr>
          <w:p w14:paraId="21046588"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-148.7167</w:t>
            </w:r>
          </w:p>
        </w:tc>
      </w:tr>
      <w:tr w:rsidR="007F1E95" w14:paraId="262872A0" w14:textId="77777777">
        <w:tc>
          <w:tcPr>
            <w:tcW w:w="480" w:type="dxa"/>
            <w:tcMar>
              <w:top w:w="0" w:type="dxa"/>
              <w:left w:w="0" w:type="dxa"/>
              <w:bottom w:w="0" w:type="dxa"/>
              <w:right w:w="0" w:type="dxa"/>
            </w:tcMar>
            <w:vAlign w:val="bottom"/>
          </w:tcPr>
          <w:p w14:paraId="67C46307"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9</w:t>
            </w:r>
          </w:p>
        </w:tc>
        <w:tc>
          <w:tcPr>
            <w:tcW w:w="2625" w:type="dxa"/>
            <w:tcMar>
              <w:top w:w="0" w:type="dxa"/>
              <w:left w:w="0" w:type="dxa"/>
              <w:bottom w:w="0" w:type="dxa"/>
              <w:right w:w="0" w:type="dxa"/>
            </w:tcMar>
            <w:vAlign w:val="bottom"/>
          </w:tcPr>
          <w:p w14:paraId="7417E82B" w14:textId="77777777" w:rsidR="007F1E95" w:rsidRDefault="00037C33">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TreeProduct</w:t>
            </w:r>
            <w:proofErr w:type="spellEnd"/>
            <w:r>
              <w:rPr>
                <w:rFonts w:ascii="Times New Roman" w:eastAsia="Times New Roman" w:hAnsi="Times New Roman" w:cs="Times New Roman"/>
                <w:highlight w:val="white"/>
              </w:rPr>
              <w:t xml:space="preserve"> SP500</w:t>
            </w:r>
          </w:p>
        </w:tc>
        <w:tc>
          <w:tcPr>
            <w:tcW w:w="2055" w:type="dxa"/>
            <w:tcMar>
              <w:top w:w="0" w:type="dxa"/>
              <w:left w:w="0" w:type="dxa"/>
              <w:bottom w:w="0" w:type="dxa"/>
              <w:right w:w="0" w:type="dxa"/>
            </w:tcMar>
            <w:vAlign w:val="bottom"/>
          </w:tcPr>
          <w:p w14:paraId="5432B7A6"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48,765.8185</w:t>
            </w:r>
          </w:p>
        </w:tc>
        <w:tc>
          <w:tcPr>
            <w:tcW w:w="2055" w:type="dxa"/>
            <w:tcMar>
              <w:top w:w="0" w:type="dxa"/>
              <w:left w:w="0" w:type="dxa"/>
              <w:bottom w:w="0" w:type="dxa"/>
              <w:right w:w="0" w:type="dxa"/>
            </w:tcMar>
            <w:vAlign w:val="bottom"/>
          </w:tcPr>
          <w:p w14:paraId="38BC493A"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-60.9166</w:t>
            </w:r>
          </w:p>
        </w:tc>
        <w:tc>
          <w:tcPr>
            <w:tcW w:w="2055" w:type="dxa"/>
            <w:tcMar>
              <w:top w:w="0" w:type="dxa"/>
              <w:left w:w="0" w:type="dxa"/>
              <w:bottom w:w="0" w:type="dxa"/>
              <w:right w:w="0" w:type="dxa"/>
            </w:tcMar>
            <w:vAlign w:val="bottom"/>
          </w:tcPr>
          <w:p w14:paraId="2A51FB75"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4,653.3414</w:t>
            </w:r>
          </w:p>
        </w:tc>
      </w:tr>
      <w:tr w:rsidR="007F1E95" w14:paraId="62A94AB6" w14:textId="77777777">
        <w:tc>
          <w:tcPr>
            <w:tcW w:w="480" w:type="dxa"/>
            <w:tcMar>
              <w:top w:w="0" w:type="dxa"/>
              <w:left w:w="0" w:type="dxa"/>
              <w:bottom w:w="0" w:type="dxa"/>
              <w:right w:w="0" w:type="dxa"/>
            </w:tcMar>
            <w:vAlign w:val="bottom"/>
          </w:tcPr>
          <w:p w14:paraId="78C223A9"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10</w:t>
            </w:r>
          </w:p>
        </w:tc>
        <w:tc>
          <w:tcPr>
            <w:tcW w:w="2625" w:type="dxa"/>
            <w:tcMar>
              <w:top w:w="0" w:type="dxa"/>
              <w:left w:w="0" w:type="dxa"/>
              <w:bottom w:w="0" w:type="dxa"/>
              <w:right w:w="0" w:type="dxa"/>
            </w:tcMar>
            <w:vAlign w:val="bottom"/>
          </w:tcPr>
          <w:p w14:paraId="4ADF0BCC" w14:textId="77777777" w:rsidR="007F1E95" w:rsidRDefault="00037C33">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TreeProduct</w:t>
            </w:r>
            <w:proofErr w:type="spellEnd"/>
            <w:r>
              <w:rPr>
                <w:rFonts w:ascii="Times New Roman" w:eastAsia="Times New Roman" w:hAnsi="Times New Roman" w:cs="Times New Roman"/>
                <w:highlight w:val="white"/>
              </w:rPr>
              <w:t xml:space="preserve"> STI</w:t>
            </w:r>
          </w:p>
        </w:tc>
        <w:tc>
          <w:tcPr>
            <w:tcW w:w="2055" w:type="dxa"/>
            <w:tcMar>
              <w:top w:w="0" w:type="dxa"/>
              <w:left w:w="0" w:type="dxa"/>
              <w:bottom w:w="0" w:type="dxa"/>
              <w:right w:w="0" w:type="dxa"/>
            </w:tcMar>
            <w:vAlign w:val="bottom"/>
          </w:tcPr>
          <w:p w14:paraId="69D45F42"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15,363.7581</w:t>
            </w:r>
          </w:p>
        </w:tc>
        <w:tc>
          <w:tcPr>
            <w:tcW w:w="2055" w:type="dxa"/>
            <w:tcMar>
              <w:top w:w="0" w:type="dxa"/>
              <w:left w:w="0" w:type="dxa"/>
              <w:bottom w:w="0" w:type="dxa"/>
              <w:right w:w="0" w:type="dxa"/>
            </w:tcMar>
            <w:vAlign w:val="bottom"/>
          </w:tcPr>
          <w:p w14:paraId="13575221"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-19.5587</w:t>
            </w:r>
          </w:p>
        </w:tc>
        <w:tc>
          <w:tcPr>
            <w:tcW w:w="2055" w:type="dxa"/>
            <w:tcMar>
              <w:top w:w="0" w:type="dxa"/>
              <w:left w:w="0" w:type="dxa"/>
              <w:bottom w:w="0" w:type="dxa"/>
              <w:right w:w="0" w:type="dxa"/>
            </w:tcMar>
            <w:vAlign w:val="bottom"/>
          </w:tcPr>
          <w:p w14:paraId="17F665BA"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1,537.6986</w:t>
            </w:r>
          </w:p>
        </w:tc>
      </w:tr>
      <w:tr w:rsidR="007F1E95" w14:paraId="0A173B2B" w14:textId="77777777">
        <w:tc>
          <w:tcPr>
            <w:tcW w:w="480" w:type="dxa"/>
            <w:tcMar>
              <w:top w:w="0" w:type="dxa"/>
              <w:left w:w="0" w:type="dxa"/>
              <w:bottom w:w="0" w:type="dxa"/>
              <w:right w:w="0" w:type="dxa"/>
            </w:tcMar>
            <w:vAlign w:val="bottom"/>
          </w:tcPr>
          <w:p w14:paraId="13A42686"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11</w:t>
            </w:r>
          </w:p>
        </w:tc>
        <w:tc>
          <w:tcPr>
            <w:tcW w:w="2625" w:type="dxa"/>
            <w:tcMar>
              <w:top w:w="0" w:type="dxa"/>
              <w:left w:w="0" w:type="dxa"/>
              <w:bottom w:w="0" w:type="dxa"/>
              <w:right w:w="0" w:type="dxa"/>
            </w:tcMar>
            <w:vAlign w:val="bottom"/>
          </w:tcPr>
          <w:p w14:paraId="1B66A691" w14:textId="77777777" w:rsidR="007F1E95" w:rsidRDefault="00037C33">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TreeProduct</w:t>
            </w:r>
            <w:proofErr w:type="spellEnd"/>
            <w:r>
              <w:rPr>
                <w:rFonts w:ascii="Times New Roman" w:eastAsia="Times New Roman" w:hAnsi="Times New Roman" w:cs="Times New Roman"/>
                <w:highlight w:val="white"/>
              </w:rPr>
              <w:t xml:space="preserve"> STI</w:t>
            </w:r>
          </w:p>
        </w:tc>
        <w:tc>
          <w:tcPr>
            <w:tcW w:w="2055" w:type="dxa"/>
            <w:tcMar>
              <w:top w:w="0" w:type="dxa"/>
              <w:left w:w="0" w:type="dxa"/>
              <w:bottom w:w="0" w:type="dxa"/>
              <w:right w:w="0" w:type="dxa"/>
            </w:tcMar>
            <w:vAlign w:val="bottom"/>
          </w:tcPr>
          <w:p w14:paraId="4C10D1E1"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-17,905.9034</w:t>
            </w:r>
          </w:p>
        </w:tc>
        <w:tc>
          <w:tcPr>
            <w:tcW w:w="2055" w:type="dxa"/>
            <w:tcMar>
              <w:top w:w="0" w:type="dxa"/>
              <w:left w:w="0" w:type="dxa"/>
              <w:bottom w:w="0" w:type="dxa"/>
              <w:right w:w="0" w:type="dxa"/>
            </w:tcMar>
            <w:vAlign w:val="bottom"/>
          </w:tcPr>
          <w:p w14:paraId="3C509056"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25.8977</w:t>
            </w:r>
          </w:p>
        </w:tc>
        <w:tc>
          <w:tcPr>
            <w:tcW w:w="2055" w:type="dxa"/>
            <w:tcMar>
              <w:top w:w="0" w:type="dxa"/>
              <w:left w:w="0" w:type="dxa"/>
              <w:bottom w:w="0" w:type="dxa"/>
              <w:right w:w="0" w:type="dxa"/>
            </w:tcMar>
            <w:vAlign w:val="bottom"/>
          </w:tcPr>
          <w:p w14:paraId="79BE06C9" w14:textId="77777777" w:rsidR="007F1E95" w:rsidRDefault="00037C33">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-2,569.4668</w:t>
            </w:r>
          </w:p>
        </w:tc>
      </w:tr>
      <w:tr w:rsidR="007F1E95" w14:paraId="53B88366" w14:textId="77777777">
        <w:tc>
          <w:tcPr>
            <w:tcW w:w="480" w:type="dxa"/>
            <w:tcMar>
              <w:top w:w="0" w:type="dxa"/>
              <w:left w:w="0" w:type="dxa"/>
              <w:bottom w:w="0" w:type="dxa"/>
              <w:right w:w="0" w:type="dxa"/>
            </w:tcMar>
            <w:vAlign w:val="bottom"/>
          </w:tcPr>
          <w:p w14:paraId="384594B2" w14:textId="77777777" w:rsidR="007F1E95" w:rsidRDefault="00037C33">
            <w:pPr>
              <w:widowControl w:val="0"/>
              <w:pBdr>
                <w:top w:val="nil"/>
                <w:left w:val="nil"/>
                <w:bottom w:val="nil"/>
                <w:right w:val="nil"/>
                <w:between w:val="nil"/>
              </w:pBdr>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12</w:t>
            </w:r>
          </w:p>
        </w:tc>
        <w:tc>
          <w:tcPr>
            <w:tcW w:w="2625" w:type="dxa"/>
            <w:tcMar>
              <w:top w:w="0" w:type="dxa"/>
              <w:left w:w="0" w:type="dxa"/>
              <w:bottom w:w="0" w:type="dxa"/>
              <w:right w:w="0" w:type="dxa"/>
            </w:tcMar>
            <w:vAlign w:val="bottom"/>
          </w:tcPr>
          <w:p w14:paraId="606653B8" w14:textId="77777777" w:rsidR="007F1E95" w:rsidRDefault="00037C33">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TreeProduct</w:t>
            </w:r>
            <w:proofErr w:type="spellEnd"/>
            <w:r>
              <w:rPr>
                <w:rFonts w:ascii="Times New Roman" w:eastAsia="Times New Roman" w:hAnsi="Times New Roman" w:cs="Times New Roman"/>
                <w:highlight w:val="white"/>
              </w:rPr>
              <w:t xml:space="preserve"> APPL</w:t>
            </w:r>
          </w:p>
        </w:tc>
        <w:tc>
          <w:tcPr>
            <w:tcW w:w="2055" w:type="dxa"/>
            <w:tcMar>
              <w:top w:w="0" w:type="dxa"/>
              <w:left w:w="0" w:type="dxa"/>
              <w:bottom w:w="0" w:type="dxa"/>
              <w:right w:w="0" w:type="dxa"/>
            </w:tcMar>
            <w:vAlign w:val="bottom"/>
          </w:tcPr>
          <w:p w14:paraId="50A698A1" w14:textId="77777777" w:rsidR="007F1E95" w:rsidRDefault="00037C33">
            <w:pPr>
              <w:widowControl w:val="0"/>
              <w:pBdr>
                <w:top w:val="nil"/>
                <w:left w:val="nil"/>
                <w:bottom w:val="nil"/>
                <w:right w:val="nil"/>
                <w:between w:val="nil"/>
              </w:pBdr>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-5,945.9712</w:t>
            </w:r>
          </w:p>
        </w:tc>
        <w:tc>
          <w:tcPr>
            <w:tcW w:w="2055" w:type="dxa"/>
            <w:tcMar>
              <w:top w:w="0" w:type="dxa"/>
              <w:left w:w="0" w:type="dxa"/>
              <w:bottom w:w="0" w:type="dxa"/>
              <w:right w:w="0" w:type="dxa"/>
            </w:tcMar>
            <w:vAlign w:val="bottom"/>
          </w:tcPr>
          <w:p w14:paraId="223A29B6" w14:textId="77777777" w:rsidR="007F1E95" w:rsidRDefault="00037C33">
            <w:pPr>
              <w:widowControl w:val="0"/>
              <w:pBdr>
                <w:top w:val="nil"/>
                <w:left w:val="nil"/>
                <w:bottom w:val="nil"/>
                <w:right w:val="nil"/>
                <w:between w:val="nil"/>
              </w:pBdr>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-2.0464</w:t>
            </w:r>
          </w:p>
        </w:tc>
        <w:tc>
          <w:tcPr>
            <w:tcW w:w="2055" w:type="dxa"/>
            <w:tcMar>
              <w:top w:w="0" w:type="dxa"/>
              <w:left w:w="0" w:type="dxa"/>
              <w:bottom w:w="0" w:type="dxa"/>
              <w:right w:w="0" w:type="dxa"/>
            </w:tcMar>
            <w:vAlign w:val="bottom"/>
          </w:tcPr>
          <w:p w14:paraId="2C5F0110" w14:textId="77777777" w:rsidR="007F1E95" w:rsidRDefault="00037C33">
            <w:pPr>
              <w:widowControl w:val="0"/>
              <w:pBdr>
                <w:top w:val="nil"/>
                <w:left w:val="nil"/>
                <w:bottom w:val="nil"/>
                <w:right w:val="nil"/>
                <w:between w:val="nil"/>
              </w:pBdr>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-148.7167</w:t>
            </w:r>
          </w:p>
        </w:tc>
      </w:tr>
      <w:tr w:rsidR="007F1E95" w14:paraId="48941080" w14:textId="77777777">
        <w:tc>
          <w:tcPr>
            <w:tcW w:w="480" w:type="dxa"/>
            <w:tcMar>
              <w:top w:w="0" w:type="dxa"/>
              <w:left w:w="0" w:type="dxa"/>
              <w:bottom w:w="0" w:type="dxa"/>
              <w:right w:w="0" w:type="dxa"/>
            </w:tcMar>
            <w:vAlign w:val="bottom"/>
          </w:tcPr>
          <w:p w14:paraId="6895CFEC" w14:textId="77777777" w:rsidR="007F1E95" w:rsidRDefault="00037C33">
            <w:pPr>
              <w:widowControl w:val="0"/>
              <w:pBdr>
                <w:top w:val="nil"/>
                <w:left w:val="nil"/>
                <w:bottom w:val="nil"/>
                <w:right w:val="nil"/>
                <w:between w:val="nil"/>
              </w:pBdr>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13</w:t>
            </w:r>
          </w:p>
        </w:tc>
        <w:tc>
          <w:tcPr>
            <w:tcW w:w="2625" w:type="dxa"/>
            <w:tcMar>
              <w:top w:w="0" w:type="dxa"/>
              <w:left w:w="0" w:type="dxa"/>
              <w:bottom w:w="0" w:type="dxa"/>
              <w:right w:w="0" w:type="dxa"/>
            </w:tcMar>
            <w:vAlign w:val="bottom"/>
          </w:tcPr>
          <w:p w14:paraId="565671D7" w14:textId="77777777" w:rsidR="007F1E95" w:rsidRDefault="00037C33">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TreeProduct</w:t>
            </w:r>
            <w:proofErr w:type="spellEnd"/>
            <w:r>
              <w:rPr>
                <w:rFonts w:ascii="Times New Roman" w:eastAsia="Times New Roman" w:hAnsi="Times New Roman" w:cs="Times New Roman"/>
                <w:highlight w:val="white"/>
              </w:rPr>
              <w:t xml:space="preserve"> SP500</w:t>
            </w:r>
          </w:p>
        </w:tc>
        <w:tc>
          <w:tcPr>
            <w:tcW w:w="2055" w:type="dxa"/>
            <w:tcMar>
              <w:top w:w="0" w:type="dxa"/>
              <w:left w:w="0" w:type="dxa"/>
              <w:bottom w:w="0" w:type="dxa"/>
              <w:right w:w="0" w:type="dxa"/>
            </w:tcMar>
            <w:vAlign w:val="bottom"/>
          </w:tcPr>
          <w:p w14:paraId="4D5A2E87" w14:textId="77777777" w:rsidR="007F1E95" w:rsidRDefault="00037C33">
            <w:pPr>
              <w:widowControl w:val="0"/>
              <w:pBdr>
                <w:top w:val="nil"/>
                <w:left w:val="nil"/>
                <w:bottom w:val="nil"/>
                <w:right w:val="nil"/>
                <w:between w:val="nil"/>
              </w:pBdr>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61,477.9702</w:t>
            </w:r>
          </w:p>
        </w:tc>
        <w:tc>
          <w:tcPr>
            <w:tcW w:w="2055" w:type="dxa"/>
            <w:tcMar>
              <w:top w:w="0" w:type="dxa"/>
              <w:left w:w="0" w:type="dxa"/>
              <w:bottom w:w="0" w:type="dxa"/>
              <w:right w:w="0" w:type="dxa"/>
            </w:tcMar>
            <w:vAlign w:val="bottom"/>
          </w:tcPr>
          <w:p w14:paraId="17B7E0B0" w14:textId="77777777" w:rsidR="007F1E95" w:rsidRDefault="00037C33">
            <w:pPr>
              <w:widowControl w:val="0"/>
              <w:pBdr>
                <w:top w:val="nil"/>
                <w:left w:val="nil"/>
                <w:bottom w:val="nil"/>
                <w:right w:val="nil"/>
                <w:between w:val="nil"/>
              </w:pBdr>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-36.0960</w:t>
            </w:r>
          </w:p>
        </w:tc>
        <w:tc>
          <w:tcPr>
            <w:tcW w:w="2055" w:type="dxa"/>
            <w:tcMar>
              <w:top w:w="0" w:type="dxa"/>
              <w:left w:w="0" w:type="dxa"/>
              <w:bottom w:w="0" w:type="dxa"/>
              <w:right w:w="0" w:type="dxa"/>
            </w:tcMar>
            <w:vAlign w:val="bottom"/>
          </w:tcPr>
          <w:p w14:paraId="04338C25" w14:textId="77777777" w:rsidR="007F1E95" w:rsidRDefault="00037C33">
            <w:pPr>
              <w:widowControl w:val="0"/>
              <w:pBdr>
                <w:top w:val="nil"/>
                <w:left w:val="nil"/>
                <w:bottom w:val="nil"/>
                <w:right w:val="nil"/>
                <w:between w:val="nil"/>
              </w:pBdr>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4,337.6943</w:t>
            </w:r>
          </w:p>
        </w:tc>
      </w:tr>
      <w:tr w:rsidR="007F1E95" w14:paraId="78DA4E05" w14:textId="77777777">
        <w:tc>
          <w:tcPr>
            <w:tcW w:w="480" w:type="dxa"/>
            <w:tcMar>
              <w:top w:w="0" w:type="dxa"/>
              <w:left w:w="0" w:type="dxa"/>
              <w:bottom w:w="0" w:type="dxa"/>
              <w:right w:w="0" w:type="dxa"/>
            </w:tcMar>
            <w:vAlign w:val="bottom"/>
          </w:tcPr>
          <w:p w14:paraId="7349ED04" w14:textId="77777777" w:rsidR="007F1E95" w:rsidRDefault="00037C33">
            <w:pPr>
              <w:widowControl w:val="0"/>
              <w:pBdr>
                <w:top w:val="nil"/>
                <w:left w:val="nil"/>
                <w:bottom w:val="nil"/>
                <w:right w:val="nil"/>
                <w:between w:val="nil"/>
              </w:pBdr>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14</w:t>
            </w:r>
          </w:p>
        </w:tc>
        <w:tc>
          <w:tcPr>
            <w:tcW w:w="2625" w:type="dxa"/>
            <w:tcMar>
              <w:top w:w="0" w:type="dxa"/>
              <w:left w:w="0" w:type="dxa"/>
              <w:bottom w:w="0" w:type="dxa"/>
              <w:right w:w="0" w:type="dxa"/>
            </w:tcMar>
            <w:vAlign w:val="bottom"/>
          </w:tcPr>
          <w:p w14:paraId="7616AF95" w14:textId="77777777" w:rsidR="007F1E95" w:rsidRDefault="00037C33">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TreeProduct</w:t>
            </w:r>
            <w:proofErr w:type="spellEnd"/>
            <w:r>
              <w:rPr>
                <w:rFonts w:ascii="Times New Roman" w:eastAsia="Times New Roman" w:hAnsi="Times New Roman" w:cs="Times New Roman"/>
                <w:highlight w:val="white"/>
              </w:rPr>
              <w:t xml:space="preserve"> STI</w:t>
            </w:r>
          </w:p>
        </w:tc>
        <w:tc>
          <w:tcPr>
            <w:tcW w:w="2055" w:type="dxa"/>
            <w:tcMar>
              <w:top w:w="0" w:type="dxa"/>
              <w:left w:w="0" w:type="dxa"/>
              <w:bottom w:w="0" w:type="dxa"/>
              <w:right w:w="0" w:type="dxa"/>
            </w:tcMar>
            <w:vAlign w:val="bottom"/>
          </w:tcPr>
          <w:p w14:paraId="5F5ACE27" w14:textId="77777777" w:rsidR="007F1E95" w:rsidRDefault="00037C33">
            <w:pPr>
              <w:widowControl w:val="0"/>
              <w:pBdr>
                <w:top w:val="nil"/>
                <w:left w:val="nil"/>
                <w:bottom w:val="nil"/>
                <w:right w:val="nil"/>
                <w:between w:val="nil"/>
              </w:pBdr>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19,218.6161</w:t>
            </w:r>
          </w:p>
        </w:tc>
        <w:tc>
          <w:tcPr>
            <w:tcW w:w="2055" w:type="dxa"/>
            <w:tcMar>
              <w:top w:w="0" w:type="dxa"/>
              <w:left w:w="0" w:type="dxa"/>
              <w:bottom w:w="0" w:type="dxa"/>
              <w:right w:w="0" w:type="dxa"/>
            </w:tcMar>
            <w:vAlign w:val="bottom"/>
          </w:tcPr>
          <w:p w14:paraId="39A3A514" w14:textId="77777777" w:rsidR="007F1E95" w:rsidRDefault="00037C33">
            <w:pPr>
              <w:widowControl w:val="0"/>
              <w:pBdr>
                <w:top w:val="nil"/>
                <w:left w:val="nil"/>
                <w:bottom w:val="nil"/>
                <w:right w:val="nil"/>
                <w:between w:val="nil"/>
              </w:pBdr>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-12.2302</w:t>
            </w:r>
          </w:p>
        </w:tc>
        <w:tc>
          <w:tcPr>
            <w:tcW w:w="2055" w:type="dxa"/>
            <w:tcMar>
              <w:top w:w="0" w:type="dxa"/>
              <w:left w:w="0" w:type="dxa"/>
              <w:bottom w:w="0" w:type="dxa"/>
              <w:right w:w="0" w:type="dxa"/>
            </w:tcMar>
            <w:vAlign w:val="bottom"/>
          </w:tcPr>
          <w:p w14:paraId="5600D438" w14:textId="77777777" w:rsidR="007F1E95" w:rsidRDefault="00037C33">
            <w:pPr>
              <w:widowControl w:val="0"/>
              <w:pBdr>
                <w:top w:val="nil"/>
                <w:left w:val="nil"/>
                <w:bottom w:val="nil"/>
                <w:right w:val="nil"/>
                <w:between w:val="nil"/>
              </w:pBdr>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1,478.6226</w:t>
            </w:r>
          </w:p>
        </w:tc>
      </w:tr>
      <w:tr w:rsidR="007F1E95" w14:paraId="1C262730" w14:textId="77777777">
        <w:tc>
          <w:tcPr>
            <w:tcW w:w="480" w:type="dxa"/>
            <w:tcMar>
              <w:top w:w="0" w:type="dxa"/>
              <w:left w:w="0" w:type="dxa"/>
              <w:bottom w:w="0" w:type="dxa"/>
              <w:right w:w="0" w:type="dxa"/>
            </w:tcMar>
            <w:vAlign w:val="bottom"/>
          </w:tcPr>
          <w:p w14:paraId="69F0024F" w14:textId="77777777" w:rsidR="007F1E95" w:rsidRDefault="00037C33">
            <w:pPr>
              <w:widowControl w:val="0"/>
              <w:pBdr>
                <w:top w:val="nil"/>
                <w:left w:val="nil"/>
                <w:bottom w:val="nil"/>
                <w:right w:val="nil"/>
                <w:between w:val="nil"/>
              </w:pBdr>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15</w:t>
            </w:r>
          </w:p>
        </w:tc>
        <w:tc>
          <w:tcPr>
            <w:tcW w:w="2625" w:type="dxa"/>
            <w:tcMar>
              <w:top w:w="0" w:type="dxa"/>
              <w:left w:w="0" w:type="dxa"/>
              <w:bottom w:w="0" w:type="dxa"/>
              <w:right w:w="0" w:type="dxa"/>
            </w:tcMar>
            <w:vAlign w:val="bottom"/>
          </w:tcPr>
          <w:p w14:paraId="37959180" w14:textId="77777777" w:rsidR="007F1E95" w:rsidRDefault="00037C33">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TreeProduct</w:t>
            </w:r>
            <w:proofErr w:type="spellEnd"/>
            <w:r>
              <w:rPr>
                <w:rFonts w:ascii="Times New Roman" w:eastAsia="Times New Roman" w:hAnsi="Times New Roman" w:cs="Times New Roman"/>
                <w:highlight w:val="white"/>
              </w:rPr>
              <w:t xml:space="preserve"> STI</w:t>
            </w:r>
          </w:p>
        </w:tc>
        <w:tc>
          <w:tcPr>
            <w:tcW w:w="2055" w:type="dxa"/>
            <w:tcMar>
              <w:top w:w="0" w:type="dxa"/>
              <w:left w:w="0" w:type="dxa"/>
              <w:bottom w:w="0" w:type="dxa"/>
              <w:right w:w="0" w:type="dxa"/>
            </w:tcMar>
            <w:vAlign w:val="bottom"/>
          </w:tcPr>
          <w:p w14:paraId="7FFBBE8D" w14:textId="77777777" w:rsidR="007F1E95" w:rsidRDefault="00037C33">
            <w:pPr>
              <w:widowControl w:val="0"/>
              <w:pBdr>
                <w:top w:val="nil"/>
                <w:left w:val="nil"/>
                <w:bottom w:val="nil"/>
                <w:right w:val="nil"/>
                <w:between w:val="nil"/>
              </w:pBdr>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-21,602.4557</w:t>
            </w:r>
          </w:p>
        </w:tc>
        <w:tc>
          <w:tcPr>
            <w:tcW w:w="2055" w:type="dxa"/>
            <w:tcMar>
              <w:top w:w="0" w:type="dxa"/>
              <w:left w:w="0" w:type="dxa"/>
              <w:bottom w:w="0" w:type="dxa"/>
              <w:right w:w="0" w:type="dxa"/>
            </w:tcMar>
            <w:vAlign w:val="bottom"/>
          </w:tcPr>
          <w:p w14:paraId="77CA2C5E" w14:textId="77777777" w:rsidR="007F1E95" w:rsidRDefault="00037C33">
            <w:pPr>
              <w:widowControl w:val="0"/>
              <w:pBdr>
                <w:top w:val="nil"/>
                <w:left w:val="nil"/>
                <w:bottom w:val="nil"/>
                <w:right w:val="nil"/>
                <w:between w:val="nil"/>
              </w:pBdr>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20.1409</w:t>
            </w:r>
          </w:p>
        </w:tc>
        <w:tc>
          <w:tcPr>
            <w:tcW w:w="2055" w:type="dxa"/>
            <w:tcMar>
              <w:top w:w="0" w:type="dxa"/>
              <w:left w:w="0" w:type="dxa"/>
              <w:bottom w:w="0" w:type="dxa"/>
              <w:right w:w="0" w:type="dxa"/>
            </w:tcMar>
            <w:vAlign w:val="bottom"/>
          </w:tcPr>
          <w:p w14:paraId="221509D0" w14:textId="77777777" w:rsidR="007F1E95" w:rsidRDefault="00037C33">
            <w:pPr>
              <w:widowControl w:val="0"/>
              <w:pBdr>
                <w:top w:val="nil"/>
                <w:left w:val="nil"/>
                <w:bottom w:val="nil"/>
                <w:right w:val="nil"/>
                <w:between w:val="nil"/>
              </w:pBdr>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-2,722.9097</w:t>
            </w:r>
          </w:p>
        </w:tc>
      </w:tr>
    </w:tbl>
    <w:p w14:paraId="7EBA1FDF" w14:textId="77777777" w:rsidR="007F1E95" w:rsidRDefault="00037C33">
      <w:pPr>
        <w:spacing w:line="240" w:lineRule="auto"/>
        <w:rPr>
          <w:rFonts w:ascii="Times New Roman" w:eastAsia="Times New Roman" w:hAnsi="Times New Roman" w:cs="Times New Roman"/>
          <w:i/>
          <w:highlight w:val="white"/>
        </w:rPr>
      </w:pPr>
      <w:r>
        <w:rPr>
          <w:rFonts w:ascii="Times New Roman" w:eastAsia="Times New Roman" w:hAnsi="Times New Roman" w:cs="Times New Roman"/>
          <w:i/>
          <w:highlight w:val="white"/>
        </w:rPr>
        <w:t xml:space="preserve">*Note: Black Scholes was not used to compute the corresponding trade’s PV as shown in the output table. </w:t>
      </w:r>
    </w:p>
    <w:p w14:paraId="45659A22" w14:textId="77777777" w:rsidR="007F1E95" w:rsidRDefault="007F1E95">
      <w:pPr>
        <w:spacing w:line="240" w:lineRule="auto"/>
        <w:rPr>
          <w:rFonts w:ascii="Times New Roman" w:eastAsia="Times New Roman" w:hAnsi="Times New Roman" w:cs="Times New Roman"/>
          <w:highlight w:val="white"/>
        </w:rPr>
      </w:pPr>
    </w:p>
    <w:p w14:paraId="65D6E862" w14:textId="77777777" w:rsidR="007F1E95" w:rsidRDefault="00037C33">
      <w:pPr>
        <w:spacing w:line="240" w:lineRule="auto"/>
        <w:jc w:val="both"/>
        <w:rPr>
          <w:rFonts w:ascii="Times New Roman" w:eastAsia="Times New Roman" w:hAnsi="Times New Roman" w:cs="Times New Roman"/>
          <w:b/>
          <w:highlight w:val="white"/>
        </w:rPr>
      </w:pPr>
      <w:r>
        <w:rPr>
          <w:rFonts w:ascii="Times New Roman" w:eastAsia="Times New Roman" w:hAnsi="Times New Roman" w:cs="Times New Roman"/>
          <w:highlight w:val="white"/>
          <w:u w:val="single"/>
        </w:rPr>
        <w:t xml:space="preserve">General Observation </w:t>
      </w:r>
    </w:p>
    <w:p w14:paraId="009DF63C" w14:textId="77777777" w:rsidR="007F1E95" w:rsidRDefault="00037C33">
      <w:pPr>
        <w:numPr>
          <w:ilvl w:val="0"/>
          <w:numId w:val="3"/>
        </w:numPr>
        <w:spacing w:line="24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Swaps:</w:t>
      </w:r>
    </w:p>
    <w:p w14:paraId="46FC0E39" w14:textId="77777777" w:rsidR="007F1E95" w:rsidRDefault="00037C33">
      <w:pPr>
        <w:numPr>
          <w:ilvl w:val="0"/>
          <w:numId w:val="1"/>
        </w:numPr>
        <w:spacing w:line="240" w:lineRule="auto"/>
        <w:ind w:hanging="285"/>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All swaps show a Vega of 0.00. This is expected as their value is not directly sensitive to changes in </w:t>
      </w:r>
      <w:r>
        <w:rPr>
          <w:rFonts w:ascii="Times New Roman" w:eastAsia="Times New Roman" w:hAnsi="Times New Roman" w:cs="Times New Roman"/>
        </w:rPr>
        <w:t>volatility of the u</w:t>
      </w:r>
      <w:r>
        <w:rPr>
          <w:rFonts w:ascii="Times New Roman" w:eastAsia="Times New Roman" w:hAnsi="Times New Roman" w:cs="Times New Roman"/>
        </w:rPr>
        <w:t>nderlying interest rates as compared to options. On the other hand, swaps are primary sensitivity to interest rate movements (as reflected in Delta).</w:t>
      </w:r>
    </w:p>
    <w:p w14:paraId="4EBA83EA" w14:textId="77777777" w:rsidR="007F1E95" w:rsidRDefault="00037C33">
      <w:pPr>
        <w:numPr>
          <w:ilvl w:val="0"/>
          <w:numId w:val="1"/>
        </w:numPr>
        <w:spacing w:line="240" w:lineRule="auto"/>
        <w:ind w:hanging="285"/>
        <w:jc w:val="both"/>
        <w:rPr>
          <w:rFonts w:ascii="Times New Roman" w:eastAsia="Times New Roman" w:hAnsi="Times New Roman" w:cs="Times New Roman"/>
        </w:rPr>
      </w:pPr>
      <w:r>
        <w:rPr>
          <w:rFonts w:ascii="Times New Roman" w:eastAsia="Times New Roman" w:hAnsi="Times New Roman" w:cs="Times New Roman"/>
        </w:rPr>
        <w:t>Swaps are sensitive to Delta. A positive Delta (e.g., Swap USD-SOFR Trade 1: 1,442.25) suggests the swap's</w:t>
      </w:r>
      <w:r>
        <w:rPr>
          <w:rFonts w:ascii="Times New Roman" w:eastAsia="Times New Roman" w:hAnsi="Times New Roman" w:cs="Times New Roman"/>
        </w:rPr>
        <w:t xml:space="preserve"> PV will increase if the underlying interest rate increases, while a negative Delta (e.g., Swap USD-SOFR Trade 2: -6,212.39) suggests that the PV will decrease with an increase in the underlying rate.</w:t>
      </w:r>
    </w:p>
    <w:p w14:paraId="646379D4" w14:textId="77777777" w:rsidR="007F1E95" w:rsidRDefault="00037C33">
      <w:pPr>
        <w:numPr>
          <w:ilvl w:val="0"/>
          <w:numId w:val="1"/>
        </w:numPr>
        <w:spacing w:line="240" w:lineRule="auto"/>
        <w:ind w:hanging="285"/>
        <w:jc w:val="both"/>
        <w:rPr>
          <w:rFonts w:ascii="Times New Roman" w:eastAsia="Times New Roman" w:hAnsi="Times New Roman" w:cs="Times New Roman"/>
        </w:rPr>
      </w:pPr>
      <w:r>
        <w:rPr>
          <w:rFonts w:ascii="Times New Roman" w:eastAsia="Times New Roman" w:hAnsi="Times New Roman" w:cs="Times New Roman"/>
        </w:rPr>
        <w:t>The PV signs for swaps are consistent with the chosen d</w:t>
      </w:r>
      <w:r>
        <w:rPr>
          <w:rFonts w:ascii="Times New Roman" w:eastAsia="Times New Roman" w:hAnsi="Times New Roman" w:cs="Times New Roman"/>
        </w:rPr>
        <w:t>irection: "Pay" swaps typically have positive Delta because the present value benefits from increasing rates, while "Receive" swaps generally have negative Delta as their PV decreases when rates rise.</w:t>
      </w:r>
    </w:p>
    <w:p w14:paraId="5745A157" w14:textId="77777777" w:rsidR="007F1E95" w:rsidRDefault="00037C33">
      <w:pPr>
        <w:numPr>
          <w:ilvl w:val="0"/>
          <w:numId w:val="3"/>
        </w:numPr>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Bonds:</w:t>
      </w:r>
    </w:p>
    <w:p w14:paraId="254B72F4" w14:textId="77777777" w:rsidR="007F1E95" w:rsidRDefault="00037C33">
      <w:pPr>
        <w:numPr>
          <w:ilvl w:val="0"/>
          <w:numId w:val="1"/>
        </w:numPr>
        <w:pBdr>
          <w:top w:val="nil"/>
          <w:left w:val="nil"/>
          <w:bottom w:val="nil"/>
          <w:right w:val="nil"/>
          <w:between w:val="nil"/>
        </w:pBdr>
        <w:spacing w:line="240" w:lineRule="auto"/>
        <w:ind w:hanging="285"/>
        <w:jc w:val="both"/>
        <w:rPr>
          <w:rFonts w:ascii="Times New Roman" w:eastAsia="Times New Roman" w:hAnsi="Times New Roman" w:cs="Times New Roman"/>
        </w:rPr>
      </w:pPr>
      <w:r>
        <w:rPr>
          <w:rFonts w:ascii="Times New Roman" w:eastAsia="Times New Roman" w:hAnsi="Times New Roman" w:cs="Times New Roman"/>
        </w:rPr>
        <w:t>Similar to swaps, bonds exhibit a Vega of 0.00, as their PV value is not directly impacted by volatility in the same manner as options is. Bonds are also primarily sensitive to interest rate changes.</w:t>
      </w:r>
    </w:p>
    <w:p w14:paraId="5A85C724" w14:textId="77777777" w:rsidR="007F1E95" w:rsidRDefault="00037C33">
      <w:pPr>
        <w:numPr>
          <w:ilvl w:val="0"/>
          <w:numId w:val="1"/>
        </w:numPr>
        <w:pBdr>
          <w:top w:val="nil"/>
          <w:left w:val="nil"/>
          <w:bottom w:val="nil"/>
          <w:right w:val="nil"/>
          <w:between w:val="nil"/>
        </w:pBdr>
        <w:spacing w:line="240" w:lineRule="auto"/>
        <w:ind w:hanging="285"/>
        <w:jc w:val="both"/>
        <w:rPr>
          <w:rFonts w:ascii="Times New Roman" w:eastAsia="Times New Roman" w:hAnsi="Times New Roman" w:cs="Times New Roman"/>
        </w:rPr>
      </w:pPr>
      <w:r>
        <w:rPr>
          <w:rFonts w:ascii="Times New Roman" w:eastAsia="Times New Roman" w:hAnsi="Times New Roman" w:cs="Times New Roman"/>
        </w:rPr>
        <w:t>All bond Deltas are negative. This is typical for fixed-</w:t>
      </w:r>
      <w:r>
        <w:rPr>
          <w:rFonts w:ascii="Times New Roman" w:eastAsia="Times New Roman" w:hAnsi="Times New Roman" w:cs="Times New Roman"/>
        </w:rPr>
        <w:t xml:space="preserve">income securities; as an increase in interest rates would result in a fall in the present value of future bond cash flows, leading to a fall in the bond's price. </w:t>
      </w:r>
    </w:p>
    <w:p w14:paraId="59359B60" w14:textId="77777777" w:rsidR="007F1E95" w:rsidRDefault="00037C33">
      <w:pPr>
        <w:numPr>
          <w:ilvl w:val="0"/>
          <w:numId w:val="1"/>
        </w:numPr>
        <w:pBdr>
          <w:top w:val="nil"/>
          <w:left w:val="nil"/>
          <w:bottom w:val="nil"/>
          <w:right w:val="nil"/>
          <w:between w:val="nil"/>
        </w:pBdr>
        <w:spacing w:line="240" w:lineRule="auto"/>
        <w:ind w:hanging="285"/>
        <w:jc w:val="both"/>
        <w:rPr>
          <w:rFonts w:ascii="Times New Roman" w:eastAsia="Times New Roman" w:hAnsi="Times New Roman" w:cs="Times New Roman"/>
        </w:rPr>
      </w:pPr>
      <w:r>
        <w:rPr>
          <w:rFonts w:ascii="Times New Roman" w:eastAsia="Times New Roman" w:hAnsi="Times New Roman" w:cs="Times New Roman"/>
        </w:rPr>
        <w:t>The negative Delta in bonds reflects their sensitivity to interest rate increases, which redu</w:t>
      </w:r>
      <w:r>
        <w:rPr>
          <w:rFonts w:ascii="Times New Roman" w:eastAsia="Times New Roman" w:hAnsi="Times New Roman" w:cs="Times New Roman"/>
        </w:rPr>
        <w:t>ces the discounted present value of their fixed coupon payments and principal.</w:t>
      </w:r>
    </w:p>
    <w:p w14:paraId="78968FE8" w14:textId="77777777" w:rsidR="007F1E95" w:rsidRDefault="00037C33">
      <w:pPr>
        <w:numPr>
          <w:ilvl w:val="0"/>
          <w:numId w:val="3"/>
        </w:numPr>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Tree Products (APPL, SP500, STI):</w:t>
      </w:r>
    </w:p>
    <w:p w14:paraId="431BB5E9" w14:textId="77777777" w:rsidR="007F1E95" w:rsidRDefault="00037C33">
      <w:pPr>
        <w:numPr>
          <w:ilvl w:val="0"/>
          <w:numId w:val="1"/>
        </w:numPr>
        <w:pBdr>
          <w:top w:val="nil"/>
          <w:left w:val="nil"/>
          <w:bottom w:val="nil"/>
          <w:right w:val="nil"/>
          <w:between w:val="nil"/>
        </w:pBdr>
        <w:spacing w:line="240" w:lineRule="auto"/>
        <w:ind w:hanging="285"/>
        <w:jc w:val="both"/>
        <w:rPr>
          <w:rFonts w:ascii="Times New Roman" w:eastAsia="Times New Roman" w:hAnsi="Times New Roman" w:cs="Times New Roman"/>
        </w:rPr>
      </w:pPr>
      <w:r>
        <w:rPr>
          <w:rFonts w:ascii="Times New Roman" w:eastAsia="Times New Roman" w:hAnsi="Times New Roman" w:cs="Times New Roman"/>
        </w:rPr>
        <w:t>Only the Tree Products have non-zero Vega values. Notably, Vega measures sensitivity to volatility.</w:t>
      </w:r>
    </w:p>
    <w:p w14:paraId="191E8496" w14:textId="77777777" w:rsidR="007F1E95" w:rsidRDefault="00037C33">
      <w:pPr>
        <w:numPr>
          <w:ilvl w:val="2"/>
          <w:numId w:val="2"/>
        </w:numPr>
        <w:spacing w:line="240" w:lineRule="auto"/>
        <w:ind w:left="850"/>
        <w:jc w:val="both"/>
        <w:rPr>
          <w:rFonts w:ascii="Times New Roman" w:eastAsia="Times New Roman" w:hAnsi="Times New Roman" w:cs="Times New Roman"/>
        </w:rPr>
      </w:pPr>
      <w:r>
        <w:rPr>
          <w:rFonts w:ascii="Times New Roman" w:eastAsia="Times New Roman" w:hAnsi="Times New Roman" w:cs="Times New Roman"/>
        </w:rPr>
        <w:t xml:space="preserve">Positive Vega (e.g., </w:t>
      </w:r>
      <w:proofErr w:type="spellStart"/>
      <w:r>
        <w:rPr>
          <w:rFonts w:ascii="Times New Roman" w:eastAsia="Times New Roman" w:hAnsi="Times New Roman" w:cs="Times New Roman"/>
        </w:rPr>
        <w:t>TreeProduct</w:t>
      </w:r>
      <w:proofErr w:type="spellEnd"/>
      <w:r>
        <w:rPr>
          <w:rFonts w:ascii="Times New Roman" w:eastAsia="Times New Roman" w:hAnsi="Times New Roman" w:cs="Times New Roman"/>
        </w:rPr>
        <w:t xml:space="preserve"> SP500: Trades 9 and 13; </w:t>
      </w:r>
      <w:proofErr w:type="spellStart"/>
      <w:r>
        <w:rPr>
          <w:rFonts w:ascii="Times New Roman" w:eastAsia="Times New Roman" w:hAnsi="Times New Roman" w:cs="Times New Roman"/>
        </w:rPr>
        <w:t>TreeProduct</w:t>
      </w:r>
      <w:proofErr w:type="spellEnd"/>
      <w:r>
        <w:rPr>
          <w:rFonts w:ascii="Times New Roman" w:eastAsia="Times New Roman" w:hAnsi="Times New Roman" w:cs="Times New Roman"/>
        </w:rPr>
        <w:t xml:space="preserve"> STI: Trades 10 and 14) indicates that the value of these positions will increase if the implied volatility of the underlying asset increases. </w:t>
      </w:r>
    </w:p>
    <w:p w14:paraId="42D13945" w14:textId="77777777" w:rsidR="007F1E95" w:rsidRDefault="00037C33">
      <w:pPr>
        <w:numPr>
          <w:ilvl w:val="2"/>
          <w:numId w:val="2"/>
        </w:numPr>
        <w:spacing w:line="240" w:lineRule="auto"/>
        <w:ind w:left="850"/>
        <w:jc w:val="both"/>
        <w:rPr>
          <w:rFonts w:ascii="Times New Roman" w:eastAsia="Times New Roman" w:hAnsi="Times New Roman" w:cs="Times New Roman"/>
        </w:rPr>
      </w:pPr>
      <w:r>
        <w:rPr>
          <w:rFonts w:ascii="Times New Roman" w:eastAsia="Times New Roman" w:hAnsi="Times New Roman" w:cs="Times New Roman"/>
        </w:rPr>
        <w:t xml:space="preserve">Negative Vega (e.g., </w:t>
      </w:r>
      <w:proofErr w:type="spellStart"/>
      <w:r>
        <w:rPr>
          <w:rFonts w:ascii="Times New Roman" w:eastAsia="Times New Roman" w:hAnsi="Times New Roman" w:cs="Times New Roman"/>
        </w:rPr>
        <w:t>TreeProduct</w:t>
      </w:r>
      <w:proofErr w:type="spellEnd"/>
      <w:r>
        <w:rPr>
          <w:rFonts w:ascii="Times New Roman" w:eastAsia="Times New Roman" w:hAnsi="Times New Roman" w:cs="Times New Roman"/>
        </w:rPr>
        <w:t xml:space="preserve"> APPL: Trade</w:t>
      </w:r>
      <w:r>
        <w:rPr>
          <w:rFonts w:ascii="Times New Roman" w:eastAsia="Times New Roman" w:hAnsi="Times New Roman" w:cs="Times New Roman"/>
        </w:rPr>
        <w:t xml:space="preserve"> 8; </w:t>
      </w:r>
      <w:proofErr w:type="spellStart"/>
      <w:r>
        <w:rPr>
          <w:rFonts w:ascii="Times New Roman" w:eastAsia="Times New Roman" w:hAnsi="Times New Roman" w:cs="Times New Roman"/>
        </w:rPr>
        <w:t>TreeProduct</w:t>
      </w:r>
      <w:proofErr w:type="spellEnd"/>
      <w:r>
        <w:rPr>
          <w:rFonts w:ascii="Times New Roman" w:eastAsia="Times New Roman" w:hAnsi="Times New Roman" w:cs="Times New Roman"/>
        </w:rPr>
        <w:t xml:space="preserve"> STI: Trades 11 and 15) suggests that the value of these positions will decrease if implied volatility rises. </w:t>
      </w:r>
    </w:p>
    <w:p w14:paraId="6F8EF08B" w14:textId="77777777" w:rsidR="007F1E95" w:rsidRDefault="00037C33">
      <w:pPr>
        <w:numPr>
          <w:ilvl w:val="2"/>
          <w:numId w:val="2"/>
        </w:numPr>
        <w:spacing w:line="240" w:lineRule="auto"/>
        <w:ind w:left="850"/>
        <w:jc w:val="both"/>
        <w:rPr>
          <w:rFonts w:ascii="Times New Roman" w:eastAsia="Times New Roman" w:hAnsi="Times New Roman" w:cs="Times New Roman"/>
        </w:rPr>
      </w:pPr>
      <w:r>
        <w:rPr>
          <w:rFonts w:ascii="Times New Roman" w:eastAsia="Times New Roman" w:hAnsi="Times New Roman" w:cs="Times New Roman"/>
        </w:rPr>
        <w:t>This is consistent with option theory: long option positions typically have positive Vega, meaning they gain value when volatility</w:t>
      </w:r>
      <w:r>
        <w:rPr>
          <w:rFonts w:ascii="Times New Roman" w:eastAsia="Times New Roman" w:hAnsi="Times New Roman" w:cs="Times New Roman"/>
        </w:rPr>
        <w:t xml:space="preserve"> increases, while short option positions generally have negative Vega, meaning they lose value when volatility increases.</w:t>
      </w:r>
    </w:p>
    <w:p w14:paraId="59AEF496" w14:textId="77777777" w:rsidR="007F1E95" w:rsidRDefault="007F1E95">
      <w:pPr>
        <w:spacing w:line="240" w:lineRule="auto"/>
        <w:jc w:val="both"/>
        <w:rPr>
          <w:rFonts w:ascii="Times New Roman" w:eastAsia="Times New Roman" w:hAnsi="Times New Roman" w:cs="Times New Roman"/>
          <w:b/>
        </w:rPr>
      </w:pPr>
    </w:p>
    <w:p w14:paraId="27EA1482" w14:textId="77777777" w:rsidR="007F1E95" w:rsidRDefault="00037C33">
      <w:pPr>
        <w:spacing w:line="240" w:lineRule="auto"/>
        <w:jc w:val="both"/>
        <w:rPr>
          <w:rFonts w:ascii="Times New Roman" w:eastAsia="Times New Roman" w:hAnsi="Times New Roman" w:cs="Times New Roman"/>
          <w:b/>
        </w:rPr>
      </w:pPr>
      <w:r>
        <w:rPr>
          <w:rFonts w:ascii="Times New Roman" w:eastAsia="Times New Roman" w:hAnsi="Times New Roman" w:cs="Times New Roman"/>
          <w:b/>
        </w:rPr>
        <w:t>Overall Portfolio Characteristics:</w:t>
      </w:r>
    </w:p>
    <w:p w14:paraId="5A2175EC" w14:textId="77777777" w:rsidR="007F1E95" w:rsidRDefault="00037C33">
      <w:pPr>
        <w:spacing w:line="240" w:lineRule="auto"/>
        <w:jc w:val="both"/>
        <w:rPr>
          <w:rFonts w:ascii="Times New Roman" w:eastAsia="Times New Roman" w:hAnsi="Times New Roman" w:cs="Times New Roman"/>
        </w:rPr>
      </w:pPr>
      <w:r>
        <w:rPr>
          <w:rFonts w:ascii="Times New Roman" w:eastAsia="Times New Roman" w:hAnsi="Times New Roman" w:cs="Times New Roman"/>
        </w:rPr>
        <w:t>The portfolio is diversified across different asset classes (fixed income, derivatives) and curren</w:t>
      </w:r>
      <w:r>
        <w:rPr>
          <w:rFonts w:ascii="Times New Roman" w:eastAsia="Times New Roman" w:hAnsi="Times New Roman" w:cs="Times New Roman"/>
        </w:rPr>
        <w:t>cies (USD, SGD). The presence of significant Vega values from the "Tree Products" suggests that the portfolio has exposure to market volatility. The combination of positive and negative PVs and Deltas across the various securities indicates a complex set o</w:t>
      </w:r>
      <w:r>
        <w:rPr>
          <w:rFonts w:ascii="Times New Roman" w:eastAsia="Times New Roman" w:hAnsi="Times New Roman" w:cs="Times New Roman"/>
        </w:rPr>
        <w:t>f positions designed to manage risk and generate returns based on different market views (interest rate movements, volatility changes, and underlying asset price movements).</w:t>
      </w:r>
    </w:p>
    <w:p w14:paraId="50B5CF80" w14:textId="77777777" w:rsidR="007F1E95" w:rsidRDefault="007F1E95">
      <w:pPr>
        <w:spacing w:line="240" w:lineRule="auto"/>
        <w:rPr>
          <w:rFonts w:ascii="Times New Roman" w:eastAsia="Times New Roman" w:hAnsi="Times New Roman" w:cs="Times New Roman"/>
        </w:rPr>
      </w:pPr>
    </w:p>
    <w:p w14:paraId="69E64980" w14:textId="77777777" w:rsidR="007F1E95" w:rsidRDefault="00037C33">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Comparing tree model price of European vs Black, and explain the difference</w:t>
      </w:r>
    </w:p>
    <w:p w14:paraId="429E91D6" w14:textId="77777777" w:rsidR="007F1E95" w:rsidRDefault="007F1E95">
      <w:pPr>
        <w:spacing w:line="240" w:lineRule="auto"/>
        <w:rPr>
          <w:rFonts w:ascii="Times New Roman" w:eastAsia="Times New Roman" w:hAnsi="Times New Roman" w:cs="Times New Roman"/>
        </w:rPr>
      </w:pPr>
    </w:p>
    <w:tbl>
      <w:tblPr>
        <w:tblStyle w:val="a0"/>
        <w:tblW w:w="9375" w:type="dxa"/>
        <w:tblInd w:w="0" w:type="dxa"/>
        <w:tblLayout w:type="fixed"/>
        <w:tblLook w:val="0600" w:firstRow="0" w:lastRow="0" w:firstColumn="0" w:lastColumn="0" w:noHBand="1" w:noVBand="1"/>
      </w:tblPr>
      <w:tblGrid>
        <w:gridCol w:w="465"/>
        <w:gridCol w:w="1275"/>
        <w:gridCol w:w="930"/>
        <w:gridCol w:w="1110"/>
        <w:gridCol w:w="1530"/>
        <w:gridCol w:w="1410"/>
        <w:gridCol w:w="1215"/>
        <w:gridCol w:w="1440"/>
      </w:tblGrid>
      <w:tr w:rsidR="007F1E95" w14:paraId="33F5ECC2" w14:textId="77777777">
        <w:tc>
          <w:tcPr>
            <w:tcW w:w="4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84D8C84"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b/>
              </w:rPr>
              <w:t>ID</w:t>
            </w:r>
          </w:p>
        </w:tc>
        <w:tc>
          <w:tcPr>
            <w:tcW w:w="1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21492A0"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b/>
              </w:rPr>
              <w:t>Underlying</w:t>
            </w:r>
          </w:p>
        </w:tc>
        <w:tc>
          <w:tcPr>
            <w:tcW w:w="9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A49C277"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b/>
              </w:rPr>
              <w:t>Option</w:t>
            </w:r>
          </w:p>
        </w:tc>
        <w:tc>
          <w:tcPr>
            <w:tcW w:w="11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AB62DDD"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b/>
              </w:rPr>
              <w:t>Direction</w:t>
            </w:r>
          </w:p>
        </w:tc>
        <w:tc>
          <w:tcPr>
            <w:tcW w:w="1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A0A60F0"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b/>
              </w:rPr>
              <w:t>Model</w:t>
            </w:r>
          </w:p>
        </w:tc>
        <w:tc>
          <w:tcPr>
            <w:tcW w:w="14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B358F03"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b/>
              </w:rPr>
              <w:t>PV</w:t>
            </w:r>
          </w:p>
        </w:tc>
        <w:tc>
          <w:tcPr>
            <w:tcW w:w="12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0BC25ED"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b/>
              </w:rPr>
              <w:t>Delta</w:t>
            </w:r>
          </w:p>
        </w:tc>
        <w:tc>
          <w:tcPr>
            <w:tcW w:w="1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D07EC01"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b/>
              </w:rPr>
              <w:t>Vega</w:t>
            </w:r>
          </w:p>
        </w:tc>
      </w:tr>
      <w:tr w:rsidR="007F1E95" w14:paraId="18FCF41D" w14:textId="77777777">
        <w:tc>
          <w:tcPr>
            <w:tcW w:w="4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C8894D5"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EC29EBA"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APPL</w:t>
            </w:r>
          </w:p>
        </w:tc>
        <w:tc>
          <w:tcPr>
            <w:tcW w:w="9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B4FF60D"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Call</w:t>
            </w:r>
          </w:p>
        </w:tc>
        <w:tc>
          <w:tcPr>
            <w:tcW w:w="11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59F1835"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Short</w:t>
            </w:r>
          </w:p>
        </w:tc>
        <w:tc>
          <w:tcPr>
            <w:tcW w:w="1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37067AC"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European</w:t>
            </w:r>
          </w:p>
        </w:tc>
        <w:tc>
          <w:tcPr>
            <w:tcW w:w="14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A45F0B8"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-5,945.97</w:t>
            </w:r>
          </w:p>
        </w:tc>
        <w:tc>
          <w:tcPr>
            <w:tcW w:w="12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830CEBC"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-2.05</w:t>
            </w:r>
          </w:p>
        </w:tc>
        <w:tc>
          <w:tcPr>
            <w:tcW w:w="1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377E0EF"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-148.72</w:t>
            </w:r>
          </w:p>
        </w:tc>
      </w:tr>
      <w:tr w:rsidR="007F1E95" w14:paraId="45601CF9" w14:textId="77777777">
        <w:tc>
          <w:tcPr>
            <w:tcW w:w="4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B2DB45B"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36CED42"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APPL</w:t>
            </w:r>
          </w:p>
        </w:tc>
        <w:tc>
          <w:tcPr>
            <w:tcW w:w="9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4D6F3E3"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Call</w:t>
            </w:r>
          </w:p>
        </w:tc>
        <w:tc>
          <w:tcPr>
            <w:tcW w:w="11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5572F6C"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Short</w:t>
            </w:r>
          </w:p>
        </w:tc>
        <w:tc>
          <w:tcPr>
            <w:tcW w:w="1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CC3018D"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Black-Scholes</w:t>
            </w:r>
          </w:p>
        </w:tc>
        <w:tc>
          <w:tcPr>
            <w:tcW w:w="14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1F445C"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-5,945.97</w:t>
            </w:r>
          </w:p>
        </w:tc>
        <w:tc>
          <w:tcPr>
            <w:tcW w:w="12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A8E317F"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-2.05</w:t>
            </w:r>
          </w:p>
        </w:tc>
        <w:tc>
          <w:tcPr>
            <w:tcW w:w="1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C0DB831"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-148.72</w:t>
            </w:r>
          </w:p>
        </w:tc>
      </w:tr>
      <w:tr w:rsidR="007F1E95" w14:paraId="604C7C68" w14:textId="77777777">
        <w:tc>
          <w:tcPr>
            <w:tcW w:w="4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34448E3"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1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DACEA6E"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SP500</w:t>
            </w:r>
          </w:p>
        </w:tc>
        <w:tc>
          <w:tcPr>
            <w:tcW w:w="9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DAA601E"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Put</w:t>
            </w:r>
          </w:p>
        </w:tc>
        <w:tc>
          <w:tcPr>
            <w:tcW w:w="11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C3636C9"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Long</w:t>
            </w:r>
          </w:p>
        </w:tc>
        <w:tc>
          <w:tcPr>
            <w:tcW w:w="1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6E0BFB2"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European</w:t>
            </w:r>
          </w:p>
        </w:tc>
        <w:tc>
          <w:tcPr>
            <w:tcW w:w="14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726E11D"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48,765.81</w:t>
            </w:r>
          </w:p>
        </w:tc>
        <w:tc>
          <w:tcPr>
            <w:tcW w:w="12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996DA04"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-60.92</w:t>
            </w:r>
          </w:p>
        </w:tc>
        <w:tc>
          <w:tcPr>
            <w:tcW w:w="1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B36CC67"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4,653.34</w:t>
            </w:r>
          </w:p>
        </w:tc>
      </w:tr>
      <w:tr w:rsidR="007F1E95" w14:paraId="4A2F8DD1" w14:textId="77777777">
        <w:tc>
          <w:tcPr>
            <w:tcW w:w="4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14D9EAF"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1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9CD97E9"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SP500</w:t>
            </w:r>
          </w:p>
        </w:tc>
        <w:tc>
          <w:tcPr>
            <w:tcW w:w="9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F4994B1"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Put</w:t>
            </w:r>
          </w:p>
        </w:tc>
        <w:tc>
          <w:tcPr>
            <w:tcW w:w="11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4DA3C57"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Long</w:t>
            </w:r>
          </w:p>
        </w:tc>
        <w:tc>
          <w:tcPr>
            <w:tcW w:w="1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349C120"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Black-Scholes</w:t>
            </w:r>
          </w:p>
        </w:tc>
        <w:tc>
          <w:tcPr>
            <w:tcW w:w="14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F82DBA3"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48,765.81</w:t>
            </w:r>
          </w:p>
        </w:tc>
        <w:tc>
          <w:tcPr>
            <w:tcW w:w="12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A30F587"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-60.92</w:t>
            </w:r>
          </w:p>
        </w:tc>
        <w:tc>
          <w:tcPr>
            <w:tcW w:w="1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347F285"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4,653.34</w:t>
            </w:r>
          </w:p>
        </w:tc>
      </w:tr>
      <w:tr w:rsidR="007F1E95" w14:paraId="7AC9FFE8" w14:textId="77777777">
        <w:tc>
          <w:tcPr>
            <w:tcW w:w="4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D6058EE"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4405950"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STI</w:t>
            </w:r>
          </w:p>
        </w:tc>
        <w:tc>
          <w:tcPr>
            <w:tcW w:w="9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3AF040B"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Put</w:t>
            </w:r>
          </w:p>
        </w:tc>
        <w:tc>
          <w:tcPr>
            <w:tcW w:w="11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C3AD364"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Long</w:t>
            </w:r>
          </w:p>
        </w:tc>
        <w:tc>
          <w:tcPr>
            <w:tcW w:w="1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7CC826A"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European</w:t>
            </w:r>
          </w:p>
        </w:tc>
        <w:tc>
          <w:tcPr>
            <w:tcW w:w="14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BB3E350"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15,363.76</w:t>
            </w:r>
          </w:p>
        </w:tc>
        <w:tc>
          <w:tcPr>
            <w:tcW w:w="12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F2466DA"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-19.56</w:t>
            </w:r>
          </w:p>
        </w:tc>
        <w:tc>
          <w:tcPr>
            <w:tcW w:w="1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28A9D86"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1,537.70</w:t>
            </w:r>
          </w:p>
        </w:tc>
      </w:tr>
      <w:tr w:rsidR="007F1E95" w14:paraId="3772F7B6" w14:textId="77777777">
        <w:tc>
          <w:tcPr>
            <w:tcW w:w="4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26B6C81"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E2E6934"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STI</w:t>
            </w:r>
          </w:p>
        </w:tc>
        <w:tc>
          <w:tcPr>
            <w:tcW w:w="9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586CFA6"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Put</w:t>
            </w:r>
          </w:p>
        </w:tc>
        <w:tc>
          <w:tcPr>
            <w:tcW w:w="11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FD8F264"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Long</w:t>
            </w:r>
          </w:p>
        </w:tc>
        <w:tc>
          <w:tcPr>
            <w:tcW w:w="1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0D7AD10"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Black-Scholes</w:t>
            </w:r>
          </w:p>
        </w:tc>
        <w:tc>
          <w:tcPr>
            <w:tcW w:w="14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D170446"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15,363.76</w:t>
            </w:r>
          </w:p>
        </w:tc>
        <w:tc>
          <w:tcPr>
            <w:tcW w:w="12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70BB384"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-19.56</w:t>
            </w:r>
          </w:p>
        </w:tc>
        <w:tc>
          <w:tcPr>
            <w:tcW w:w="1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6F2B0BC"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1,537.70</w:t>
            </w:r>
          </w:p>
        </w:tc>
      </w:tr>
      <w:tr w:rsidR="007F1E95" w14:paraId="6D2E11BF" w14:textId="77777777">
        <w:tc>
          <w:tcPr>
            <w:tcW w:w="4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095CBAC"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1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DB35510"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STI</w:t>
            </w:r>
          </w:p>
        </w:tc>
        <w:tc>
          <w:tcPr>
            <w:tcW w:w="9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3D2F68C"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Put</w:t>
            </w:r>
          </w:p>
        </w:tc>
        <w:tc>
          <w:tcPr>
            <w:tcW w:w="11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F490105"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Short</w:t>
            </w:r>
          </w:p>
        </w:tc>
        <w:tc>
          <w:tcPr>
            <w:tcW w:w="1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EB90471"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European</w:t>
            </w:r>
          </w:p>
        </w:tc>
        <w:tc>
          <w:tcPr>
            <w:tcW w:w="14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AEC44E8"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-17,905.90</w:t>
            </w:r>
          </w:p>
        </w:tc>
        <w:tc>
          <w:tcPr>
            <w:tcW w:w="12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51C5AAA"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25.90</w:t>
            </w:r>
          </w:p>
        </w:tc>
        <w:tc>
          <w:tcPr>
            <w:tcW w:w="1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BCEF231"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-2,569.47</w:t>
            </w:r>
          </w:p>
        </w:tc>
      </w:tr>
      <w:tr w:rsidR="007F1E95" w14:paraId="542A68AE" w14:textId="77777777">
        <w:tc>
          <w:tcPr>
            <w:tcW w:w="4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B6BC553"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1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07DBB3A"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STI</w:t>
            </w:r>
          </w:p>
        </w:tc>
        <w:tc>
          <w:tcPr>
            <w:tcW w:w="9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2844AC8"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Put</w:t>
            </w:r>
          </w:p>
        </w:tc>
        <w:tc>
          <w:tcPr>
            <w:tcW w:w="11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835A2A9"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Short</w:t>
            </w:r>
          </w:p>
        </w:tc>
        <w:tc>
          <w:tcPr>
            <w:tcW w:w="1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CAE1C96"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Black-Scholes</w:t>
            </w:r>
          </w:p>
        </w:tc>
        <w:tc>
          <w:tcPr>
            <w:tcW w:w="14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E8B959C"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-17,905.90</w:t>
            </w:r>
          </w:p>
        </w:tc>
        <w:tc>
          <w:tcPr>
            <w:tcW w:w="12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BF769E5"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25.90</w:t>
            </w:r>
          </w:p>
        </w:tc>
        <w:tc>
          <w:tcPr>
            <w:tcW w:w="1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DA66981" w14:textId="77777777" w:rsidR="007F1E95" w:rsidRDefault="00037C33">
            <w:pPr>
              <w:spacing w:line="240" w:lineRule="auto"/>
              <w:jc w:val="center"/>
              <w:rPr>
                <w:rFonts w:ascii="Times New Roman" w:eastAsia="Times New Roman" w:hAnsi="Times New Roman" w:cs="Times New Roman"/>
              </w:rPr>
            </w:pPr>
            <w:r>
              <w:rPr>
                <w:rFonts w:ascii="Times New Roman" w:eastAsia="Times New Roman" w:hAnsi="Times New Roman" w:cs="Times New Roman"/>
              </w:rPr>
              <w:t>-2,569.47</w:t>
            </w:r>
          </w:p>
        </w:tc>
      </w:tr>
    </w:tbl>
    <w:p w14:paraId="79FECDD9" w14:textId="77777777" w:rsidR="007F1E95" w:rsidRDefault="007F1E95">
      <w:pPr>
        <w:spacing w:line="240" w:lineRule="auto"/>
        <w:rPr>
          <w:rFonts w:ascii="Times New Roman" w:eastAsia="Times New Roman" w:hAnsi="Times New Roman" w:cs="Times New Roman"/>
        </w:rPr>
      </w:pPr>
    </w:p>
    <w:p w14:paraId="3F2BFA97" w14:textId="77777777" w:rsidR="007F1E95" w:rsidRDefault="00037C33">
      <w:pPr>
        <w:spacing w:line="240" w:lineRule="auto"/>
        <w:jc w:val="both"/>
        <w:rPr>
          <w:rFonts w:ascii="Times New Roman" w:eastAsia="Times New Roman" w:hAnsi="Times New Roman" w:cs="Times New Roman"/>
        </w:rPr>
      </w:pPr>
      <w:r>
        <w:rPr>
          <w:rFonts w:ascii="Times New Roman" w:eastAsia="Times New Roman" w:hAnsi="Times New Roman" w:cs="Times New Roman"/>
        </w:rPr>
        <w:t>All PVs, Delta and Vega are identical</w:t>
      </w:r>
      <w:r>
        <w:rPr>
          <w:rFonts w:ascii="Times New Roman" w:eastAsia="Times New Roman" w:hAnsi="Times New Roman" w:cs="Times New Roman"/>
        </w:rPr>
        <w:t xml:space="preserve"> between the Tree model and Black-Scholes model which suggests that the number of steps, 50 chosen for the European tree model, was sufficient to approximate to the Black-Scholes accurately. This is because European options have no early exercise feature w</w:t>
      </w:r>
      <w:r>
        <w:rPr>
          <w:rFonts w:ascii="Times New Roman" w:eastAsia="Times New Roman" w:hAnsi="Times New Roman" w:cs="Times New Roman"/>
        </w:rPr>
        <w:t>ith no dividend assumed. This assumption is in alignment with the Black-</w:t>
      </w:r>
      <w:proofErr w:type="spellStart"/>
      <w:r>
        <w:rPr>
          <w:rFonts w:ascii="Times New Roman" w:eastAsia="Times New Roman" w:hAnsi="Times New Roman" w:cs="Times New Roman"/>
        </w:rPr>
        <w:t>scholes</w:t>
      </w:r>
      <w:proofErr w:type="spellEnd"/>
      <w:r>
        <w:rPr>
          <w:rFonts w:ascii="Times New Roman" w:eastAsia="Times New Roman" w:hAnsi="Times New Roman" w:cs="Times New Roman"/>
        </w:rPr>
        <w:t xml:space="preserve"> model. The convergence of the tree model to Black-Scholes is expected as the number of time steps increases, confirming that the binomial tree model is consistent and robust fo</w:t>
      </w:r>
      <w:r>
        <w:rPr>
          <w:rFonts w:ascii="Times New Roman" w:eastAsia="Times New Roman" w:hAnsi="Times New Roman" w:cs="Times New Roman"/>
        </w:rPr>
        <w:t>r European option pricing.</w:t>
      </w:r>
    </w:p>
    <w:p w14:paraId="153936F8" w14:textId="77777777" w:rsidR="007F1E95" w:rsidRDefault="007F1E95">
      <w:pPr>
        <w:spacing w:line="240" w:lineRule="auto"/>
        <w:rPr>
          <w:rFonts w:ascii="Times New Roman" w:eastAsia="Times New Roman" w:hAnsi="Times New Roman" w:cs="Times New Roman"/>
        </w:rPr>
      </w:pPr>
    </w:p>
    <w:p w14:paraId="4EFE7FD7" w14:textId="77777777" w:rsidR="007F1E95" w:rsidRDefault="00037C33">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Comparing the American and European trade </w:t>
      </w:r>
      <w:proofErr w:type="spellStart"/>
      <w:r>
        <w:rPr>
          <w:rFonts w:ascii="Times New Roman" w:eastAsia="Times New Roman" w:hAnsi="Times New Roman" w:cs="Times New Roman"/>
        </w:rPr>
        <w:t>pv</w:t>
      </w:r>
      <w:proofErr w:type="spellEnd"/>
      <w:r>
        <w:rPr>
          <w:rFonts w:ascii="Times New Roman" w:eastAsia="Times New Roman" w:hAnsi="Times New Roman" w:cs="Times New Roman"/>
        </w:rPr>
        <w:t xml:space="preserve"> and explain the difference.</w:t>
      </w:r>
    </w:p>
    <w:p w14:paraId="147B3A58" w14:textId="77777777" w:rsidR="007F1E95" w:rsidRDefault="007F1E95">
      <w:pPr>
        <w:pBdr>
          <w:top w:val="nil"/>
          <w:left w:val="nil"/>
          <w:bottom w:val="nil"/>
          <w:right w:val="nil"/>
          <w:between w:val="nil"/>
        </w:pBdr>
        <w:spacing w:line="240" w:lineRule="auto"/>
        <w:jc w:val="both"/>
        <w:rPr>
          <w:rFonts w:ascii="Times New Roman" w:eastAsia="Times New Roman" w:hAnsi="Times New Roman" w:cs="Times New Roman"/>
        </w:rPr>
      </w:pPr>
    </w:p>
    <w:p w14:paraId="5679F046" w14:textId="77777777" w:rsidR="007F1E95" w:rsidRDefault="00037C33">
      <w:p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Generally, as seen, American options tend to have consistently higher PVs (Trades 13, 14, 15) than those that are European Options (Trades 9, 10, 11), esp</w:t>
      </w:r>
      <w:r>
        <w:rPr>
          <w:rFonts w:ascii="Times New Roman" w:eastAsia="Times New Roman" w:hAnsi="Times New Roman" w:cs="Times New Roman"/>
        </w:rPr>
        <w:t>ecially for puts. The results are likely attributed to American puts being able to benefit from early exercise, especially in a falling market or with high dividends. As such, the value of early exercise is captured by the tree model, but not in European-s</w:t>
      </w:r>
      <w:r>
        <w:rPr>
          <w:rFonts w:ascii="Times New Roman" w:eastAsia="Times New Roman" w:hAnsi="Times New Roman" w:cs="Times New Roman"/>
        </w:rPr>
        <w:t>tyle pricing. Early exercise is typically more valuable for puts than for calls, as puts can be exercised to lock in value if the underlying asset price falls significantly.</w:t>
      </w:r>
    </w:p>
    <w:p w14:paraId="1F039103" w14:textId="77777777" w:rsidR="007F1E95" w:rsidRDefault="007F1E95">
      <w:pPr>
        <w:pBdr>
          <w:top w:val="nil"/>
          <w:left w:val="nil"/>
          <w:bottom w:val="nil"/>
          <w:right w:val="nil"/>
          <w:between w:val="nil"/>
        </w:pBdr>
        <w:spacing w:line="240" w:lineRule="auto"/>
        <w:jc w:val="both"/>
        <w:rPr>
          <w:rFonts w:ascii="Times New Roman" w:eastAsia="Times New Roman" w:hAnsi="Times New Roman" w:cs="Times New Roman"/>
        </w:rPr>
      </w:pPr>
    </w:p>
    <w:p w14:paraId="66DEE2ED" w14:textId="77777777" w:rsidR="007F1E95" w:rsidRDefault="00037C33">
      <w:p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Additionally, it is noted that notably, the </w:t>
      </w:r>
      <w:r>
        <w:rPr>
          <w:rFonts w:ascii="Times New Roman" w:eastAsia="Times New Roman" w:hAnsi="Times New Roman" w:cs="Times New Roman"/>
        </w:rPr>
        <w:t xml:space="preserve">call options on AAPL (Trades 8 &amp; 12) have identical PVs, indicating that either no dividends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expected AAPL, or that the market conditions don’t justify early exercise (e.g., deep out-of-the-money call).</w:t>
      </w:r>
    </w:p>
    <w:p w14:paraId="0FB478D7" w14:textId="77777777" w:rsidR="007F1E95" w:rsidRDefault="007F1E95">
      <w:pPr>
        <w:spacing w:line="240" w:lineRule="auto"/>
        <w:rPr>
          <w:rFonts w:ascii="Times New Roman" w:eastAsia="Times New Roman" w:hAnsi="Times New Roman" w:cs="Times New Roman"/>
          <w:highlight w:val="white"/>
        </w:rPr>
      </w:pPr>
    </w:p>
    <w:p w14:paraId="198C824F" w14:textId="77777777" w:rsidR="007F1E95" w:rsidRDefault="007F1E95">
      <w:pPr>
        <w:spacing w:line="240" w:lineRule="auto"/>
        <w:rPr>
          <w:rFonts w:ascii="Times New Roman" w:eastAsia="Times New Roman" w:hAnsi="Times New Roman" w:cs="Times New Roman"/>
          <w:highlight w:val="white"/>
        </w:rPr>
      </w:pPr>
    </w:p>
    <w:p w14:paraId="3E6FDF00" w14:textId="77777777" w:rsidR="007F1E95" w:rsidRDefault="007F1E95">
      <w:pPr>
        <w:spacing w:line="240" w:lineRule="auto"/>
        <w:rPr>
          <w:rFonts w:ascii="Times New Roman" w:eastAsia="Times New Roman" w:hAnsi="Times New Roman" w:cs="Times New Roman"/>
          <w:highlight w:val="white"/>
        </w:rPr>
      </w:pPr>
    </w:p>
    <w:p w14:paraId="64CAD5B8" w14:textId="77777777" w:rsidR="007F1E95" w:rsidRDefault="007F1E95">
      <w:pPr>
        <w:spacing w:line="240" w:lineRule="auto"/>
        <w:rPr>
          <w:rFonts w:ascii="Times New Roman" w:eastAsia="Times New Roman" w:hAnsi="Times New Roman" w:cs="Times New Roman"/>
          <w:highlight w:val="white"/>
        </w:rPr>
      </w:pPr>
    </w:p>
    <w:p w14:paraId="5475E210" w14:textId="77777777" w:rsidR="007F1E95" w:rsidRDefault="007F1E95">
      <w:pPr>
        <w:spacing w:line="240" w:lineRule="auto"/>
        <w:rPr>
          <w:rFonts w:ascii="Times New Roman" w:eastAsia="Times New Roman" w:hAnsi="Times New Roman" w:cs="Times New Roman"/>
          <w:highlight w:val="white"/>
        </w:rPr>
      </w:pPr>
    </w:p>
    <w:p w14:paraId="496E6112" w14:textId="77777777" w:rsidR="007F1E95" w:rsidRDefault="007F1E95">
      <w:pPr>
        <w:spacing w:before="240" w:after="240" w:line="240" w:lineRule="auto"/>
        <w:rPr>
          <w:rFonts w:ascii="Times New Roman" w:eastAsia="Times New Roman" w:hAnsi="Times New Roman" w:cs="Times New Roman"/>
          <w:highlight w:val="white"/>
        </w:rPr>
      </w:pPr>
    </w:p>
    <w:p w14:paraId="2A8EC08A" w14:textId="77777777" w:rsidR="007F1E95" w:rsidRDefault="007F1E95">
      <w:pPr>
        <w:spacing w:line="240" w:lineRule="auto"/>
        <w:rPr>
          <w:rFonts w:ascii="Times New Roman" w:eastAsia="Times New Roman" w:hAnsi="Times New Roman" w:cs="Times New Roman"/>
          <w:highlight w:val="white"/>
        </w:rPr>
      </w:pPr>
    </w:p>
    <w:sectPr w:rsidR="007F1E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E04C1"/>
    <w:multiLevelType w:val="multilevel"/>
    <w:tmpl w:val="FB582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535F4F"/>
    <w:multiLevelType w:val="multilevel"/>
    <w:tmpl w:val="3CAAB088"/>
    <w:lvl w:ilvl="0">
      <w:start w:val="1"/>
      <w:numFmt w:val="decimal"/>
      <w:lvlText w:val="%1."/>
      <w:lvlJc w:val="left"/>
      <w:pPr>
        <w:ind w:left="283" w:hanging="28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5D281B"/>
    <w:multiLevelType w:val="multilevel"/>
    <w:tmpl w:val="C1322B52"/>
    <w:lvl w:ilvl="0">
      <w:start w:val="1"/>
      <w:numFmt w:val="bullet"/>
      <w:lvlText w:val="○"/>
      <w:lvlJc w:val="left"/>
      <w:pPr>
        <w:ind w:left="566" w:hanging="28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AB1C7D"/>
    <w:multiLevelType w:val="multilevel"/>
    <w:tmpl w:val="279ABB0E"/>
    <w:lvl w:ilvl="0">
      <w:start w:val="1"/>
      <w:numFmt w:val="lowerLetter"/>
      <w:lvlText w:val="%1."/>
      <w:lvlJc w:val="left"/>
      <w:pPr>
        <w:ind w:left="425"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E95"/>
    <w:rsid w:val="00037C33"/>
    <w:rsid w:val="007F1E95"/>
    <w:rsid w:val="00801E1D"/>
    <w:rsid w:val="009B2E2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A8777EF"/>
  <w15:docId w15:val="{86C5C554-3FAD-AE4D-9F79-C50A62AC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889</Words>
  <Characters>5071</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Kendrick WINATA</cp:lastModifiedBy>
  <cp:revision>2</cp:revision>
  <dcterms:created xsi:type="dcterms:W3CDTF">2025-07-06T13:30:00Z</dcterms:created>
  <dcterms:modified xsi:type="dcterms:W3CDTF">2025-07-06T13:30:00Z</dcterms:modified>
</cp:coreProperties>
</file>