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790" w:rsidRPr="00307790" w:rsidRDefault="00307790" w:rsidP="00307790">
      <w:pPr>
        <w:shd w:val="clear" w:color="auto" w:fill="FFFFFF"/>
        <w:spacing w:before="180" w:after="180" w:line="420" w:lineRule="atLeast"/>
        <w:outlineLvl w:val="0"/>
        <w:rPr>
          <w:rFonts w:ascii="Open Sans" w:eastAsia="Times New Roman" w:hAnsi="Open Sans" w:cs="Arial"/>
          <w:b/>
          <w:bCs/>
          <w:color w:val="222222"/>
          <w:kern w:val="36"/>
          <w:sz w:val="39"/>
          <w:szCs w:val="39"/>
          <w:lang w:val="en-GB" w:eastAsia="zh-CN"/>
        </w:rPr>
      </w:pPr>
      <w:bookmarkStart w:id="0" w:name="_GoBack"/>
      <w:bookmarkEnd w:id="0"/>
      <w:r w:rsidRPr="00307790">
        <w:rPr>
          <w:rFonts w:ascii="Tahoma" w:eastAsia="Times New Roman" w:hAnsi="Tahoma" w:cs="Tahoma"/>
          <w:b/>
          <w:bCs/>
          <w:color w:val="222222"/>
          <w:kern w:val="36"/>
          <w:sz w:val="28"/>
          <w:szCs w:val="28"/>
          <w:lang w:val="en-GB" w:eastAsia="zh-CN"/>
        </w:rPr>
        <w:t>EDM WIRE</w:t>
      </w:r>
      <w:r>
        <w:rPr>
          <w:rFonts w:ascii="Tahoma" w:eastAsia="Times New Roman" w:hAnsi="Tahoma" w:cs="Tahoma"/>
          <w:b/>
          <w:bCs/>
          <w:color w:val="222222"/>
          <w:kern w:val="36"/>
          <w:sz w:val="28"/>
          <w:szCs w:val="28"/>
          <w:lang w:val="en-GB" w:eastAsia="zh-CN"/>
        </w:rPr>
        <w:t>S</w:t>
      </w:r>
    </w:p>
    <w:p w:rsidR="00307790" w:rsidRPr="00307790" w:rsidRDefault="00307790" w:rsidP="00307790">
      <w:pPr>
        <w:shd w:val="clear" w:color="auto" w:fill="FFFFFF"/>
        <w:spacing w:after="135" w:line="360" w:lineRule="atLeast"/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</w:pPr>
      <w:r w:rsidRPr="00307790"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>As a worldwide leader in the supply of wire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>s</w:t>
      </w:r>
      <w:r w:rsidRPr="00307790"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 for el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>ectro discharge machining (EDM)</w:t>
      </w:r>
      <w:r w:rsidRPr="00307790"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>, HWA</w:t>
      </w:r>
      <w:r w:rsidR="00D53E72"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 offers a wide range of high-</w:t>
      </w:r>
      <w:r w:rsidRPr="00307790"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>performance EDM wire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>s</w:t>
      </w:r>
      <w:r w:rsidRPr="00307790"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meant to enhance cutting </w:t>
      </w:r>
      <w:r w:rsidRPr="00307790"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speed and </w:t>
      </w:r>
      <w:r w:rsidR="00E258DD"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>precision, at a competitive price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, thus </w:t>
      </w:r>
      <w:r w:rsidR="009F3822"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reducing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>the total cost of ownership for the end user.</w:t>
      </w:r>
    </w:p>
    <w:p w:rsidR="00307790" w:rsidRDefault="00307790" w:rsidP="00307790">
      <w:pPr>
        <w:shd w:val="clear" w:color="auto" w:fill="FFFFFF"/>
        <w:spacing w:after="135" w:line="360" w:lineRule="atLeast"/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The wide range of products in </w:t>
      </w:r>
      <w:r w:rsidR="00D53E72"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HWA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EDM portfolio was designed so as to address all applications from surface quality </w:t>
      </w:r>
      <w:r w:rsidR="00D53E72"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>driven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 applications to cutting speed </w:t>
      </w:r>
      <w:r w:rsidR="00D53E72"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driven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>applications.</w:t>
      </w:r>
      <w:r w:rsidR="001C7344"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 Offered diameters range from 0.1mm to 0.3mm.</w:t>
      </w:r>
    </w:p>
    <w:p w:rsidR="00307790" w:rsidRDefault="00307790" w:rsidP="00307790">
      <w:pPr>
        <w:shd w:val="clear" w:color="auto" w:fill="FFFFFF"/>
        <w:spacing w:after="135" w:line="360" w:lineRule="atLeast"/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Wires’ stability being a key factor in the EDM industry, </w:t>
      </w:r>
      <w:r w:rsidRPr="00307790"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>HWA</w:t>
      </w:r>
      <w:r w:rsidR="009F3822"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 </w:t>
      </w:r>
      <w:r w:rsidRPr="00307790"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engineers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are continuously </w:t>
      </w:r>
      <w:r w:rsidR="00D53E72"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striving to maintain a reliable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>manufacturing process meant to maximize</w:t>
      </w:r>
      <w:r w:rsidRPr="00307790"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>stability and consistency.</w:t>
      </w:r>
    </w:p>
    <w:p w:rsidR="00307790" w:rsidRDefault="00CB1592" w:rsidP="00307790">
      <w:pPr>
        <w:shd w:val="clear" w:color="auto" w:fill="FFFFFF"/>
        <w:spacing w:after="135" w:line="360" w:lineRule="atLeast"/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HWA has been manufacturing EDM wires for 10 years, and benefits from </w:t>
      </w:r>
      <w:r w:rsidR="00D53E72"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 xml:space="preserve">the several-decades-long 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>experience of it</w:t>
      </w:r>
      <w:r w:rsidR="00D53E72"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  <w:t>s mother company, Thermocompact in France. Most of HWA products are manufactured under Thermocompact patents.</w:t>
      </w:r>
    </w:p>
    <w:p w:rsidR="00307790" w:rsidRPr="00307790" w:rsidRDefault="00307790" w:rsidP="00307790">
      <w:pPr>
        <w:shd w:val="clear" w:color="auto" w:fill="FFFFFF"/>
        <w:spacing w:after="135" w:line="360" w:lineRule="atLeast"/>
        <w:rPr>
          <w:rFonts w:ascii="Arial" w:eastAsia="Times New Roman" w:hAnsi="Arial" w:cs="Arial"/>
          <w:color w:val="222222"/>
          <w:sz w:val="24"/>
          <w:szCs w:val="24"/>
          <w:lang w:val="en-GB" w:eastAsia="zh-CN"/>
        </w:rPr>
      </w:pPr>
    </w:p>
    <w:tbl>
      <w:tblPr>
        <w:tblpPr w:leftFromText="45" w:rightFromText="45" w:vertAnchor="text"/>
        <w:tblW w:w="90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6"/>
        <w:gridCol w:w="4664"/>
      </w:tblGrid>
      <w:tr w:rsidR="00307790" w:rsidRPr="00307790" w:rsidTr="001C7344">
        <w:tc>
          <w:tcPr>
            <w:tcW w:w="4366" w:type="dxa"/>
            <w:shd w:val="clear" w:color="auto" w:fill="auto"/>
            <w:vAlign w:val="center"/>
            <w:hideMark/>
          </w:tcPr>
          <w:p w:rsidR="00307790" w:rsidRPr="00307790" w:rsidRDefault="00D53E72" w:rsidP="001C7344">
            <w:pPr>
              <w:numPr>
                <w:ilvl w:val="0"/>
                <w:numId w:val="1"/>
              </w:numPr>
              <w:spacing w:before="100" w:beforeAutospacing="1" w:after="100" w:afterAutospacing="1" w:line="540" w:lineRule="atLeast"/>
              <w:ind w:left="3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zh-CN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eastAsia="zh-CN"/>
              </w:rPr>
              <w:t xml:space="preserve">Cu core, </w:t>
            </w:r>
            <w:r w:rsidR="001C7344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zh-CN"/>
              </w:rPr>
              <w:t xml:space="preserve">thick Beta phase </w:t>
            </w: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eastAsia="zh-CN"/>
              </w:rPr>
              <w:t xml:space="preserve">CuZn </w:t>
            </w:r>
            <w:r w:rsidR="001C7344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zh-CN"/>
              </w:rPr>
              <w:t>coating</w:t>
            </w:r>
          </w:p>
        </w:tc>
        <w:tc>
          <w:tcPr>
            <w:tcW w:w="4664" w:type="dxa"/>
            <w:shd w:val="clear" w:color="auto" w:fill="auto"/>
            <w:vAlign w:val="center"/>
            <w:hideMark/>
          </w:tcPr>
          <w:p w:rsidR="00307790" w:rsidRPr="00307790" w:rsidRDefault="00307790" w:rsidP="001C7344">
            <w:pPr>
              <w:spacing w:after="0" w:line="360" w:lineRule="atLeast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zh-CN"/>
              </w:rPr>
            </w:pPr>
            <w:r w:rsidRPr="00307790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zh-CN"/>
              </w:rPr>
              <w:t>VERY HIGH SPEED &amp; PRECISION</w:t>
            </w:r>
          </w:p>
        </w:tc>
      </w:tr>
      <w:tr w:rsidR="00307790" w:rsidRPr="00307790" w:rsidTr="001C7344">
        <w:tc>
          <w:tcPr>
            <w:tcW w:w="4366" w:type="dxa"/>
            <w:shd w:val="clear" w:color="auto" w:fill="auto"/>
            <w:vAlign w:val="center"/>
            <w:hideMark/>
          </w:tcPr>
          <w:p w:rsidR="00307790" w:rsidRPr="00307790" w:rsidRDefault="00307790" w:rsidP="001C7344">
            <w:pPr>
              <w:numPr>
                <w:ilvl w:val="0"/>
                <w:numId w:val="3"/>
              </w:numPr>
              <w:spacing w:before="100" w:beforeAutospacing="1" w:after="100" w:afterAutospacing="1" w:line="540" w:lineRule="atLeast"/>
              <w:ind w:left="3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zh-CN"/>
              </w:rPr>
            </w:pPr>
            <w:r w:rsidRPr="00307790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zh-CN"/>
              </w:rPr>
              <w:t xml:space="preserve">Brass + </w:t>
            </w:r>
            <w:r w:rsidR="001C7344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zh-CN"/>
              </w:rPr>
              <w:t xml:space="preserve">(Beta-)Gamma CuZn </w:t>
            </w:r>
            <w:r w:rsidRPr="00307790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zh-CN"/>
              </w:rPr>
              <w:t>coating</w:t>
            </w:r>
          </w:p>
        </w:tc>
        <w:tc>
          <w:tcPr>
            <w:tcW w:w="4664" w:type="dxa"/>
            <w:shd w:val="clear" w:color="auto" w:fill="auto"/>
            <w:vAlign w:val="center"/>
            <w:hideMark/>
          </w:tcPr>
          <w:p w:rsidR="00307790" w:rsidRPr="00307790" w:rsidRDefault="001C7344" w:rsidP="001C7344">
            <w:pPr>
              <w:spacing w:after="0" w:line="360" w:lineRule="atLeast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zh-CN"/>
              </w:rPr>
            </w:pPr>
            <w:r w:rsidRPr="00307790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zh-CN"/>
              </w:rPr>
              <w:t xml:space="preserve">SPEED </w:t>
            </w: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eastAsia="zh-CN"/>
              </w:rPr>
              <w:t xml:space="preserve">&amp; </w:t>
            </w:r>
            <w:r w:rsidR="00307790" w:rsidRPr="00307790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zh-CN"/>
              </w:rPr>
              <w:t xml:space="preserve">PRECISION </w:t>
            </w:r>
          </w:p>
        </w:tc>
      </w:tr>
      <w:tr w:rsidR="00307790" w:rsidRPr="00307790" w:rsidTr="001C7344">
        <w:tc>
          <w:tcPr>
            <w:tcW w:w="4366" w:type="dxa"/>
            <w:shd w:val="clear" w:color="auto" w:fill="auto"/>
            <w:vAlign w:val="center"/>
            <w:hideMark/>
          </w:tcPr>
          <w:p w:rsidR="00307790" w:rsidRPr="00307790" w:rsidRDefault="00307790" w:rsidP="001C7344">
            <w:pPr>
              <w:numPr>
                <w:ilvl w:val="0"/>
                <w:numId w:val="4"/>
              </w:numPr>
              <w:spacing w:before="100" w:beforeAutospacing="1" w:after="100" w:afterAutospacing="1" w:line="540" w:lineRule="atLeast"/>
              <w:ind w:left="3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zh-CN"/>
              </w:rPr>
            </w:pPr>
            <w:r w:rsidRPr="00307790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zh-CN"/>
              </w:rPr>
              <w:lastRenderedPageBreak/>
              <w:t xml:space="preserve">Brass + Zinc </w:t>
            </w:r>
            <w:r w:rsidR="001C7344">
              <w:rPr>
                <w:rFonts w:ascii="Tahoma" w:eastAsia="Times New Roman" w:hAnsi="Tahoma" w:cs="Tahoma"/>
                <w:color w:val="222222"/>
                <w:sz w:val="24"/>
                <w:szCs w:val="24"/>
                <w:lang w:eastAsia="zh-CN"/>
              </w:rPr>
              <w:t>coating</w:t>
            </w:r>
          </w:p>
        </w:tc>
        <w:tc>
          <w:tcPr>
            <w:tcW w:w="4664" w:type="dxa"/>
            <w:shd w:val="clear" w:color="auto" w:fill="auto"/>
            <w:vAlign w:val="center"/>
            <w:hideMark/>
          </w:tcPr>
          <w:p w:rsidR="00307790" w:rsidRPr="00307790" w:rsidRDefault="001C7344" w:rsidP="001C7344">
            <w:pPr>
              <w:spacing w:after="0" w:line="360" w:lineRule="atLeast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zh-CN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eastAsia="zh-CN"/>
              </w:rPr>
              <w:t>SUPER PRECISION</w:t>
            </w:r>
          </w:p>
        </w:tc>
      </w:tr>
      <w:tr w:rsidR="001C7344" w:rsidRPr="00307790" w:rsidTr="00503FBF">
        <w:tc>
          <w:tcPr>
            <w:tcW w:w="4366" w:type="dxa"/>
            <w:shd w:val="clear" w:color="auto" w:fill="auto"/>
            <w:vAlign w:val="center"/>
            <w:hideMark/>
          </w:tcPr>
          <w:p w:rsidR="001C7344" w:rsidRPr="00307790" w:rsidRDefault="001C7344" w:rsidP="001C7344">
            <w:pPr>
              <w:numPr>
                <w:ilvl w:val="0"/>
                <w:numId w:val="4"/>
              </w:numPr>
              <w:spacing w:before="100" w:beforeAutospacing="1" w:after="100" w:afterAutospacing="1" w:line="540" w:lineRule="atLeast"/>
              <w:ind w:left="3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zh-CN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eastAsia="zh-CN"/>
              </w:rPr>
              <w:t>Bare Brass</w:t>
            </w:r>
          </w:p>
        </w:tc>
        <w:tc>
          <w:tcPr>
            <w:tcW w:w="4664" w:type="dxa"/>
            <w:shd w:val="clear" w:color="auto" w:fill="auto"/>
            <w:vAlign w:val="center"/>
            <w:hideMark/>
          </w:tcPr>
          <w:p w:rsidR="001C7344" w:rsidRPr="00307790" w:rsidRDefault="001C7344" w:rsidP="00503FBF">
            <w:pPr>
              <w:spacing w:after="0" w:line="360" w:lineRule="atLeast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zh-CN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eastAsia="zh-CN"/>
              </w:rPr>
              <w:t>ALL PURPOSE</w:t>
            </w:r>
          </w:p>
        </w:tc>
      </w:tr>
    </w:tbl>
    <w:p w:rsidR="00CC6C13" w:rsidRDefault="00CC6C13"/>
    <w:sectPr w:rsidR="00CC6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34C82"/>
    <w:multiLevelType w:val="multilevel"/>
    <w:tmpl w:val="A5A08E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A4F5D"/>
    <w:multiLevelType w:val="multilevel"/>
    <w:tmpl w:val="B6C4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04FB6"/>
    <w:multiLevelType w:val="multilevel"/>
    <w:tmpl w:val="96D4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2055B"/>
    <w:multiLevelType w:val="multilevel"/>
    <w:tmpl w:val="255E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90"/>
    <w:rsid w:val="00162992"/>
    <w:rsid w:val="001C7344"/>
    <w:rsid w:val="00307790"/>
    <w:rsid w:val="009F3822"/>
    <w:rsid w:val="00CB1592"/>
    <w:rsid w:val="00CC6C13"/>
    <w:rsid w:val="00D53E72"/>
    <w:rsid w:val="00E2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6EA88-EC25-422C-9697-B03891FE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790"/>
    <w:pPr>
      <w:spacing w:before="180" w:after="180" w:line="420" w:lineRule="atLeast"/>
      <w:outlineLvl w:val="0"/>
    </w:pPr>
    <w:rPr>
      <w:rFonts w:ascii="Open Sans" w:eastAsia="Times New Roman" w:hAnsi="Open Sans" w:cs="Times New Roman"/>
      <w:b/>
      <w:bCs/>
      <w:kern w:val="36"/>
      <w:sz w:val="39"/>
      <w:szCs w:val="39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790"/>
    <w:rPr>
      <w:rFonts w:ascii="Open Sans" w:eastAsia="Times New Roman" w:hAnsi="Open Sans" w:cs="Times New Roman"/>
      <w:b/>
      <w:bCs/>
      <w:kern w:val="36"/>
      <w:sz w:val="39"/>
      <w:szCs w:val="39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307790"/>
    <w:pPr>
      <w:spacing w:after="135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22433">
      <w:bodyDiv w:val="1"/>
      <w:marLeft w:val="0"/>
      <w:marRight w:val="0"/>
      <w:marTop w:val="0"/>
      <w:marBottom w:val="0"/>
      <w:divBdr>
        <w:top w:val="single" w:sz="48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771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Pouradier</dc:creator>
  <cp:keywords/>
  <dc:description/>
  <cp:lastModifiedBy>Azri Abd Samat</cp:lastModifiedBy>
  <cp:revision>2</cp:revision>
  <dcterms:created xsi:type="dcterms:W3CDTF">2017-11-08T01:51:00Z</dcterms:created>
  <dcterms:modified xsi:type="dcterms:W3CDTF">2017-11-08T01:51:00Z</dcterms:modified>
</cp:coreProperties>
</file>