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DATASET &amp; DATA-QUALITY PLAN</w:t>
      </w:r>
    </w:p>
    <w:p>
      <w:pPr>
        <w:jc w:val="center"/>
      </w:pPr>
      <w:r>
        <w:rPr>
          <w:b/>
          <w:sz w:val="40"/>
        </w:rPr>
        <w:t>Nigeria Public Procurement Intelligence</w:t>
      </w:r>
    </w:p>
    <w:p>
      <w:pPr>
        <w:jc w:val="center"/>
      </w:pPr>
      <w:r>
        <w:rPr>
          <w:i/>
          <w:sz w:val="24"/>
        </w:rPr>
        <w:t>NOCOPO / Open Contracting Data — Audit, Cleaning &amp; Transformation Priorities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Item</w:t>
            </w:r>
          </w:p>
        </w:tc>
        <w:tc>
          <w:tcPr>
            <w:tcW w:type="dxa" w:w="4968"/>
            <w:vAlign w:val="center"/>
            <w:shd w:fill="D9EAF7"/>
          </w:tcPr>
          <w:p>
            <w:r/>
            <w:r>
              <w:rPr>
                <w:rFonts w:ascii="Aptos" w:hAnsi="Aptos"/>
                <w:b/>
                <w:sz w:val="18"/>
              </w:rPr>
              <w:t>Decision / Description</w:t>
            </w:r>
          </w:p>
        </w:tc>
      </w:tr>
      <w:tr>
        <w:tc>
          <w:tcPr>
            <w:tcW w:type="dxa" w:w="4968"/>
            <w:vAlign w:val="center"/>
          </w:tcPr>
          <w:p>
            <w:r/>
            <w:r>
              <w:rPr>
                <w:rFonts w:ascii="Aptos" w:hAnsi="Aptos"/>
                <w:b/>
                <w:sz w:val="18"/>
              </w:rPr>
              <w:t>Selected dataset</w:t>
            </w:r>
          </w:p>
        </w:tc>
        <w:tc>
          <w:tcPr>
            <w:tcW w:type="dxa" w:w="4968"/>
            <w:vAlign w:val="center"/>
          </w:tcPr>
          <w:p>
            <w:r/>
            <w:r>
              <w:rPr>
                <w:rFonts w:ascii="Aptos" w:hAnsi="Aptos"/>
                <w:b w:val="0"/>
                <w:sz w:val="18"/>
              </w:rPr>
              <w:t>Nigeria Open Contracting Portal (NOCOPO) public procurement data</w:t>
            </w:r>
          </w:p>
        </w:tc>
      </w:tr>
      <w:tr>
        <w:tc>
          <w:tcPr>
            <w:tcW w:type="dxa" w:w="4968"/>
            <w:vAlign w:val="center"/>
          </w:tcPr>
          <w:p>
            <w:r/>
            <w:r>
              <w:rPr>
                <w:rFonts w:ascii="Aptos" w:hAnsi="Aptos"/>
                <w:b/>
                <w:sz w:val="18"/>
              </w:rPr>
              <w:t>Data standard context</w:t>
            </w:r>
          </w:p>
        </w:tc>
        <w:tc>
          <w:tcPr>
            <w:tcW w:type="dxa" w:w="4968"/>
            <w:vAlign w:val="center"/>
          </w:tcPr>
          <w:p>
            <w:r/>
            <w:r>
              <w:rPr>
                <w:rFonts w:ascii="Aptos" w:hAnsi="Aptos"/>
                <w:b w:val="0"/>
                <w:sz w:val="18"/>
              </w:rPr>
              <w:t>Open Contracting Data Standard (OCDS) / procurement lifecycle records</w:t>
            </w:r>
          </w:p>
        </w:tc>
      </w:tr>
      <w:tr>
        <w:tc>
          <w:tcPr>
            <w:tcW w:type="dxa" w:w="4968"/>
            <w:vAlign w:val="center"/>
          </w:tcPr>
          <w:p>
            <w:r/>
            <w:r>
              <w:rPr>
                <w:rFonts w:ascii="Aptos" w:hAnsi="Aptos"/>
                <w:b/>
                <w:sz w:val="18"/>
              </w:rPr>
              <w:t>Initial source format</w:t>
            </w:r>
          </w:p>
        </w:tc>
        <w:tc>
          <w:tcPr>
            <w:tcW w:type="dxa" w:w="4968"/>
            <w:vAlign w:val="center"/>
          </w:tcPr>
          <w:p>
            <w:r/>
            <w:r>
              <w:rPr>
                <w:rFonts w:ascii="Aptos" w:hAnsi="Aptos"/>
                <w:b w:val="0"/>
                <w:sz w:val="18"/>
              </w:rPr>
              <w:t>JSON / source-derived structured records</w:t>
            </w:r>
          </w:p>
        </w:tc>
      </w:tr>
      <w:tr>
        <w:tc>
          <w:tcPr>
            <w:tcW w:type="dxa" w:w="4968"/>
            <w:vAlign w:val="center"/>
          </w:tcPr>
          <w:p>
            <w:r/>
            <w:r>
              <w:rPr>
                <w:rFonts w:ascii="Aptos" w:hAnsi="Aptos"/>
                <w:b/>
                <w:sz w:val="18"/>
              </w:rPr>
              <w:t>Primary database</w:t>
            </w:r>
          </w:p>
        </w:tc>
        <w:tc>
          <w:tcPr>
            <w:tcW w:type="dxa" w:w="4968"/>
            <w:vAlign w:val="center"/>
          </w:tcPr>
          <w:p>
            <w:r/>
            <w:r>
              <w:rPr>
                <w:rFonts w:ascii="Aptos" w:hAnsi="Aptos"/>
                <w:b w:val="0"/>
                <w:sz w:val="18"/>
              </w:rPr>
              <w:t>PostgreSQL</w:t>
            </w:r>
          </w:p>
        </w:tc>
      </w:tr>
      <w:tr>
        <w:tc>
          <w:tcPr>
            <w:tcW w:type="dxa" w:w="4968"/>
            <w:vAlign w:val="center"/>
          </w:tcPr>
          <w:p>
            <w:r/>
            <w:r>
              <w:rPr>
                <w:rFonts w:ascii="Aptos" w:hAnsi="Aptos"/>
                <w:b/>
                <w:sz w:val="18"/>
              </w:rPr>
              <w:t>Supporting tool</w:t>
            </w:r>
          </w:p>
        </w:tc>
        <w:tc>
          <w:tcPr>
            <w:tcW w:type="dxa" w:w="4968"/>
            <w:vAlign w:val="center"/>
          </w:tcPr>
          <w:p>
            <w:r/>
            <w:r>
              <w:rPr>
                <w:rFonts w:ascii="Aptos" w:hAnsi="Aptos"/>
                <w:b w:val="0"/>
                <w:sz w:val="18"/>
              </w:rPr>
              <w:t>Python + pandas for ingestion, profiling and targeted preprocessing</w:t>
            </w:r>
          </w:p>
        </w:tc>
      </w:tr>
      <w:tr>
        <w:tc>
          <w:tcPr>
            <w:tcW w:type="dxa" w:w="4968"/>
            <w:vAlign w:val="center"/>
          </w:tcPr>
          <w:p>
            <w:r/>
            <w:r>
              <w:rPr>
                <w:rFonts w:ascii="Aptos" w:hAnsi="Aptos"/>
                <w:b/>
                <w:sz w:val="18"/>
              </w:rPr>
              <w:t>Primary analytical use</w:t>
            </w:r>
          </w:p>
        </w:tc>
        <w:tc>
          <w:tcPr>
            <w:tcW w:type="dxa" w:w="4968"/>
            <w:vAlign w:val="center"/>
          </w:tcPr>
          <w:p>
            <w:r/>
            <w:r>
              <w:rPr>
                <w:rFonts w:ascii="Aptos" w:hAnsi="Aptos"/>
                <w:b w:val="0"/>
                <w:sz w:val="18"/>
              </w:rPr>
              <w:t>Supplier concentration, competition, budget-to-award variance, entity benchmarking, procurement timing and reporting coverage</w:t>
            </w:r>
          </w:p>
        </w:tc>
      </w:tr>
      <w:tr>
        <w:tc>
          <w:tcPr>
            <w:tcW w:type="dxa" w:w="4968"/>
            <w:vAlign w:val="center"/>
          </w:tcPr>
          <w:p>
            <w:r/>
            <w:r>
              <w:rPr>
                <w:rFonts w:ascii="Aptos" w:hAnsi="Aptos"/>
                <w:b/>
                <w:sz w:val="18"/>
              </w:rPr>
              <w:t>Status</w:t>
            </w:r>
          </w:p>
        </w:tc>
        <w:tc>
          <w:tcPr>
            <w:tcW w:type="dxa" w:w="4968"/>
            <w:vAlign w:val="center"/>
          </w:tcPr>
          <w:p>
            <w:r/>
            <w:r>
              <w:rPr>
                <w:rFonts w:ascii="Aptos" w:hAnsi="Aptos"/>
                <w:b w:val="0"/>
                <w:sz w:val="18"/>
              </w:rPr>
              <w:t>Dataset-specific cleaning and quality strategy — schema not yet finalized</w:t>
            </w:r>
          </w:p>
        </w:tc>
      </w:tr>
    </w:tbl>
    <w:p>
      <w:r>
        <w:br w:type="page"/>
      </w:r>
    </w:p>
    <w:p>
      <w:pPr>
        <w:pStyle w:val="Heading1"/>
      </w:pPr>
      <w:r>
        <w:t>1. Purpose of This Document</w:t>
      </w:r>
    </w:p>
    <w:p>
      <w:r>
        <w:t>This document defines how the selected NOCOPO dataset will be audited, cleaned, validated and prepared for the PostgreSQL analytical environment. It is deliberately positioned between the project scope and the database schema: the data-quality decisions must be understood before the final relational model is designed.</w:t>
      </w:r>
    </w:p>
    <w:p>
      <w:r>
        <w:t>The central principle is that cleaning must improve analytical reliability without silently changing the meaning of the published data. The raw source should remain traceable, while every material transformation should have a documented reason, rule and validation check.</w:t>
      </w:r>
    </w:p>
    <w:p>
      <w:pPr>
        <w:pStyle w:val="Heading1"/>
      </w:pPr>
      <w:r>
        <w:t>2. Dataset Context</w:t>
      </w:r>
    </w:p>
    <w:p>
      <w:r>
        <w:t>NOCOPO provides public Nigerian procurement information in an open-contracting context. The project will treat the source as an observational public dataset describing what has been published, rather than as a complete representation of all procurement activity in Nigeria.</w:t>
      </w:r>
    </w:p>
    <w:p>
      <w:r>
        <w:t>The analytical model is expected to use information associated with procurement processes and lifecycle stages such as planning, tendering, awards, contracts and implementation/payment information where those records and fields are available and sufficiently complete.</w:t>
      </w:r>
    </w:p>
    <w:p>
      <w:r>
        <w:t>The project scope explicitly requires attention to missing fields, invalid dates, problematic identifiers, duplicate or repeated releases, monetary values and relationship integrity before business metrics are calculated.</w:t>
      </w:r>
    </w:p>
    <w:p>
      <w:pPr>
        <w:pStyle w:val="Heading1"/>
      </w:pPr>
      <w:r>
        <w:t>3. Cleaning Philosophy</w:t>
      </w:r>
    </w:p>
    <w:p>
      <w:pPr>
        <w:pStyle w:val="ListBullet"/>
      </w:pPr>
      <w:r>
        <w:t>Do not equate a missing value with a zero, and do not equate an absent record with a real-world absence.</w:t>
      </w:r>
    </w:p>
    <w:p>
      <w:pPr>
        <w:pStyle w:val="ListBullet"/>
      </w:pPr>
      <w:r>
        <w:t>Do not delete an observation merely because it is unusual. First determine whether it is a legitimate extreme value, a data-entry problem, a duplicated release, or an unresolved entity issue.</w:t>
      </w:r>
    </w:p>
    <w:p>
      <w:pPr>
        <w:pStyle w:val="ListBullet"/>
      </w:pPr>
      <w:r>
        <w:t>Do not overwrite the raw source. Cleaning occurs in downstream layers.</w:t>
      </w:r>
    </w:p>
    <w:p>
      <w:pPr>
        <w:pStyle w:val="ListBullet"/>
      </w:pPr>
      <w:r>
        <w:t>Prefer classification and exclusion from specific metrics over destructive deletion when a record remains useful for other analyses.</w:t>
      </w:r>
    </w:p>
    <w:p>
      <w:pPr>
        <w:pStyle w:val="ListBullet"/>
      </w:pPr>
      <w:r>
        <w:t>Keep a data-quality flag/reason where a questionable record is retained but excluded from a particular calculation.</w:t>
      </w:r>
    </w:p>
    <w:p>
      <w:pPr>
        <w:pStyle w:val="ListBullet"/>
      </w:pPr>
      <w:r>
        <w:t>Use business meaning to determine whether two fields are genuinely comparable before calculating ratios or variances.</w:t>
      </w:r>
    </w:p>
    <w:p>
      <w:pPr>
        <w:pStyle w:val="ListBullet"/>
      </w:pPr>
      <w:r>
        <w:t>Every material cleaning rule must be reproducible in Python or SQL and documented.</w:t>
      </w:r>
    </w:p>
    <w:p>
      <w:pPr>
        <w:pStyle w:val="ListBullet"/>
      </w:pPr>
      <w:r>
        <w:t>The goal is analytical fitness, not cosmetic perfection.</w:t>
      </w:r>
    </w:p>
    <w:p>
      <w:pPr>
        <w:pStyle w:val="Heading1"/>
      </w:pPr>
      <w:r>
        <w:t>4. Required Audit Sequence</w:t>
      </w:r>
    </w:p>
    <w:p>
      <w:pPr>
        <w:pStyle w:val="ListNumber"/>
      </w:pPr>
      <w:r>
        <w:t>Source inventory — record source files, format, acquisition date/version and any available metadata.</w:t>
      </w:r>
    </w:p>
    <w:p>
      <w:pPr>
        <w:pStyle w:val="ListNumber"/>
      </w:pPr>
      <w:r>
        <w:t>Structural profiling — inspect top-level objects, nested structures, field availability and record counts.</w:t>
      </w:r>
    </w:p>
    <w:p>
      <w:pPr>
        <w:pStyle w:val="ListNumber"/>
      </w:pPr>
      <w:r>
        <w:t>Cardinality analysis — identify candidate identifiers, one-to-many relationships and repeated identifiers.</w:t>
      </w:r>
    </w:p>
    <w:p>
      <w:pPr>
        <w:pStyle w:val="ListNumber"/>
      </w:pPr>
      <w:r>
        <w:t>Missingness analysis — calculate field-level and entity/stage-level missingness.</w:t>
      </w:r>
    </w:p>
    <w:p>
      <w:pPr>
        <w:pStyle w:val="ListNumber"/>
      </w:pPr>
      <w:r>
        <w:t>Type and format validation — inspect dates, numeric fields, currencies, text fields and identifier formats.</w:t>
      </w:r>
    </w:p>
    <w:p>
      <w:pPr>
        <w:pStyle w:val="ListNumber"/>
      </w:pPr>
      <w:r>
        <w:t>Duplicate/release analysis — distinguish genuine repeated records from OCDS release/version history.</w:t>
      </w:r>
    </w:p>
    <w:p>
      <w:pPr>
        <w:pStyle w:val="ListNumber"/>
      </w:pPr>
      <w:r>
        <w:t>Relationship integrity checks — verify that awards, contracts, tenders and parties can be linked where expected.</w:t>
      </w:r>
    </w:p>
    <w:p>
      <w:pPr>
        <w:pStyle w:val="ListNumber"/>
      </w:pPr>
      <w:r>
        <w:t>Outlier analysis — investigate unusual monetary, count, duration and participation values.</w:t>
      </w:r>
    </w:p>
    <w:p>
      <w:pPr>
        <w:pStyle w:val="ListNumber"/>
      </w:pPr>
      <w:r>
        <w:t>Entity-quality analysis — assess supplier and procuring-entity identifiers/names for fragmentation or ambiguity.</w:t>
      </w:r>
    </w:p>
    <w:p>
      <w:pPr>
        <w:pStyle w:val="ListNumber"/>
      </w:pPr>
      <w:r>
        <w:t>Analytical fitness assessment — determine which fields and records can support each approved business metric.</w:t>
      </w:r>
    </w:p>
    <w:p>
      <w:pPr>
        <w:pStyle w:val="ListNumber"/>
      </w:pPr>
      <w:r>
        <w:t>Cleaning decision log — document retain, transform, exclude, flag and unresolved categories.</w:t>
      </w:r>
    </w:p>
    <w:p>
      <w:pPr>
        <w:pStyle w:val="ListNumber"/>
      </w:pPr>
      <w:r>
        <w:t>Post-cleaning validation — reconcile counts and values between source, staging and analytical layers.</w:t>
      </w:r>
    </w:p>
    <w:p>
      <w:pPr>
        <w:pStyle w:val="Heading1"/>
      </w:pPr>
      <w:r>
        <w:t>5. Cleaning Priority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8"/>
              </w:rPr>
              <w:t>Priority</w:t>
            </w:r>
          </w:p>
        </w:tc>
        <w:tc>
          <w:tcPr>
            <w:tcW w:type="dxa" w:w="2484"/>
            <w:vAlign w:val="center"/>
            <w:shd w:fill="D9EAF7"/>
          </w:tcPr>
          <w:p>
            <w:r/>
            <w:r>
              <w:rPr>
                <w:rFonts w:ascii="Aptos" w:hAnsi="Aptos"/>
                <w:b/>
                <w:sz w:val="18"/>
              </w:rPr>
              <w:t>Data-quality area</w:t>
            </w:r>
          </w:p>
        </w:tc>
        <w:tc>
          <w:tcPr>
            <w:tcW w:type="dxa" w:w="2484"/>
            <w:vAlign w:val="center"/>
            <w:shd w:fill="D9EAF7"/>
          </w:tcPr>
          <w:p>
            <w:r/>
            <w:r>
              <w:rPr>
                <w:rFonts w:ascii="Aptos" w:hAnsi="Aptos"/>
                <w:b/>
                <w:sz w:val="18"/>
              </w:rPr>
              <w:t>Why it matters</w:t>
            </w:r>
          </w:p>
        </w:tc>
        <w:tc>
          <w:tcPr>
            <w:tcW w:type="dxa" w:w="2484"/>
            <w:vAlign w:val="center"/>
            <w:shd w:fill="D9EAF7"/>
          </w:tcPr>
          <w:p>
            <w:r/>
            <w:r>
              <w:rPr>
                <w:rFonts w:ascii="Aptos" w:hAnsi="Aptos"/>
                <w:b/>
                <w:sz w:val="18"/>
              </w:rPr>
              <w:t>Initial treatment</w:t>
            </w:r>
          </w:p>
        </w:tc>
      </w:tr>
      <w:tr>
        <w:tc>
          <w:tcPr>
            <w:tcW w:type="dxa" w:w="2484"/>
            <w:vAlign w:val="center"/>
          </w:tcPr>
          <w:p>
            <w:r/>
            <w:r>
              <w:rPr>
                <w:rFonts w:ascii="Aptos" w:hAnsi="Aptos"/>
                <w:b/>
                <w:sz w:val="18"/>
              </w:rPr>
              <w:t>P0 — Critical</w:t>
            </w:r>
          </w:p>
        </w:tc>
        <w:tc>
          <w:tcPr>
            <w:tcW w:type="dxa" w:w="2484"/>
            <w:vAlign w:val="center"/>
          </w:tcPr>
          <w:p>
            <w:r/>
            <w:r>
              <w:rPr>
                <w:rFonts w:ascii="Aptos" w:hAnsi="Aptos"/>
                <w:b w:val="0"/>
                <w:sz w:val="18"/>
              </w:rPr>
              <w:t>Repeated / versioned procurement releases</w:t>
            </w:r>
          </w:p>
        </w:tc>
        <w:tc>
          <w:tcPr>
            <w:tcW w:type="dxa" w:w="2484"/>
            <w:vAlign w:val="center"/>
          </w:tcPr>
          <w:p>
            <w:r/>
            <w:r>
              <w:rPr>
                <w:rFonts w:ascii="Aptos" w:hAnsi="Aptos"/>
                <w:b w:val="0"/>
                <w:sz w:val="18"/>
              </w:rPr>
              <w:t>Can cause double-counting of procurement processes and inflate supplier/entity values.</w:t>
            </w:r>
          </w:p>
        </w:tc>
        <w:tc>
          <w:tcPr>
            <w:tcW w:type="dxa" w:w="2484"/>
            <w:vAlign w:val="center"/>
          </w:tcPr>
          <w:p>
            <w:r/>
            <w:r>
              <w:rPr>
                <w:rFonts w:ascii="Aptos" w:hAnsi="Aptos"/>
                <w:b w:val="0"/>
                <w:sz w:val="18"/>
              </w:rPr>
              <w:t>Identify release/version structure; establish a documented record-selection or snapshot strategy before aggregation.</w:t>
            </w:r>
          </w:p>
        </w:tc>
      </w:tr>
      <w:tr>
        <w:tc>
          <w:tcPr>
            <w:tcW w:type="dxa" w:w="2484"/>
            <w:vAlign w:val="center"/>
          </w:tcPr>
          <w:p>
            <w:r/>
            <w:r>
              <w:rPr>
                <w:rFonts w:ascii="Aptos" w:hAnsi="Aptos"/>
                <w:b/>
                <w:sz w:val="18"/>
              </w:rPr>
              <w:t>P0 — Critical</w:t>
            </w:r>
          </w:p>
        </w:tc>
        <w:tc>
          <w:tcPr>
            <w:tcW w:type="dxa" w:w="2484"/>
            <w:vAlign w:val="center"/>
          </w:tcPr>
          <w:p>
            <w:r/>
            <w:r>
              <w:rPr>
                <w:rFonts w:ascii="Aptos" w:hAnsi="Aptos"/>
                <w:b w:val="0"/>
                <w:sz w:val="18"/>
              </w:rPr>
              <w:t>Primary/candidate identifiers</w:t>
            </w:r>
          </w:p>
        </w:tc>
        <w:tc>
          <w:tcPr>
            <w:tcW w:type="dxa" w:w="2484"/>
            <w:vAlign w:val="center"/>
          </w:tcPr>
          <w:p>
            <w:r/>
            <w:r>
              <w:rPr>
                <w:rFonts w:ascii="Aptos" w:hAnsi="Aptos"/>
                <w:b w:val="0"/>
                <w:sz w:val="18"/>
              </w:rPr>
              <w:t>Broken identifiers can destroy joins or create false duplicates.</w:t>
            </w:r>
          </w:p>
        </w:tc>
        <w:tc>
          <w:tcPr>
            <w:tcW w:type="dxa" w:w="2484"/>
            <w:vAlign w:val="center"/>
          </w:tcPr>
          <w:p>
            <w:r/>
            <w:r>
              <w:rPr>
                <w:rFonts w:ascii="Aptos" w:hAnsi="Aptos"/>
                <w:b w:val="0"/>
                <w:sz w:val="18"/>
              </w:rPr>
              <w:t>Profile uniqueness and null rates; preserve source IDs; derive surrogate keys only where appropriate.</w:t>
            </w:r>
          </w:p>
        </w:tc>
      </w:tr>
      <w:tr>
        <w:tc>
          <w:tcPr>
            <w:tcW w:type="dxa" w:w="2484"/>
            <w:vAlign w:val="center"/>
          </w:tcPr>
          <w:p>
            <w:r/>
            <w:r>
              <w:rPr>
                <w:rFonts w:ascii="Aptos" w:hAnsi="Aptos"/>
                <w:b/>
                <w:sz w:val="18"/>
              </w:rPr>
              <w:t>P0 — Critical</w:t>
            </w:r>
          </w:p>
        </w:tc>
        <w:tc>
          <w:tcPr>
            <w:tcW w:type="dxa" w:w="2484"/>
            <w:vAlign w:val="center"/>
          </w:tcPr>
          <w:p>
            <w:r/>
            <w:r>
              <w:rPr>
                <w:rFonts w:ascii="Aptos" w:hAnsi="Aptos"/>
                <w:b w:val="0"/>
                <w:sz w:val="18"/>
              </w:rPr>
              <w:t>Relationship integrity</w:t>
            </w:r>
          </w:p>
        </w:tc>
        <w:tc>
          <w:tcPr>
            <w:tcW w:type="dxa" w:w="2484"/>
            <w:vAlign w:val="center"/>
          </w:tcPr>
          <w:p>
            <w:r/>
            <w:r>
              <w:rPr>
                <w:rFonts w:ascii="Aptos" w:hAnsi="Aptos"/>
                <w:b w:val="0"/>
                <w:sz w:val="18"/>
              </w:rPr>
              <w:t>Incorrect links between processes, awards, contracts and parties invalidate analysis.</w:t>
            </w:r>
          </w:p>
        </w:tc>
        <w:tc>
          <w:tcPr>
            <w:tcW w:type="dxa" w:w="2484"/>
            <w:vAlign w:val="center"/>
          </w:tcPr>
          <w:p>
            <w:r/>
            <w:r>
              <w:rPr>
                <w:rFonts w:ascii="Aptos" w:hAnsi="Aptos"/>
                <w:b w:val="0"/>
                <w:sz w:val="18"/>
              </w:rPr>
              <w:t>Test parent-child relationships and orphan rates; do not force uncertain matches.</w:t>
            </w:r>
          </w:p>
        </w:tc>
      </w:tr>
      <w:tr>
        <w:tc>
          <w:tcPr>
            <w:tcW w:type="dxa" w:w="2484"/>
            <w:vAlign w:val="center"/>
          </w:tcPr>
          <w:p>
            <w:r/>
            <w:r>
              <w:rPr>
                <w:rFonts w:ascii="Aptos" w:hAnsi="Aptos"/>
                <w:b/>
                <w:sz w:val="18"/>
              </w:rPr>
              <w:t>P0 — Critical</w:t>
            </w:r>
          </w:p>
        </w:tc>
        <w:tc>
          <w:tcPr>
            <w:tcW w:type="dxa" w:w="2484"/>
            <w:vAlign w:val="center"/>
          </w:tcPr>
          <w:p>
            <w:r/>
            <w:r>
              <w:rPr>
                <w:rFonts w:ascii="Aptos" w:hAnsi="Aptos"/>
                <w:b w:val="0"/>
                <w:sz w:val="18"/>
              </w:rPr>
              <w:t>Monetary fields</w:t>
            </w:r>
          </w:p>
        </w:tc>
        <w:tc>
          <w:tcPr>
            <w:tcW w:type="dxa" w:w="2484"/>
            <w:vAlign w:val="center"/>
          </w:tcPr>
          <w:p>
            <w:r/>
            <w:r>
              <w:rPr>
                <w:rFonts w:ascii="Aptos" w:hAnsi="Aptos"/>
                <w:b w:val="0"/>
                <w:sz w:val="18"/>
              </w:rPr>
              <w:t>Incorrect types, signs, currencies or units can materially distort procurement values.</w:t>
            </w:r>
          </w:p>
        </w:tc>
        <w:tc>
          <w:tcPr>
            <w:tcW w:type="dxa" w:w="2484"/>
            <w:vAlign w:val="center"/>
          </w:tcPr>
          <w:p>
            <w:r/>
            <w:r>
              <w:rPr>
                <w:rFonts w:ascii="Aptos" w:hAnsi="Aptos"/>
                <w:b w:val="0"/>
                <w:sz w:val="18"/>
              </w:rPr>
              <w:t>Parse/standardize types and currency context; flag invalid/non-comparable values.</w:t>
            </w:r>
          </w:p>
        </w:tc>
      </w:tr>
      <w:tr>
        <w:tc>
          <w:tcPr>
            <w:tcW w:type="dxa" w:w="2484"/>
            <w:vAlign w:val="center"/>
          </w:tcPr>
          <w:p>
            <w:r/>
            <w:r>
              <w:rPr>
                <w:rFonts w:ascii="Aptos" w:hAnsi="Aptos"/>
                <w:b/>
                <w:sz w:val="18"/>
              </w:rPr>
              <w:t>P1 — High</w:t>
            </w:r>
          </w:p>
        </w:tc>
        <w:tc>
          <w:tcPr>
            <w:tcW w:type="dxa" w:w="2484"/>
            <w:vAlign w:val="center"/>
          </w:tcPr>
          <w:p>
            <w:r/>
            <w:r>
              <w:rPr>
                <w:rFonts w:ascii="Aptos" w:hAnsi="Aptos"/>
                <w:b w:val="0"/>
                <w:sz w:val="18"/>
              </w:rPr>
              <w:t>Dates and chronology</w:t>
            </w:r>
          </w:p>
        </w:tc>
        <w:tc>
          <w:tcPr>
            <w:tcW w:type="dxa" w:w="2484"/>
            <w:vAlign w:val="center"/>
          </w:tcPr>
          <w:p>
            <w:r/>
            <w:r>
              <w:rPr>
                <w:rFonts w:ascii="Aptos" w:hAnsi="Aptos"/>
                <w:b w:val="0"/>
                <w:sz w:val="18"/>
              </w:rPr>
              <w:t>Invalid chronology can make procurement-cycle metrics meaningless.</w:t>
            </w:r>
          </w:p>
        </w:tc>
        <w:tc>
          <w:tcPr>
            <w:tcW w:type="dxa" w:w="2484"/>
            <w:vAlign w:val="center"/>
          </w:tcPr>
          <w:p>
            <w:r/>
            <w:r>
              <w:rPr>
                <w:rFonts w:ascii="Aptos" w:hAnsi="Aptos"/>
                <w:b w:val="0"/>
                <w:sz w:val="18"/>
              </w:rPr>
              <w:t>Validate formats and stage ordering; exclude invalid records from timing metrics while retaining them where useful.</w:t>
            </w:r>
          </w:p>
        </w:tc>
      </w:tr>
      <w:tr>
        <w:tc>
          <w:tcPr>
            <w:tcW w:type="dxa" w:w="2484"/>
            <w:vAlign w:val="center"/>
          </w:tcPr>
          <w:p>
            <w:r/>
            <w:r>
              <w:rPr>
                <w:rFonts w:ascii="Aptos" w:hAnsi="Aptos"/>
                <w:b/>
                <w:sz w:val="18"/>
              </w:rPr>
              <w:t>P1 — High</w:t>
            </w:r>
          </w:p>
        </w:tc>
        <w:tc>
          <w:tcPr>
            <w:tcW w:type="dxa" w:w="2484"/>
            <w:vAlign w:val="center"/>
          </w:tcPr>
          <w:p>
            <w:r/>
            <w:r>
              <w:rPr>
                <w:rFonts w:ascii="Aptos" w:hAnsi="Aptos"/>
                <w:b w:val="0"/>
                <w:sz w:val="18"/>
              </w:rPr>
              <w:t>Supplier/entity identity quality</w:t>
            </w:r>
          </w:p>
        </w:tc>
        <w:tc>
          <w:tcPr>
            <w:tcW w:type="dxa" w:w="2484"/>
            <w:vAlign w:val="center"/>
          </w:tcPr>
          <w:p>
            <w:r/>
            <w:r>
              <w:rPr>
                <w:rFonts w:ascii="Aptos" w:hAnsi="Aptos"/>
                <w:b w:val="0"/>
                <w:sz w:val="18"/>
              </w:rPr>
              <w:t>Name variations can fragment supplier concentration and benchmarking results.</w:t>
            </w:r>
          </w:p>
        </w:tc>
        <w:tc>
          <w:tcPr>
            <w:tcW w:type="dxa" w:w="2484"/>
            <w:vAlign w:val="center"/>
          </w:tcPr>
          <w:p>
            <w:r/>
            <w:r>
              <w:rPr>
                <w:rFonts w:ascii="Aptos" w:hAnsi="Aptos"/>
                <w:b w:val="0"/>
                <w:sz w:val="18"/>
              </w:rPr>
              <w:t>Use reliable IDs first; normalize names only for presentation; avoid aggressive entity merging without evidence.</w:t>
            </w:r>
          </w:p>
        </w:tc>
      </w:tr>
      <w:tr>
        <w:tc>
          <w:tcPr>
            <w:tcW w:type="dxa" w:w="2484"/>
            <w:vAlign w:val="center"/>
          </w:tcPr>
          <w:p>
            <w:r/>
            <w:r>
              <w:rPr>
                <w:rFonts w:ascii="Aptos" w:hAnsi="Aptos"/>
                <w:b/>
                <w:sz w:val="18"/>
              </w:rPr>
              <w:t>P1 — High</w:t>
            </w:r>
          </w:p>
        </w:tc>
        <w:tc>
          <w:tcPr>
            <w:tcW w:type="dxa" w:w="2484"/>
            <w:vAlign w:val="center"/>
          </w:tcPr>
          <w:p>
            <w:r/>
            <w:r>
              <w:rPr>
                <w:rFonts w:ascii="Aptos" w:hAnsi="Aptos"/>
                <w:b w:val="0"/>
                <w:sz w:val="18"/>
              </w:rPr>
              <w:t>Missingness in analytical fields</w:t>
            </w:r>
          </w:p>
        </w:tc>
        <w:tc>
          <w:tcPr>
            <w:tcW w:type="dxa" w:w="2484"/>
            <w:vAlign w:val="center"/>
          </w:tcPr>
          <w:p>
            <w:r/>
            <w:r>
              <w:rPr>
                <w:rFonts w:ascii="Aptos" w:hAnsi="Aptos"/>
                <w:b w:val="0"/>
                <w:sz w:val="18"/>
              </w:rPr>
              <w:t>High missingness can bias comparisons and create misleading denominators.</w:t>
            </w:r>
          </w:p>
        </w:tc>
        <w:tc>
          <w:tcPr>
            <w:tcW w:type="dxa" w:w="2484"/>
            <w:vAlign w:val="center"/>
          </w:tcPr>
          <w:p>
            <w:r/>
            <w:r>
              <w:rPr>
                <w:rFonts w:ascii="Aptos" w:hAnsi="Aptos"/>
                <w:b w:val="0"/>
                <w:sz w:val="18"/>
              </w:rPr>
              <w:t>Measure missingness by field, stage and entity; use metric-specific eligibility rules.</w:t>
            </w:r>
          </w:p>
        </w:tc>
      </w:tr>
      <w:tr>
        <w:tc>
          <w:tcPr>
            <w:tcW w:type="dxa" w:w="2484"/>
            <w:vAlign w:val="center"/>
          </w:tcPr>
          <w:p>
            <w:r/>
            <w:r>
              <w:rPr>
                <w:rFonts w:ascii="Aptos" w:hAnsi="Aptos"/>
                <w:b/>
                <w:sz w:val="18"/>
              </w:rPr>
              <w:t>P1 — High</w:t>
            </w:r>
          </w:p>
        </w:tc>
        <w:tc>
          <w:tcPr>
            <w:tcW w:type="dxa" w:w="2484"/>
            <w:vAlign w:val="center"/>
          </w:tcPr>
          <w:p>
            <w:r/>
            <w:r>
              <w:rPr>
                <w:rFonts w:ascii="Aptos" w:hAnsi="Aptos"/>
                <w:b w:val="0"/>
                <w:sz w:val="18"/>
              </w:rPr>
              <w:t>Tenderer/competition data</w:t>
            </w:r>
          </w:p>
        </w:tc>
        <w:tc>
          <w:tcPr>
            <w:tcW w:type="dxa" w:w="2484"/>
            <w:vAlign w:val="center"/>
          </w:tcPr>
          <w:p>
            <w:r/>
            <w:r>
              <w:rPr>
                <w:rFonts w:ascii="Aptos" w:hAnsi="Aptos"/>
                <w:b w:val="0"/>
                <w:sz w:val="18"/>
              </w:rPr>
              <w:t>Incomplete participation data can understate competition.</w:t>
            </w:r>
          </w:p>
        </w:tc>
        <w:tc>
          <w:tcPr>
            <w:tcW w:type="dxa" w:w="2484"/>
            <w:vAlign w:val="center"/>
          </w:tcPr>
          <w:p>
            <w:r/>
            <w:r>
              <w:rPr>
                <w:rFonts w:ascii="Aptos" w:hAnsi="Aptos"/>
                <w:b w:val="0"/>
                <w:sz w:val="18"/>
              </w:rPr>
              <w:t>Distinguish zero recorded tenderers from missing/unreported participation.</w:t>
            </w:r>
          </w:p>
        </w:tc>
      </w:tr>
      <w:tr>
        <w:tc>
          <w:tcPr>
            <w:tcW w:type="dxa" w:w="2484"/>
            <w:vAlign w:val="center"/>
          </w:tcPr>
          <w:p>
            <w:r/>
            <w:r>
              <w:rPr>
                <w:rFonts w:ascii="Aptos" w:hAnsi="Aptos"/>
                <w:b/>
                <w:sz w:val="18"/>
              </w:rPr>
              <w:t>P2 — Medium</w:t>
            </w:r>
          </w:p>
        </w:tc>
        <w:tc>
          <w:tcPr>
            <w:tcW w:type="dxa" w:w="2484"/>
            <w:vAlign w:val="center"/>
          </w:tcPr>
          <w:p>
            <w:r/>
            <w:r>
              <w:rPr>
                <w:rFonts w:ascii="Aptos" w:hAnsi="Aptos"/>
                <w:b w:val="0"/>
                <w:sz w:val="18"/>
              </w:rPr>
              <w:t>Text noise / categorical inconsistency</w:t>
            </w:r>
          </w:p>
        </w:tc>
        <w:tc>
          <w:tcPr>
            <w:tcW w:type="dxa" w:w="2484"/>
            <w:vAlign w:val="center"/>
          </w:tcPr>
          <w:p>
            <w:r/>
            <w:r>
              <w:rPr>
                <w:rFonts w:ascii="Aptos" w:hAnsi="Aptos"/>
                <w:b w:val="0"/>
                <w:sz w:val="18"/>
              </w:rPr>
              <w:t>Spelling and formatting differences fragment categories and reduce usability.</w:t>
            </w:r>
          </w:p>
        </w:tc>
        <w:tc>
          <w:tcPr>
            <w:tcW w:type="dxa" w:w="2484"/>
            <w:vAlign w:val="center"/>
          </w:tcPr>
          <w:p>
            <w:r/>
            <w:r>
              <w:rPr>
                <w:rFonts w:ascii="Aptos" w:hAnsi="Aptos"/>
                <w:b w:val="0"/>
                <w:sz w:val="18"/>
              </w:rPr>
              <w:t>Standardize whitespace/case/obvious formatting noise while preserving original values.</w:t>
            </w:r>
          </w:p>
        </w:tc>
      </w:tr>
      <w:tr>
        <w:tc>
          <w:tcPr>
            <w:tcW w:type="dxa" w:w="2484"/>
            <w:vAlign w:val="center"/>
          </w:tcPr>
          <w:p>
            <w:r/>
            <w:r>
              <w:rPr>
                <w:rFonts w:ascii="Aptos" w:hAnsi="Aptos"/>
                <w:b/>
                <w:sz w:val="18"/>
              </w:rPr>
              <w:t>P2 — Medium</w:t>
            </w:r>
          </w:p>
        </w:tc>
        <w:tc>
          <w:tcPr>
            <w:tcW w:type="dxa" w:w="2484"/>
            <w:vAlign w:val="center"/>
          </w:tcPr>
          <w:p>
            <w:r/>
            <w:r>
              <w:rPr>
                <w:rFonts w:ascii="Aptos" w:hAnsi="Aptos"/>
                <w:b w:val="0"/>
                <w:sz w:val="18"/>
              </w:rPr>
              <w:t>Outliers</w:t>
            </w:r>
          </w:p>
        </w:tc>
        <w:tc>
          <w:tcPr>
            <w:tcW w:type="dxa" w:w="2484"/>
            <w:vAlign w:val="center"/>
          </w:tcPr>
          <w:p>
            <w:r/>
            <w:r>
              <w:rPr>
                <w:rFonts w:ascii="Aptos" w:hAnsi="Aptos"/>
                <w:b w:val="0"/>
                <w:sz w:val="18"/>
              </w:rPr>
              <w:t>Extreme values may be genuine or erroneous; careless removal can destroy important procurement signals.</w:t>
            </w:r>
          </w:p>
        </w:tc>
        <w:tc>
          <w:tcPr>
            <w:tcW w:type="dxa" w:w="2484"/>
            <w:vAlign w:val="center"/>
          </w:tcPr>
          <w:p>
            <w:r/>
            <w:r>
              <w:rPr>
                <w:rFonts w:ascii="Aptos" w:hAnsi="Aptos"/>
                <w:b w:val="0"/>
                <w:sz w:val="18"/>
              </w:rPr>
              <w:t>Investigate, classify and flag; remove only when demonstrably invalid.</w:t>
            </w:r>
          </w:p>
        </w:tc>
      </w:tr>
      <w:tr>
        <w:tc>
          <w:tcPr>
            <w:tcW w:type="dxa" w:w="2484"/>
            <w:vAlign w:val="center"/>
          </w:tcPr>
          <w:p>
            <w:r/>
            <w:r>
              <w:rPr>
                <w:rFonts w:ascii="Aptos" w:hAnsi="Aptos"/>
                <w:b/>
                <w:sz w:val="18"/>
              </w:rPr>
              <w:t>P2 — Medium</w:t>
            </w:r>
          </w:p>
        </w:tc>
        <w:tc>
          <w:tcPr>
            <w:tcW w:type="dxa" w:w="2484"/>
            <w:vAlign w:val="center"/>
          </w:tcPr>
          <w:p>
            <w:r/>
            <w:r>
              <w:rPr>
                <w:rFonts w:ascii="Aptos" w:hAnsi="Aptos"/>
                <w:b w:val="0"/>
                <w:sz w:val="18"/>
              </w:rPr>
              <w:t>Implementation/payment completeness</w:t>
            </w:r>
          </w:p>
        </w:tc>
        <w:tc>
          <w:tcPr>
            <w:tcW w:type="dxa" w:w="2484"/>
            <w:vAlign w:val="center"/>
          </w:tcPr>
          <w:p>
            <w:r/>
            <w:r>
              <w:rPr>
                <w:rFonts w:ascii="Aptos" w:hAnsi="Aptos"/>
                <w:b w:val="0"/>
                <w:sz w:val="18"/>
              </w:rPr>
              <w:t>Missing downstream records may reflect reporting gaps rather than non-performance.</w:t>
            </w:r>
          </w:p>
        </w:tc>
        <w:tc>
          <w:tcPr>
            <w:tcW w:type="dxa" w:w="2484"/>
            <w:vAlign w:val="center"/>
          </w:tcPr>
          <w:p>
            <w:r/>
            <w:r>
              <w:rPr>
                <w:rFonts w:ascii="Aptos" w:hAnsi="Aptos"/>
                <w:b w:val="0"/>
                <w:sz w:val="18"/>
              </w:rPr>
              <w:t>Treat primarily as reporting coverage unless evidence supports stronger interpretation.</w:t>
            </w:r>
          </w:p>
        </w:tc>
      </w:tr>
    </w:tbl>
    <w:p>
      <w:pPr>
        <w:pStyle w:val="Heading1"/>
      </w:pPr>
      <w:r>
        <w:t>6. Missing-Value Strategy</w:t>
      </w:r>
    </w:p>
    <w:p>
      <w:r>
        <w:t>Missingness will be handled according to field semantics and analytical purpose rather than with a single global rule such as dropping all incomplete rows.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Missing-value situation</w:t>
            </w:r>
          </w:p>
        </w:tc>
        <w:tc>
          <w:tcPr>
            <w:tcW w:type="dxa" w:w="3312"/>
            <w:vAlign w:val="center"/>
            <w:shd w:fill="D9EAF7"/>
          </w:tcPr>
          <w:p>
            <w:r/>
            <w:r>
              <w:rPr>
                <w:rFonts w:ascii="Aptos" w:hAnsi="Aptos"/>
                <w:b/>
                <w:sz w:val="18"/>
              </w:rPr>
              <w:t>Preferred treatment</w:t>
            </w:r>
          </w:p>
        </w:tc>
        <w:tc>
          <w:tcPr>
            <w:tcW w:type="dxa" w:w="3312"/>
            <w:vAlign w:val="center"/>
            <w:shd w:fill="D9EAF7"/>
          </w:tcPr>
          <w:p>
            <w:r/>
            <w:r>
              <w:rPr>
                <w:rFonts w:ascii="Aptos" w:hAnsi="Aptos"/>
                <w:b/>
                <w:sz w:val="18"/>
              </w:rPr>
              <w:t>Reason</w:t>
            </w:r>
          </w:p>
        </w:tc>
      </w:tr>
      <w:tr>
        <w:tc>
          <w:tcPr>
            <w:tcW w:type="dxa" w:w="3312"/>
            <w:vAlign w:val="center"/>
          </w:tcPr>
          <w:p>
            <w:r/>
            <w:r>
              <w:rPr>
                <w:rFonts w:ascii="Aptos" w:hAnsi="Aptos"/>
                <w:b/>
                <w:sz w:val="18"/>
              </w:rPr>
              <w:t>Optional descriptive field missing</w:t>
            </w:r>
          </w:p>
        </w:tc>
        <w:tc>
          <w:tcPr>
            <w:tcW w:type="dxa" w:w="3312"/>
            <w:vAlign w:val="center"/>
          </w:tcPr>
          <w:p>
            <w:r/>
            <w:r>
              <w:rPr>
                <w:rFonts w:ascii="Aptos" w:hAnsi="Aptos"/>
                <w:b w:val="0"/>
                <w:sz w:val="18"/>
              </w:rPr>
              <w:t>Retain as NULL / unknown</w:t>
            </w:r>
          </w:p>
        </w:tc>
        <w:tc>
          <w:tcPr>
            <w:tcW w:type="dxa" w:w="3312"/>
            <w:vAlign w:val="center"/>
          </w:tcPr>
          <w:p>
            <w:r/>
            <w:r>
              <w:rPr>
                <w:rFonts w:ascii="Aptos" w:hAnsi="Aptos"/>
                <w:b w:val="0"/>
                <w:sz w:val="18"/>
              </w:rPr>
              <w:t>The absence may be legitimate and should not be fabricated.</w:t>
            </w:r>
          </w:p>
        </w:tc>
      </w:tr>
      <w:tr>
        <w:tc>
          <w:tcPr>
            <w:tcW w:type="dxa" w:w="3312"/>
            <w:vAlign w:val="center"/>
          </w:tcPr>
          <w:p>
            <w:r/>
            <w:r>
              <w:rPr>
                <w:rFonts w:ascii="Aptos" w:hAnsi="Aptos"/>
                <w:b/>
                <w:sz w:val="18"/>
              </w:rPr>
              <w:t>Required join key missing</w:t>
            </w:r>
          </w:p>
        </w:tc>
        <w:tc>
          <w:tcPr>
            <w:tcW w:type="dxa" w:w="3312"/>
            <w:vAlign w:val="center"/>
          </w:tcPr>
          <w:p>
            <w:r/>
            <w:r>
              <w:rPr>
                <w:rFonts w:ascii="Aptos" w:hAnsi="Aptos"/>
                <w:b w:val="0"/>
                <w:sz w:val="18"/>
              </w:rPr>
              <w:t>Retain in staging; exclude from analyses requiring the key; flag</w:t>
            </w:r>
          </w:p>
        </w:tc>
        <w:tc>
          <w:tcPr>
            <w:tcW w:type="dxa" w:w="3312"/>
            <w:vAlign w:val="center"/>
          </w:tcPr>
          <w:p>
            <w:r/>
            <w:r>
              <w:rPr>
                <w:rFonts w:ascii="Aptos" w:hAnsi="Aptos"/>
                <w:b w:val="0"/>
                <w:sz w:val="18"/>
              </w:rPr>
              <w:t>Dropping it globally would hide data-quality problems.</w:t>
            </w:r>
          </w:p>
        </w:tc>
      </w:tr>
      <w:tr>
        <w:tc>
          <w:tcPr>
            <w:tcW w:type="dxa" w:w="3312"/>
            <w:vAlign w:val="center"/>
          </w:tcPr>
          <w:p>
            <w:r/>
            <w:r>
              <w:rPr>
                <w:rFonts w:ascii="Aptos" w:hAnsi="Aptos"/>
                <w:b/>
                <w:sz w:val="18"/>
              </w:rPr>
              <w:t>Monetary value missing</w:t>
            </w:r>
          </w:p>
        </w:tc>
        <w:tc>
          <w:tcPr>
            <w:tcW w:type="dxa" w:w="3312"/>
            <w:vAlign w:val="center"/>
          </w:tcPr>
          <w:p>
            <w:r/>
            <w:r>
              <w:rPr>
                <w:rFonts w:ascii="Aptos" w:hAnsi="Aptos"/>
                <w:b w:val="0"/>
                <w:sz w:val="18"/>
              </w:rPr>
              <w:t>Do not impute for core procurement-value analysis unless source semantics explicitly justify it</w:t>
            </w:r>
          </w:p>
        </w:tc>
        <w:tc>
          <w:tcPr>
            <w:tcW w:type="dxa" w:w="3312"/>
            <w:vAlign w:val="center"/>
          </w:tcPr>
          <w:p>
            <w:r/>
            <w:r>
              <w:rPr>
                <w:rFonts w:ascii="Aptos" w:hAnsi="Aptos"/>
                <w:b w:val="0"/>
                <w:sz w:val="18"/>
              </w:rPr>
              <w:t>Imputation would invent financial information.</w:t>
            </w:r>
          </w:p>
        </w:tc>
      </w:tr>
      <w:tr>
        <w:tc>
          <w:tcPr>
            <w:tcW w:type="dxa" w:w="3312"/>
            <w:vAlign w:val="center"/>
          </w:tcPr>
          <w:p>
            <w:r/>
            <w:r>
              <w:rPr>
                <w:rFonts w:ascii="Aptos" w:hAnsi="Aptos"/>
                <w:b/>
                <w:sz w:val="18"/>
              </w:rPr>
              <w:t>Date missing</w:t>
            </w:r>
          </w:p>
        </w:tc>
        <w:tc>
          <w:tcPr>
            <w:tcW w:type="dxa" w:w="3312"/>
            <w:vAlign w:val="center"/>
          </w:tcPr>
          <w:p>
            <w:r/>
            <w:r>
              <w:rPr>
                <w:rFonts w:ascii="Aptos" w:hAnsi="Aptos"/>
                <w:b w:val="0"/>
                <w:sz w:val="18"/>
              </w:rPr>
              <w:t>Retain; exclude from duration calculation requiring that date</w:t>
            </w:r>
          </w:p>
        </w:tc>
        <w:tc>
          <w:tcPr>
            <w:tcW w:type="dxa" w:w="3312"/>
            <w:vAlign w:val="center"/>
          </w:tcPr>
          <w:p>
            <w:r/>
            <w:r>
              <w:rPr>
                <w:rFonts w:ascii="Aptos" w:hAnsi="Aptos"/>
                <w:b w:val="0"/>
                <w:sz w:val="18"/>
              </w:rPr>
              <w:t>Missing dates do not prove that the event did not occur.</w:t>
            </w:r>
          </w:p>
        </w:tc>
      </w:tr>
      <w:tr>
        <w:tc>
          <w:tcPr>
            <w:tcW w:type="dxa" w:w="3312"/>
            <w:vAlign w:val="center"/>
          </w:tcPr>
          <w:p>
            <w:r/>
            <w:r>
              <w:rPr>
                <w:rFonts w:ascii="Aptos" w:hAnsi="Aptos"/>
                <w:b/>
                <w:sz w:val="18"/>
              </w:rPr>
              <w:t>Tenderer count/participation missing</w:t>
            </w:r>
          </w:p>
        </w:tc>
        <w:tc>
          <w:tcPr>
            <w:tcW w:type="dxa" w:w="3312"/>
            <w:vAlign w:val="center"/>
          </w:tcPr>
          <w:p>
            <w:r/>
            <w:r>
              <w:rPr>
                <w:rFonts w:ascii="Aptos" w:hAnsi="Aptos"/>
                <w:b w:val="0"/>
                <w:sz w:val="18"/>
              </w:rPr>
              <w:t>Classify as unavailable rather than zero</w:t>
            </w:r>
          </w:p>
        </w:tc>
        <w:tc>
          <w:tcPr>
            <w:tcW w:type="dxa" w:w="3312"/>
            <w:vAlign w:val="center"/>
          </w:tcPr>
          <w:p>
            <w:r/>
            <w:r>
              <w:rPr>
                <w:rFonts w:ascii="Aptos" w:hAnsi="Aptos"/>
                <w:b w:val="0"/>
                <w:sz w:val="18"/>
              </w:rPr>
              <w:t>Zero participation and missing reporting are analytically different.</w:t>
            </w:r>
          </w:p>
        </w:tc>
      </w:tr>
      <w:tr>
        <w:tc>
          <w:tcPr>
            <w:tcW w:type="dxa" w:w="3312"/>
            <w:vAlign w:val="center"/>
          </w:tcPr>
          <w:p>
            <w:r/>
            <w:r>
              <w:rPr>
                <w:rFonts w:ascii="Aptos" w:hAnsi="Aptos"/>
                <w:b/>
                <w:sz w:val="18"/>
              </w:rPr>
              <w:t>Entity name missing but reliable ID exists</w:t>
            </w:r>
          </w:p>
        </w:tc>
        <w:tc>
          <w:tcPr>
            <w:tcW w:type="dxa" w:w="3312"/>
            <w:vAlign w:val="center"/>
          </w:tcPr>
          <w:p>
            <w:r/>
            <w:r>
              <w:rPr>
                <w:rFonts w:ascii="Aptos" w:hAnsi="Aptos"/>
                <w:b w:val="0"/>
                <w:sz w:val="18"/>
              </w:rPr>
              <w:t>Retain ID and resolve/display name where reliably available</w:t>
            </w:r>
          </w:p>
        </w:tc>
        <w:tc>
          <w:tcPr>
            <w:tcW w:type="dxa" w:w="3312"/>
            <w:vAlign w:val="center"/>
          </w:tcPr>
          <w:p>
            <w:r/>
            <w:r>
              <w:rPr>
                <w:rFonts w:ascii="Aptos" w:hAnsi="Aptos"/>
                <w:b w:val="0"/>
                <w:sz w:val="18"/>
              </w:rPr>
              <w:t>The identifier may still support valid aggregation.</w:t>
            </w:r>
          </w:p>
        </w:tc>
      </w:tr>
      <w:tr>
        <w:tc>
          <w:tcPr>
            <w:tcW w:type="dxa" w:w="3312"/>
            <w:vAlign w:val="center"/>
          </w:tcPr>
          <w:p>
            <w:r/>
            <w:r>
              <w:rPr>
                <w:rFonts w:ascii="Aptos" w:hAnsi="Aptos"/>
                <w:b/>
                <w:sz w:val="18"/>
              </w:rPr>
              <w:t>Repeated field across lifecycle releases</w:t>
            </w:r>
          </w:p>
        </w:tc>
        <w:tc>
          <w:tcPr>
            <w:tcW w:type="dxa" w:w="3312"/>
            <w:vAlign w:val="center"/>
          </w:tcPr>
          <w:p>
            <w:r/>
            <w:r>
              <w:rPr>
                <w:rFonts w:ascii="Aptos" w:hAnsi="Aptos"/>
                <w:b w:val="0"/>
                <w:sz w:val="18"/>
              </w:rPr>
              <w:t>Handle according to release/version modelling strategy</w:t>
            </w:r>
          </w:p>
        </w:tc>
        <w:tc>
          <w:tcPr>
            <w:tcW w:type="dxa" w:w="3312"/>
            <w:vAlign w:val="center"/>
          </w:tcPr>
          <w:p>
            <w:r/>
            <w:r>
              <w:rPr>
                <w:rFonts w:ascii="Aptos" w:hAnsi="Aptos"/>
                <w:b w:val="0"/>
                <w:sz w:val="18"/>
              </w:rPr>
              <w:t>Missingness can differ by release rather than by procurement process.</w:t>
            </w:r>
          </w:p>
        </w:tc>
      </w:tr>
    </w:tbl>
    <w:p>
      <w:pPr>
        <w:pStyle w:val="Heading1"/>
      </w:pPr>
      <w:r>
        <w:t>7. Duplicate &amp; Repeated-Release Strategy</w:t>
      </w:r>
    </w:p>
    <w:p>
      <w:r>
        <w:t>Repeated records are a critical issue because open contracting data may represent a procurement process through multiple releases or lifecycle updates. A repeated identifier therefore does not automatically mean a duplicate.</w:t>
      </w:r>
    </w:p>
    <w:p>
      <w:pPr>
        <w:pStyle w:val="ListBullet"/>
      </w:pPr>
      <w:r>
        <w:t>First determine the distinction between a procurement process, an OCDS release/update, and any package or record identifier present in the source.</w:t>
      </w:r>
    </w:p>
    <w:p>
      <w:pPr>
        <w:pStyle w:val="ListBullet"/>
      </w:pPr>
      <w:r>
        <w:t>Identify fields that can establish release identity, update sequence, or publication/version relationships.</w:t>
      </w:r>
    </w:p>
    <w:p>
      <w:pPr>
        <w:pStyle w:val="ListBullet"/>
      </w:pPr>
      <w:r>
        <w:t>Do not use a simple drop_duplicates operation as the final solution.</w:t>
      </w:r>
    </w:p>
    <w:p>
      <w:pPr>
        <w:pStyle w:val="ListBullet"/>
      </w:pPr>
      <w:r>
        <w:t>Choose and document a modelling strategy: preserve releases in a source/history layer and derive a current/analytical representation where required, or use another defensible snapshot rule supported by the data.</w:t>
      </w:r>
    </w:p>
    <w:p>
      <w:pPr>
        <w:pStyle w:val="ListBullet"/>
      </w:pPr>
      <w:r>
        <w:t>Validate that procurement value is not double-counted after the selected strategy.</w:t>
      </w:r>
    </w:p>
    <w:p>
      <w:pPr>
        <w:pStyle w:val="ListBullet"/>
      </w:pPr>
      <w:r>
        <w:t>Retain sufficient source metadata to trace an analytical record back to its published release/history.</w:t>
      </w:r>
    </w:p>
    <w:p>
      <w:pPr>
        <w:pStyle w:val="Heading1"/>
      </w:pPr>
      <w:r>
        <w:t>8. Identifier &amp; Entity-Resolution Strategy</w:t>
      </w:r>
    </w:p>
    <w:p>
      <w:pPr>
        <w:pStyle w:val="ListBullet"/>
      </w:pPr>
      <w:r>
        <w:t>Profile uniqueness, null rates and repeated values for process, award, contract, supplier and procuring-entity identifiers.</w:t>
      </w:r>
    </w:p>
    <w:p>
      <w:pPr>
        <w:pStyle w:val="ListBullet"/>
      </w:pPr>
      <w:r>
        <w:t>Prefer source identifiers over names when reliable IDs are available.</w:t>
      </w:r>
    </w:p>
    <w:p>
      <w:pPr>
        <w:pStyle w:val="ListBullet"/>
      </w:pPr>
      <w:r>
        <w:t>Do not create a false one-to-one relationship merely because two records have similar names.</w:t>
      </w:r>
    </w:p>
    <w:p>
      <w:pPr>
        <w:pStyle w:val="ListBullet"/>
      </w:pPr>
      <w:r>
        <w:t>Normalize obvious text noise such as whitespace and casing for analysis/display without replacing the original source value.</w:t>
      </w:r>
    </w:p>
    <w:p>
      <w:pPr>
        <w:pStyle w:val="ListBullet"/>
      </w:pPr>
      <w:r>
        <w:t>Where multiple names appear to represent one organization but no reliable identifier confirms the match, retain the distinction and document the ambiguity.</w:t>
      </w:r>
    </w:p>
    <w:p>
      <w:pPr>
        <w:pStyle w:val="ListBullet"/>
      </w:pPr>
      <w:r>
        <w:t>If a derived canonical entity key is created, maintain a mapping table so the transformation is auditable.</w:t>
      </w:r>
    </w:p>
    <w:p>
      <w:pPr>
        <w:pStyle w:val="ListBullet"/>
      </w:pPr>
      <w:r>
        <w:t>Supplier concentration metrics must explicitly account for unresolved supplier identity issues.</w:t>
      </w:r>
    </w:p>
    <w:p>
      <w:pPr>
        <w:pStyle w:val="Heading1"/>
      </w:pPr>
      <w:r>
        <w:t>9. Date &amp; Chronology Strategy</w:t>
      </w:r>
    </w:p>
    <w:p>
      <w:pPr>
        <w:pStyle w:val="ListBullet"/>
      </w:pPr>
      <w:r>
        <w:t>Parse all relevant date/time fields into appropriate PostgreSQL temporal types.</w:t>
      </w:r>
    </w:p>
    <w:p>
      <w:pPr>
        <w:pStyle w:val="ListBullet"/>
      </w:pPr>
      <w:r>
        <w:t>Identify invalid formats, impossible dates and suspicious placeholder dates.</w:t>
      </w:r>
    </w:p>
    <w:p>
      <w:pPr>
        <w:pStyle w:val="ListBullet"/>
      </w:pPr>
      <w:r>
        <w:t>Check logical chronology between procurement stages where applicable.</w:t>
      </w:r>
    </w:p>
    <w:p>
      <w:pPr>
        <w:pStyle w:val="ListBullet"/>
      </w:pPr>
      <w:r>
        <w:t>Do not calculate cycle duration when required endpoints are missing or invalid.</w:t>
      </w:r>
    </w:p>
    <w:p>
      <w:pPr>
        <w:pStyle w:val="ListBullet"/>
      </w:pPr>
      <w:r>
        <w:t>Investigate negative or implausibly long durations rather than automatically winsorizing or deleting them.</w:t>
      </w:r>
    </w:p>
    <w:p>
      <w:pPr>
        <w:pStyle w:val="ListBullet"/>
      </w:pPr>
      <w:r>
        <w:t>Use metric-specific valid-date populations and report coverage so that timing results are not presented as universal.</w:t>
      </w:r>
    </w:p>
    <w:p>
      <w:pPr>
        <w:pStyle w:val="Heading1"/>
      </w:pPr>
      <w:r>
        <w:t>10. Monetary-Value Strategy</w:t>
      </w:r>
    </w:p>
    <w:p>
      <w:pPr>
        <w:pStyle w:val="ListBullet"/>
      </w:pPr>
      <w:r>
        <w:t>Convert monetary fields to appropriate numeric/decimal types rather than leaving them as text.</w:t>
      </w:r>
    </w:p>
    <w:p>
      <w:pPr>
        <w:pStyle w:val="ListBullet"/>
      </w:pPr>
      <w:r>
        <w:t>Preserve currency information where provided.</w:t>
      </w:r>
    </w:p>
    <w:p>
      <w:pPr>
        <w:pStyle w:val="ListBullet"/>
      </w:pPr>
      <w:r>
        <w:t>Check for nulls, zeros, negative values, parsing errors and implausibly large magnitudes.</w:t>
      </w:r>
    </w:p>
    <w:p>
      <w:pPr>
        <w:pStyle w:val="ListBullet"/>
      </w:pPr>
      <w:r>
        <w:t>Distinguish genuine zero-valued records from missing or malformed values.</w:t>
      </w:r>
    </w:p>
    <w:p>
      <w:pPr>
        <w:pStyle w:val="ListBullet"/>
      </w:pPr>
      <w:r>
        <w:t>Do not compare planning budgets and award values until their scope, currency and meaning are sufficiently compatible.</w:t>
      </w:r>
    </w:p>
    <w:p>
      <w:pPr>
        <w:pStyle w:val="ListBullet"/>
      </w:pPr>
      <w:r>
        <w:t>Document whether values represent estimates, awards, contract values, payments or another procurement concept before aggregation.</w:t>
      </w:r>
    </w:p>
    <w:p>
      <w:pPr>
        <w:pStyle w:val="ListBullet"/>
      </w:pPr>
      <w:r>
        <w:t>Use source values as the analytical basis; do not silently repair financial figures based on statistical assumptions.</w:t>
      </w:r>
    </w:p>
    <w:p>
      <w:pPr>
        <w:pStyle w:val="Heading1"/>
      </w:pPr>
      <w:r>
        <w:t>11. Outlier Strategy</w:t>
      </w:r>
    </w:p>
    <w:p>
      <w:r>
        <w:t>Outliers are not automatically errors. In procurement data, very large contracts, unusually high tenderer counts, long durations or extreme budget differences may be legitimate and potentially important.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Outlier type</w:t>
            </w:r>
          </w:p>
        </w:tc>
        <w:tc>
          <w:tcPr>
            <w:tcW w:type="dxa" w:w="3312"/>
            <w:vAlign w:val="center"/>
            <w:shd w:fill="D9EAF7"/>
          </w:tcPr>
          <w:p>
            <w:r/>
            <w:r>
              <w:rPr>
                <w:rFonts w:ascii="Aptos" w:hAnsi="Aptos"/>
                <w:b/>
                <w:sz w:val="18"/>
              </w:rPr>
              <w:t>Investigation</w:t>
            </w:r>
          </w:p>
        </w:tc>
        <w:tc>
          <w:tcPr>
            <w:tcW w:type="dxa" w:w="3312"/>
            <w:vAlign w:val="center"/>
            <w:shd w:fill="D9EAF7"/>
          </w:tcPr>
          <w:p>
            <w:r/>
            <w:r>
              <w:rPr>
                <w:rFonts w:ascii="Aptos" w:hAnsi="Aptos"/>
                <w:b/>
                <w:sz w:val="18"/>
              </w:rPr>
              <w:t>Treatment principle</w:t>
            </w:r>
          </w:p>
        </w:tc>
      </w:tr>
      <w:tr>
        <w:tc>
          <w:tcPr>
            <w:tcW w:type="dxa" w:w="3312"/>
            <w:vAlign w:val="center"/>
          </w:tcPr>
          <w:p>
            <w:r/>
            <w:r>
              <w:rPr>
                <w:rFonts w:ascii="Aptos" w:hAnsi="Aptos"/>
                <w:b/>
                <w:sz w:val="18"/>
              </w:rPr>
              <w:t>Very large procurement value</w:t>
            </w:r>
          </w:p>
        </w:tc>
        <w:tc>
          <w:tcPr>
            <w:tcW w:type="dxa" w:w="3312"/>
            <w:vAlign w:val="center"/>
          </w:tcPr>
          <w:p>
            <w:r/>
            <w:r>
              <w:rPr>
                <w:rFonts w:ascii="Aptos" w:hAnsi="Aptos"/>
                <w:b w:val="0"/>
                <w:sz w:val="18"/>
              </w:rPr>
              <w:t>Check source value, currency, unit, process identity and duplicate-release risk.</w:t>
            </w:r>
          </w:p>
        </w:tc>
        <w:tc>
          <w:tcPr>
            <w:tcW w:type="dxa" w:w="3312"/>
            <w:vAlign w:val="center"/>
          </w:tcPr>
          <w:p>
            <w:r/>
            <w:r>
              <w:rPr>
                <w:rFonts w:ascii="Aptos" w:hAnsi="Aptos"/>
                <w:b w:val="0"/>
                <w:sz w:val="18"/>
              </w:rPr>
              <w:t>Retain if valid; consider separate visualization/scaling where necessary.</w:t>
            </w:r>
          </w:p>
        </w:tc>
      </w:tr>
      <w:tr>
        <w:tc>
          <w:tcPr>
            <w:tcW w:type="dxa" w:w="3312"/>
            <w:vAlign w:val="center"/>
          </w:tcPr>
          <w:p>
            <w:r/>
            <w:r>
              <w:rPr>
                <w:rFonts w:ascii="Aptos" w:hAnsi="Aptos"/>
                <w:b/>
                <w:sz w:val="18"/>
              </w:rPr>
              <w:t>Very small / zero award</w:t>
            </w:r>
          </w:p>
        </w:tc>
        <w:tc>
          <w:tcPr>
            <w:tcW w:type="dxa" w:w="3312"/>
            <w:vAlign w:val="center"/>
          </w:tcPr>
          <w:p>
            <w:r/>
            <w:r>
              <w:rPr>
                <w:rFonts w:ascii="Aptos" w:hAnsi="Aptos"/>
                <w:b w:val="0"/>
                <w:sz w:val="18"/>
              </w:rPr>
              <w:t>Determine whether it represents a legitimate outcome, cancellation, missing award or malformed value.</w:t>
            </w:r>
          </w:p>
        </w:tc>
        <w:tc>
          <w:tcPr>
            <w:tcW w:type="dxa" w:w="3312"/>
            <w:vAlign w:val="center"/>
          </w:tcPr>
          <w:p>
            <w:r/>
            <w:r>
              <w:rPr>
                <w:rFonts w:ascii="Aptos" w:hAnsi="Aptos"/>
                <w:b w:val="0"/>
                <w:sz w:val="18"/>
              </w:rPr>
              <w:t>Classify based on source semantics; do not automatically delete.</w:t>
            </w:r>
          </w:p>
        </w:tc>
      </w:tr>
      <w:tr>
        <w:tc>
          <w:tcPr>
            <w:tcW w:type="dxa" w:w="3312"/>
            <w:vAlign w:val="center"/>
          </w:tcPr>
          <w:p>
            <w:r/>
            <w:r>
              <w:rPr>
                <w:rFonts w:ascii="Aptos" w:hAnsi="Aptos"/>
                <w:b/>
                <w:sz w:val="18"/>
              </w:rPr>
              <w:t>Negative monetary value</w:t>
            </w:r>
          </w:p>
        </w:tc>
        <w:tc>
          <w:tcPr>
            <w:tcW w:type="dxa" w:w="3312"/>
            <w:vAlign w:val="center"/>
          </w:tcPr>
          <w:p>
            <w:r/>
            <w:r>
              <w:rPr>
                <w:rFonts w:ascii="Aptos" w:hAnsi="Aptos"/>
                <w:b w:val="0"/>
                <w:sz w:val="18"/>
              </w:rPr>
              <w:t>Check whether the field can legitimately contain negatives or whether it is an error/refund/adjustment concept.</w:t>
            </w:r>
          </w:p>
        </w:tc>
        <w:tc>
          <w:tcPr>
            <w:tcW w:type="dxa" w:w="3312"/>
            <w:vAlign w:val="center"/>
          </w:tcPr>
          <w:p>
            <w:r/>
            <w:r>
              <w:rPr>
                <w:rFonts w:ascii="Aptos" w:hAnsi="Aptos"/>
                <w:b w:val="0"/>
                <w:sz w:val="18"/>
              </w:rPr>
              <w:t>Exclude from metrics only when incompatible with the field's meaning; document.</w:t>
            </w:r>
          </w:p>
        </w:tc>
      </w:tr>
      <w:tr>
        <w:tc>
          <w:tcPr>
            <w:tcW w:type="dxa" w:w="3312"/>
            <w:vAlign w:val="center"/>
          </w:tcPr>
          <w:p>
            <w:r/>
            <w:r>
              <w:rPr>
                <w:rFonts w:ascii="Aptos" w:hAnsi="Aptos"/>
                <w:b/>
                <w:sz w:val="18"/>
              </w:rPr>
              <w:t>Extremely long/short procurement duration</w:t>
            </w:r>
          </w:p>
        </w:tc>
        <w:tc>
          <w:tcPr>
            <w:tcW w:type="dxa" w:w="3312"/>
            <w:vAlign w:val="center"/>
          </w:tcPr>
          <w:p>
            <w:r/>
            <w:r>
              <w:rPr>
                <w:rFonts w:ascii="Aptos" w:hAnsi="Aptos"/>
                <w:b w:val="0"/>
                <w:sz w:val="18"/>
              </w:rPr>
              <w:t>Validate endpoint dates and release history.</w:t>
            </w:r>
          </w:p>
        </w:tc>
        <w:tc>
          <w:tcPr>
            <w:tcW w:type="dxa" w:w="3312"/>
            <w:vAlign w:val="center"/>
          </w:tcPr>
          <w:p>
            <w:r/>
            <w:r>
              <w:rPr>
                <w:rFonts w:ascii="Aptos" w:hAnsi="Aptos"/>
                <w:b w:val="0"/>
                <w:sz w:val="18"/>
              </w:rPr>
              <w:t>Flag or exclude from duration metrics when chronology is invalid.</w:t>
            </w:r>
          </w:p>
        </w:tc>
      </w:tr>
      <w:tr>
        <w:tc>
          <w:tcPr>
            <w:tcW w:type="dxa" w:w="3312"/>
            <w:vAlign w:val="center"/>
          </w:tcPr>
          <w:p>
            <w:r/>
            <w:r>
              <w:rPr>
                <w:rFonts w:ascii="Aptos" w:hAnsi="Aptos"/>
                <w:b/>
                <w:sz w:val="18"/>
              </w:rPr>
              <w:t>Very high tenderer count</w:t>
            </w:r>
          </w:p>
        </w:tc>
        <w:tc>
          <w:tcPr>
            <w:tcW w:type="dxa" w:w="3312"/>
            <w:vAlign w:val="center"/>
          </w:tcPr>
          <w:p>
            <w:r/>
            <w:r>
              <w:rPr>
                <w:rFonts w:ascii="Aptos" w:hAnsi="Aptos"/>
                <w:b w:val="0"/>
                <w:sz w:val="18"/>
              </w:rPr>
              <w:t>Check whether count is a genuine count, duplicated participants, or a release aggregation artifact.</w:t>
            </w:r>
          </w:p>
        </w:tc>
        <w:tc>
          <w:tcPr>
            <w:tcW w:type="dxa" w:w="3312"/>
            <w:vAlign w:val="center"/>
          </w:tcPr>
          <w:p>
            <w:r/>
            <w:r>
              <w:rPr>
                <w:rFonts w:ascii="Aptos" w:hAnsi="Aptos"/>
                <w:b w:val="0"/>
                <w:sz w:val="18"/>
              </w:rPr>
              <w:t>Retain if valid; investigate source structure first.</w:t>
            </w:r>
          </w:p>
        </w:tc>
      </w:tr>
      <w:tr>
        <w:tc>
          <w:tcPr>
            <w:tcW w:type="dxa" w:w="3312"/>
            <w:vAlign w:val="center"/>
          </w:tcPr>
          <w:p>
            <w:r/>
            <w:r>
              <w:rPr>
                <w:rFonts w:ascii="Aptos" w:hAnsi="Aptos"/>
                <w:b/>
                <w:sz w:val="18"/>
              </w:rPr>
              <w:t>Extreme budget-to-award ratio</w:t>
            </w:r>
          </w:p>
        </w:tc>
        <w:tc>
          <w:tcPr>
            <w:tcW w:type="dxa" w:w="3312"/>
            <w:vAlign w:val="center"/>
          </w:tcPr>
          <w:p>
            <w:r/>
            <w:r>
              <w:rPr>
                <w:rFonts w:ascii="Aptos" w:hAnsi="Aptos"/>
                <w:b w:val="0"/>
                <w:sz w:val="18"/>
              </w:rPr>
              <w:t>Check denominator, currency, duplicate processes and semantic comparability.</w:t>
            </w:r>
          </w:p>
        </w:tc>
        <w:tc>
          <w:tcPr>
            <w:tcW w:type="dxa" w:w="3312"/>
            <w:vAlign w:val="center"/>
          </w:tcPr>
          <w:p>
            <w:r/>
            <w:r>
              <w:rPr>
                <w:rFonts w:ascii="Aptos" w:hAnsi="Aptos"/>
                <w:b w:val="0"/>
                <w:sz w:val="18"/>
              </w:rPr>
              <w:t>Calculate only for valid comparable records; flag extremes rather than automatically removing them.</w:t>
            </w:r>
          </w:p>
        </w:tc>
      </w:tr>
    </w:tbl>
    <w:p>
      <w:pPr>
        <w:pStyle w:val="Heading1"/>
      </w:pPr>
      <w:r>
        <w:t>12. Text, Categorical &amp; Structural Noise</w:t>
      </w:r>
    </w:p>
    <w:p>
      <w:pPr>
        <w:pStyle w:val="ListBullet"/>
      </w:pPr>
      <w:r>
        <w:t>Trim leading/trailing whitespace.</w:t>
      </w:r>
    </w:p>
    <w:p>
      <w:pPr>
        <w:pStyle w:val="ListBullet"/>
      </w:pPr>
      <w:r>
        <w:t>Standardize obvious casing differences for analytical grouping where appropriate.</w:t>
      </w:r>
    </w:p>
    <w:p>
      <w:pPr>
        <w:pStyle w:val="ListBullet"/>
      </w:pPr>
      <w:r>
        <w:t>Preserve original labels for traceability.</w:t>
      </w:r>
    </w:p>
    <w:p>
      <w:pPr>
        <w:pStyle w:val="ListBullet"/>
      </w:pPr>
      <w:r>
        <w:t>Create controlled analytical categories only where source values can be mapped defensibly.</w:t>
      </w:r>
    </w:p>
    <w:p>
      <w:pPr>
        <w:pStyle w:val="ListBullet"/>
      </w:pPr>
      <w:r>
        <w:t>Separate genuinely different categories from spelling/formatting variants.</w:t>
      </w:r>
    </w:p>
    <w:p>
      <w:pPr>
        <w:pStyle w:val="ListBullet"/>
      </w:pPr>
      <w:r>
        <w:t>Record all mapping rules in a lookup/reference table or documented transformation.</w:t>
      </w:r>
    </w:p>
    <w:p>
      <w:pPr>
        <w:pStyle w:val="ListBullet"/>
      </w:pPr>
      <w:r>
        <w:t>Do not collapse ambiguous categories simply to make dashboard charts cleaner.</w:t>
      </w:r>
    </w:p>
    <w:p>
      <w:pPr>
        <w:pStyle w:val="Heading1"/>
      </w:pPr>
      <w:r>
        <w:t>13. Metric-Specific Analytical Eligibility</w:t>
      </w:r>
    </w:p>
    <w:p>
      <w:r>
        <w:t>A major design principle is that there will not be one universal 'clean dataset' in which every row is equally suitable for every analysis. Instead, the project will maintain a validated core dataset and define metric-specific eligibility rules.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Analysis</w:t>
            </w:r>
          </w:p>
        </w:tc>
        <w:tc>
          <w:tcPr>
            <w:tcW w:type="dxa" w:w="4968"/>
            <w:vAlign w:val="center"/>
            <w:shd w:fill="D9EAF7"/>
          </w:tcPr>
          <w:p>
            <w:r/>
            <w:r>
              <w:rPr>
                <w:rFonts w:ascii="Aptos" w:hAnsi="Aptos"/>
                <w:b/>
                <w:sz w:val="18"/>
              </w:rPr>
              <w:t>Minimum quality considerations</w:t>
            </w:r>
          </w:p>
        </w:tc>
      </w:tr>
      <w:tr>
        <w:tc>
          <w:tcPr>
            <w:tcW w:type="dxa" w:w="4968"/>
            <w:vAlign w:val="center"/>
          </w:tcPr>
          <w:p>
            <w:r/>
            <w:r>
              <w:rPr>
                <w:rFonts w:ascii="Aptos" w:hAnsi="Aptos"/>
                <w:b/>
                <w:sz w:val="18"/>
              </w:rPr>
              <w:t>Supplier concentration</w:t>
            </w:r>
          </w:p>
        </w:tc>
        <w:tc>
          <w:tcPr>
            <w:tcW w:type="dxa" w:w="4968"/>
            <w:vAlign w:val="center"/>
          </w:tcPr>
          <w:p>
            <w:r/>
            <w:r>
              <w:rPr>
                <w:rFonts w:ascii="Aptos" w:hAnsi="Aptos"/>
                <w:b w:val="0"/>
                <w:sz w:val="18"/>
              </w:rPr>
              <w:t>Reliable supplier identity, valid award value, valid process/award relationship, and controlled release duplication.</w:t>
            </w:r>
          </w:p>
        </w:tc>
      </w:tr>
      <w:tr>
        <w:tc>
          <w:tcPr>
            <w:tcW w:type="dxa" w:w="4968"/>
            <w:vAlign w:val="center"/>
          </w:tcPr>
          <w:p>
            <w:r/>
            <w:r>
              <w:rPr>
                <w:rFonts w:ascii="Aptos" w:hAnsi="Aptos"/>
                <w:b/>
                <w:sz w:val="18"/>
              </w:rPr>
              <w:t>Competition</w:t>
            </w:r>
          </w:p>
        </w:tc>
        <w:tc>
          <w:tcPr>
            <w:tcW w:type="dxa" w:w="4968"/>
            <w:vAlign w:val="center"/>
          </w:tcPr>
          <w:p>
            <w:r/>
            <w:r>
              <w:rPr>
                <w:rFonts w:ascii="Aptos" w:hAnsi="Aptos"/>
                <w:b w:val="0"/>
                <w:sz w:val="18"/>
              </w:rPr>
              <w:t>Reliable procurement process/tender relationship and interpretable tenderer participation data; missing participation must not be treated as zero.</w:t>
            </w:r>
          </w:p>
        </w:tc>
      </w:tr>
      <w:tr>
        <w:tc>
          <w:tcPr>
            <w:tcW w:type="dxa" w:w="4968"/>
            <w:vAlign w:val="center"/>
          </w:tcPr>
          <w:p>
            <w:r/>
            <w:r>
              <w:rPr>
                <w:rFonts w:ascii="Aptos" w:hAnsi="Aptos"/>
                <w:b/>
                <w:sz w:val="18"/>
              </w:rPr>
              <w:t>Budget-to-award variance</w:t>
            </w:r>
          </w:p>
        </w:tc>
        <w:tc>
          <w:tcPr>
            <w:tcW w:type="dxa" w:w="4968"/>
            <w:vAlign w:val="center"/>
          </w:tcPr>
          <w:p>
            <w:r/>
            <w:r>
              <w:rPr>
                <w:rFonts w:ascii="Aptos" w:hAnsi="Aptos"/>
                <w:b w:val="0"/>
                <w:sz w:val="18"/>
              </w:rPr>
              <w:t>Comparable planning and award values, compatible currency/scope, valid process relationship, and non-invalid denominator.</w:t>
            </w:r>
          </w:p>
        </w:tc>
      </w:tr>
      <w:tr>
        <w:tc>
          <w:tcPr>
            <w:tcW w:type="dxa" w:w="4968"/>
            <w:vAlign w:val="center"/>
          </w:tcPr>
          <w:p>
            <w:r/>
            <w:r>
              <w:rPr>
                <w:rFonts w:ascii="Aptos" w:hAnsi="Aptos"/>
                <w:b/>
                <w:sz w:val="18"/>
              </w:rPr>
              <w:t>Entity benchmarking</w:t>
            </w:r>
          </w:p>
        </w:tc>
        <w:tc>
          <w:tcPr>
            <w:tcW w:type="dxa" w:w="4968"/>
            <w:vAlign w:val="center"/>
          </w:tcPr>
          <w:p>
            <w:r/>
            <w:r>
              <w:rPr>
                <w:rFonts w:ascii="Aptos" w:hAnsi="Aptos"/>
                <w:b w:val="0"/>
                <w:sz w:val="18"/>
              </w:rPr>
              <w:t>Reliable procuring-entity identifier plus consistent procurement-process counting and value aggregation.</w:t>
            </w:r>
          </w:p>
        </w:tc>
      </w:tr>
      <w:tr>
        <w:tc>
          <w:tcPr>
            <w:tcW w:type="dxa" w:w="4968"/>
            <w:vAlign w:val="center"/>
          </w:tcPr>
          <w:p>
            <w:r/>
            <w:r>
              <w:rPr>
                <w:rFonts w:ascii="Aptos" w:hAnsi="Aptos"/>
                <w:b/>
                <w:sz w:val="18"/>
              </w:rPr>
              <w:t>Procurement timing</w:t>
            </w:r>
          </w:p>
        </w:tc>
        <w:tc>
          <w:tcPr>
            <w:tcW w:type="dxa" w:w="4968"/>
            <w:vAlign w:val="center"/>
          </w:tcPr>
          <w:p>
            <w:r/>
            <w:r>
              <w:rPr>
                <w:rFonts w:ascii="Aptos" w:hAnsi="Aptos"/>
                <w:b w:val="0"/>
                <w:sz w:val="18"/>
              </w:rPr>
              <w:t>Valid required dates and logical chronology; report the eligible population.</w:t>
            </w:r>
          </w:p>
        </w:tc>
      </w:tr>
      <w:tr>
        <w:tc>
          <w:tcPr>
            <w:tcW w:type="dxa" w:w="4968"/>
            <w:vAlign w:val="center"/>
          </w:tcPr>
          <w:p>
            <w:r/>
            <w:r>
              <w:rPr>
                <w:rFonts w:ascii="Aptos" w:hAnsi="Aptos"/>
                <w:b/>
                <w:sz w:val="18"/>
              </w:rPr>
              <w:t>Implementation/reporting coverage</w:t>
            </w:r>
          </w:p>
        </w:tc>
        <w:tc>
          <w:tcPr>
            <w:tcW w:type="dxa" w:w="4968"/>
            <w:vAlign w:val="center"/>
          </w:tcPr>
          <w:p>
            <w:r/>
            <w:r>
              <w:rPr>
                <w:rFonts w:ascii="Aptos" w:hAnsi="Aptos"/>
                <w:b w:val="0"/>
                <w:sz w:val="18"/>
              </w:rPr>
              <w:t>Clear definition of what constitutes available implementation/payment information; absence is interpreted as reporting coverage, not automatically non-performance.</w:t>
            </w:r>
          </w:p>
        </w:tc>
      </w:tr>
    </w:tbl>
    <w:p>
      <w:pPr>
        <w:pStyle w:val="Heading1"/>
      </w:pPr>
      <w:r>
        <w:t>14. Required Validation Tests</w:t>
      </w:r>
    </w:p>
    <w:p>
      <w:pPr>
        <w:pStyle w:val="ListBullet"/>
      </w:pPr>
      <w:r>
        <w:t>Source-to-staging row-count reconciliation.</w:t>
      </w:r>
    </w:p>
    <w:p>
      <w:pPr>
        <w:pStyle w:val="ListBullet"/>
      </w:pPr>
      <w:r>
        <w:t>Uniqueness tests for selected primary/candidate keys.</w:t>
      </w:r>
    </w:p>
    <w:p>
      <w:pPr>
        <w:pStyle w:val="ListBullet"/>
      </w:pPr>
      <w:r>
        <w:t>Null-rate checks for critical identifiers and analytical fields.</w:t>
      </w:r>
    </w:p>
    <w:p>
      <w:pPr>
        <w:pStyle w:val="ListBullet"/>
      </w:pPr>
      <w:r>
        <w:t>Foreign-key/orphan checks after relational modelling.</w:t>
      </w:r>
    </w:p>
    <w:p>
      <w:pPr>
        <w:pStyle w:val="ListBullet"/>
      </w:pPr>
      <w:r>
        <w:t>Duplicate/repeated-release reconciliation.</w:t>
      </w:r>
    </w:p>
    <w:p>
      <w:pPr>
        <w:pStyle w:val="ListBullet"/>
      </w:pPr>
      <w:r>
        <w:t>Monetary parsing and range checks.</w:t>
      </w:r>
    </w:p>
    <w:p>
      <w:pPr>
        <w:pStyle w:val="ListBullet"/>
      </w:pPr>
      <w:r>
        <w:t>Date-format and chronology checks.</w:t>
      </w:r>
    </w:p>
    <w:p>
      <w:pPr>
        <w:pStyle w:val="ListBullet"/>
      </w:pPr>
      <w:r>
        <w:t>Supplier/procuring-entity identifier consistency checks.</w:t>
      </w:r>
    </w:p>
    <w:p>
      <w:pPr>
        <w:pStyle w:val="ListBullet"/>
      </w:pPr>
      <w:r>
        <w:t>Count reconciliation between raw, staged, core and analytical representations.</w:t>
      </w:r>
    </w:p>
    <w:p>
      <w:pPr>
        <w:pStyle w:val="ListBullet"/>
      </w:pPr>
      <w:r>
        <w:t>Business-metric reconciliation using independently calculated spot checks.</w:t>
      </w:r>
    </w:p>
    <w:p>
      <w:pPr>
        <w:pStyle w:val="ListBullet"/>
      </w:pPr>
      <w:r>
        <w:t>Dashboard-to-SQL metric reconciliation so Power BI displays the same definitions as PostgreSQL.</w:t>
      </w:r>
    </w:p>
    <w:p>
      <w:pPr>
        <w:pStyle w:val="ListBullet"/>
      </w:pPr>
      <w:r>
        <w:t>Documentation check confirming every exclusion or material transformation has a stated reason.</w:t>
      </w:r>
    </w:p>
    <w:p>
      <w:pPr>
        <w:pStyle w:val="Heading1"/>
      </w:pPr>
      <w:r>
        <w:t>15. Treatment Categories</w:t>
      </w:r>
    </w:p>
    <w:p>
      <w:r>
        <w:t>Every materially problematic record or field should ultimately fall into one of these documented treatment categories: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Category</w:t>
            </w:r>
          </w:p>
        </w:tc>
        <w:tc>
          <w:tcPr>
            <w:tcW w:type="dxa" w:w="4968"/>
            <w:vAlign w:val="center"/>
            <w:shd w:fill="D9EAF7"/>
          </w:tcPr>
          <w:p>
            <w:r/>
            <w:r>
              <w:rPr>
                <w:rFonts w:ascii="Aptos" w:hAnsi="Aptos"/>
                <w:b/>
                <w:sz w:val="18"/>
              </w:rPr>
              <w:t>Meaning</w:t>
            </w:r>
          </w:p>
        </w:tc>
      </w:tr>
      <w:tr>
        <w:tc>
          <w:tcPr>
            <w:tcW w:type="dxa" w:w="4968"/>
            <w:vAlign w:val="center"/>
          </w:tcPr>
          <w:p>
            <w:r/>
            <w:r>
              <w:rPr>
                <w:rFonts w:ascii="Aptos" w:hAnsi="Aptos"/>
                <w:b/>
                <w:sz w:val="18"/>
              </w:rPr>
              <w:t>RETAIN</w:t>
            </w:r>
          </w:p>
        </w:tc>
        <w:tc>
          <w:tcPr>
            <w:tcW w:type="dxa" w:w="4968"/>
            <w:vAlign w:val="center"/>
          </w:tcPr>
          <w:p>
            <w:r/>
            <w:r>
              <w:rPr>
                <w:rFonts w:ascii="Aptos" w:hAnsi="Aptos"/>
                <w:b w:val="0"/>
                <w:sz w:val="18"/>
              </w:rPr>
              <w:t>Valid record/value; no transformation required.</w:t>
            </w:r>
          </w:p>
        </w:tc>
      </w:tr>
      <w:tr>
        <w:tc>
          <w:tcPr>
            <w:tcW w:type="dxa" w:w="4968"/>
            <w:vAlign w:val="center"/>
          </w:tcPr>
          <w:p>
            <w:r/>
            <w:r>
              <w:rPr>
                <w:rFonts w:ascii="Aptos" w:hAnsi="Aptos"/>
                <w:b/>
                <w:sz w:val="18"/>
              </w:rPr>
              <w:t>STANDARDIZE</w:t>
            </w:r>
          </w:p>
        </w:tc>
        <w:tc>
          <w:tcPr>
            <w:tcW w:type="dxa" w:w="4968"/>
            <w:vAlign w:val="center"/>
          </w:tcPr>
          <w:p>
            <w:r/>
            <w:r>
              <w:rPr>
                <w:rFonts w:ascii="Aptos" w:hAnsi="Aptos"/>
                <w:b w:val="0"/>
                <w:sz w:val="18"/>
              </w:rPr>
              <w:t>Value is valid but formatting is normalized, such as whitespace/case/type conversion.</w:t>
            </w:r>
          </w:p>
        </w:tc>
      </w:tr>
      <w:tr>
        <w:tc>
          <w:tcPr>
            <w:tcW w:type="dxa" w:w="4968"/>
            <w:vAlign w:val="center"/>
          </w:tcPr>
          <w:p>
            <w:r/>
            <w:r>
              <w:rPr>
                <w:rFonts w:ascii="Aptos" w:hAnsi="Aptos"/>
                <w:b/>
                <w:sz w:val="18"/>
              </w:rPr>
              <w:t>TRANSFORM</w:t>
            </w:r>
          </w:p>
        </w:tc>
        <w:tc>
          <w:tcPr>
            <w:tcW w:type="dxa" w:w="4968"/>
            <w:vAlign w:val="center"/>
          </w:tcPr>
          <w:p>
            <w:r/>
            <w:r>
              <w:rPr>
                <w:rFonts w:ascii="Aptos" w:hAnsi="Aptos"/>
                <w:b w:val="0"/>
                <w:sz w:val="18"/>
              </w:rPr>
              <w:t>A controlled derivation or restructuring is required to make the field analytically usable.</w:t>
            </w:r>
          </w:p>
        </w:tc>
      </w:tr>
      <w:tr>
        <w:tc>
          <w:tcPr>
            <w:tcW w:type="dxa" w:w="4968"/>
            <w:vAlign w:val="center"/>
          </w:tcPr>
          <w:p>
            <w:r/>
            <w:r>
              <w:rPr>
                <w:rFonts w:ascii="Aptos" w:hAnsi="Aptos"/>
                <w:b/>
                <w:sz w:val="18"/>
              </w:rPr>
              <w:t>FLAG</w:t>
            </w:r>
          </w:p>
        </w:tc>
        <w:tc>
          <w:tcPr>
            <w:tcW w:type="dxa" w:w="4968"/>
            <w:vAlign w:val="center"/>
          </w:tcPr>
          <w:p>
            <w:r/>
            <w:r>
              <w:rPr>
                <w:rFonts w:ascii="Aptos" w:hAnsi="Aptos"/>
                <w:b w:val="0"/>
                <w:sz w:val="18"/>
              </w:rPr>
              <w:t>Record/value is retained but marked as questionable or limited for particular analyses.</w:t>
            </w:r>
          </w:p>
        </w:tc>
      </w:tr>
      <w:tr>
        <w:tc>
          <w:tcPr>
            <w:tcW w:type="dxa" w:w="4968"/>
            <w:vAlign w:val="center"/>
          </w:tcPr>
          <w:p>
            <w:r/>
            <w:r>
              <w:rPr>
                <w:rFonts w:ascii="Aptos" w:hAnsi="Aptos"/>
                <w:b/>
                <w:sz w:val="18"/>
              </w:rPr>
              <w:t>EXCLUDE_FROM_METRIC</w:t>
            </w:r>
          </w:p>
        </w:tc>
        <w:tc>
          <w:tcPr>
            <w:tcW w:type="dxa" w:w="4968"/>
            <w:vAlign w:val="center"/>
          </w:tcPr>
          <w:p>
            <w:r/>
            <w:r>
              <w:rPr>
                <w:rFonts w:ascii="Aptos" w:hAnsi="Aptos"/>
                <w:b w:val="0"/>
                <w:sz w:val="18"/>
              </w:rPr>
              <w:t>Record remains available in staging/core but is excluded from a specific metric because its quality does not satisfy that metric's rules.</w:t>
            </w:r>
          </w:p>
        </w:tc>
      </w:tr>
      <w:tr>
        <w:tc>
          <w:tcPr>
            <w:tcW w:type="dxa" w:w="4968"/>
            <w:vAlign w:val="center"/>
          </w:tcPr>
          <w:p>
            <w:r/>
            <w:r>
              <w:rPr>
                <w:rFonts w:ascii="Aptos" w:hAnsi="Aptos"/>
                <w:b/>
                <w:sz w:val="18"/>
              </w:rPr>
              <w:t>UNRESOLVED</w:t>
            </w:r>
          </w:p>
        </w:tc>
        <w:tc>
          <w:tcPr>
            <w:tcW w:type="dxa" w:w="4968"/>
            <w:vAlign w:val="center"/>
          </w:tcPr>
          <w:p>
            <w:r/>
            <w:r>
              <w:rPr>
                <w:rFonts w:ascii="Aptos" w:hAnsi="Aptos"/>
                <w:b w:val="0"/>
                <w:sz w:val="18"/>
              </w:rPr>
              <w:t>Issue cannot be safely resolved from the available evidence; retain transparently and document.</w:t>
            </w:r>
          </w:p>
        </w:tc>
      </w:tr>
      <w:tr>
        <w:tc>
          <w:tcPr>
            <w:tcW w:type="dxa" w:w="4968"/>
            <w:vAlign w:val="center"/>
          </w:tcPr>
          <w:p>
            <w:r/>
            <w:r>
              <w:rPr>
                <w:rFonts w:ascii="Aptos" w:hAnsi="Aptos"/>
                <w:b/>
                <w:sz w:val="18"/>
              </w:rPr>
              <w:t>DROP</w:t>
            </w:r>
          </w:p>
        </w:tc>
        <w:tc>
          <w:tcPr>
            <w:tcW w:type="dxa" w:w="4968"/>
            <w:vAlign w:val="center"/>
          </w:tcPr>
          <w:p>
            <w:r/>
            <w:r>
              <w:rPr>
                <w:rFonts w:ascii="Aptos" w:hAnsi="Aptos"/>
                <w:b w:val="0"/>
                <w:sz w:val="18"/>
              </w:rPr>
              <w:t>Reserved for demonstrably invalid technical artifacts or exact duplicates that are proven to have no independent analytical meaning.</w:t>
            </w:r>
          </w:p>
        </w:tc>
      </w:tr>
    </w:tbl>
    <w:p>
      <w:pPr>
        <w:pStyle w:val="Heading1"/>
      </w:pPr>
      <w:r>
        <w:t>16. Cleaning Anti-Patterns to Avoid</w:t>
      </w:r>
    </w:p>
    <w:p>
      <w:pPr>
        <w:pStyle w:val="ListBullet"/>
      </w:pPr>
      <w:r>
        <w:t>Dropping every row containing a NULL.</w:t>
      </w:r>
    </w:p>
    <w:p>
      <w:pPr>
        <w:pStyle w:val="ListBullet"/>
      </w:pPr>
      <w:r>
        <w:t>Replacing missing monetary values with zero.</w:t>
      </w:r>
    </w:p>
    <w:p>
      <w:pPr>
        <w:pStyle w:val="ListBullet"/>
      </w:pPr>
      <w:r>
        <w:t>Replacing missing tenderer counts with zero.</w:t>
      </w:r>
    </w:p>
    <w:p>
      <w:pPr>
        <w:pStyle w:val="ListBullet"/>
      </w:pPr>
      <w:r>
        <w:t>Using mean/median imputation for procurement financial values without a source-supported reason.</w:t>
      </w:r>
    </w:p>
    <w:p>
      <w:pPr>
        <w:pStyle w:val="ListBullet"/>
      </w:pPr>
      <w:r>
        <w:t>Removing all statistical outliers using an arbitrary IQR/z-score rule.</w:t>
      </w:r>
    </w:p>
    <w:p>
      <w:pPr>
        <w:pStyle w:val="ListBullet"/>
      </w:pPr>
      <w:r>
        <w:t>Merging suppliers solely because their names look similar.</w:t>
      </w:r>
    </w:p>
    <w:p>
      <w:pPr>
        <w:pStyle w:val="ListBullet"/>
      </w:pPr>
      <w:r>
        <w:t>Dropping repeated records without understanding OCDS release history.</w:t>
      </w:r>
    </w:p>
    <w:p>
      <w:pPr>
        <w:pStyle w:val="ListBullet"/>
      </w:pPr>
      <w:r>
        <w:t>Changing source values directly instead of creating traceable transformed fields.</w:t>
      </w:r>
    </w:p>
    <w:p>
      <w:pPr>
        <w:pStyle w:val="ListBullet"/>
      </w:pPr>
      <w:r>
        <w:t>Cleaning data specifically to make a desired business conclusion appear stronger.</w:t>
      </w:r>
    </w:p>
    <w:p>
      <w:pPr>
        <w:pStyle w:val="ListBullet"/>
      </w:pPr>
      <w:r>
        <w:t>Using the cleaned dataset without preserving enough information to explain what changed.</w:t>
      </w:r>
    </w:p>
    <w:p>
      <w:pPr>
        <w:pStyle w:val="Heading1"/>
      </w:pPr>
      <w:r>
        <w:t>17. Where Cleaning Occurs in the Architecture</w:t>
      </w:r>
    </w:p>
    <w:p>
      <w:pPr>
        <w:jc w:val="center"/>
      </w:pPr>
      <w:r>
        <w:rPr>
          <w:b/>
        </w:rPr>
        <w:t>RAW NOCOPO SOURCE</w:t>
        <w:br/>
        <w:t>↓</w:t>
        <w:br/>
        <w:t>Python: ingestion + profiling + targeted preprocessing</w:t>
        <w:br/>
        <w:t>↓</w:t>
        <w:br/>
        <w:t>PostgreSQL STAGING: source-faithful representation</w:t>
        <w:br/>
        <w:t>↓</w:t>
        <w:br/>
        <w:t>PostgreSQL CORE: validated relational entities + controlled transformations</w:t>
        <w:br/>
        <w:t>↓</w:t>
        <w:br/>
        <w:t>PostgreSQL ANALYTICAL: metric-specific eligibility + reusable views</w:t>
        <w:br/>
        <w:t>↓</w:t>
        <w:br/>
        <w:t>Power BI: validated presentation</w:t>
      </w:r>
    </w:p>
    <w:p>
      <w:r>
        <w:t>This preserves the project's SQL-first architecture: Python assists with source handling and profiling, while the important relational transformations, validation logic and business-facing analytical rules remain visible in PostgreSQL.</w:t>
      </w:r>
    </w:p>
    <w:p>
      <w:pPr>
        <w:pStyle w:val="Heading1"/>
      </w:pPr>
      <w:r>
        <w:t>18. Expected Data-Quality Deliverables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Deliverable</w:t>
            </w:r>
          </w:p>
        </w:tc>
        <w:tc>
          <w:tcPr>
            <w:tcW w:type="dxa" w:w="4968"/>
            <w:vAlign w:val="center"/>
            <w:shd w:fill="D9EAF7"/>
          </w:tcPr>
          <w:p>
            <w:r/>
            <w:r>
              <w:rPr>
                <w:rFonts w:ascii="Aptos" w:hAnsi="Aptos"/>
                <w:b/>
                <w:sz w:val="18"/>
              </w:rPr>
              <w:t>Purpose</w:t>
            </w:r>
          </w:p>
        </w:tc>
      </w:tr>
      <w:tr>
        <w:tc>
          <w:tcPr>
            <w:tcW w:type="dxa" w:w="4968"/>
            <w:vAlign w:val="center"/>
          </w:tcPr>
          <w:p>
            <w:r/>
            <w:r>
              <w:rPr>
                <w:rFonts w:ascii="Aptos" w:hAnsi="Aptos"/>
                <w:b/>
                <w:sz w:val="18"/>
              </w:rPr>
              <w:t>Data profiling report</w:t>
            </w:r>
          </w:p>
        </w:tc>
        <w:tc>
          <w:tcPr>
            <w:tcW w:type="dxa" w:w="4968"/>
            <w:vAlign w:val="center"/>
          </w:tcPr>
          <w:p>
            <w:r/>
            <w:r>
              <w:rPr>
                <w:rFonts w:ascii="Aptos" w:hAnsi="Aptos"/>
                <w:b w:val="0"/>
                <w:sz w:val="18"/>
              </w:rPr>
              <w:t>Field types, cardinality, missingness, distributions and structural observations.</w:t>
            </w:r>
          </w:p>
        </w:tc>
      </w:tr>
      <w:tr>
        <w:tc>
          <w:tcPr>
            <w:tcW w:type="dxa" w:w="4968"/>
            <w:vAlign w:val="center"/>
          </w:tcPr>
          <w:p>
            <w:r/>
            <w:r>
              <w:rPr>
                <w:rFonts w:ascii="Aptos" w:hAnsi="Aptos"/>
                <w:b/>
                <w:sz w:val="18"/>
              </w:rPr>
              <w:t>Data-quality issue register</w:t>
            </w:r>
          </w:p>
        </w:tc>
        <w:tc>
          <w:tcPr>
            <w:tcW w:type="dxa" w:w="4968"/>
            <w:vAlign w:val="center"/>
          </w:tcPr>
          <w:p>
            <w:r/>
            <w:r>
              <w:rPr>
                <w:rFonts w:ascii="Aptos" w:hAnsi="Aptos"/>
                <w:b w:val="0"/>
                <w:sz w:val="18"/>
              </w:rPr>
              <w:t>Issue, affected field/entity, severity, evidence, treatment and status.</w:t>
            </w:r>
          </w:p>
        </w:tc>
      </w:tr>
      <w:tr>
        <w:tc>
          <w:tcPr>
            <w:tcW w:type="dxa" w:w="4968"/>
            <w:vAlign w:val="center"/>
          </w:tcPr>
          <w:p>
            <w:r/>
            <w:r>
              <w:rPr>
                <w:rFonts w:ascii="Aptos" w:hAnsi="Aptos"/>
                <w:b/>
                <w:sz w:val="18"/>
              </w:rPr>
              <w:t>Cleaning decision log</w:t>
            </w:r>
          </w:p>
        </w:tc>
        <w:tc>
          <w:tcPr>
            <w:tcW w:type="dxa" w:w="4968"/>
            <w:vAlign w:val="center"/>
          </w:tcPr>
          <w:p>
            <w:r/>
            <w:r>
              <w:rPr>
                <w:rFonts w:ascii="Aptos" w:hAnsi="Aptos"/>
                <w:b w:val="0"/>
                <w:sz w:val="18"/>
              </w:rPr>
              <w:t>Explicit record of retain/standardize/transform/flag/exclude decisions.</w:t>
            </w:r>
          </w:p>
        </w:tc>
      </w:tr>
      <w:tr>
        <w:tc>
          <w:tcPr>
            <w:tcW w:type="dxa" w:w="4968"/>
            <w:vAlign w:val="center"/>
          </w:tcPr>
          <w:p>
            <w:r/>
            <w:r>
              <w:rPr>
                <w:rFonts w:ascii="Aptos" w:hAnsi="Aptos"/>
                <w:b/>
                <w:sz w:val="18"/>
              </w:rPr>
              <w:t>Data dictionary</w:t>
            </w:r>
          </w:p>
        </w:tc>
        <w:tc>
          <w:tcPr>
            <w:tcW w:type="dxa" w:w="4968"/>
            <w:vAlign w:val="center"/>
          </w:tcPr>
          <w:p>
            <w:r/>
            <w:r>
              <w:rPr>
                <w:rFonts w:ascii="Aptos" w:hAnsi="Aptos"/>
                <w:b w:val="0"/>
                <w:sz w:val="18"/>
              </w:rPr>
              <w:t>Business meaning, source field, transformed field, type and analytical role.</w:t>
            </w:r>
          </w:p>
        </w:tc>
      </w:tr>
      <w:tr>
        <w:tc>
          <w:tcPr>
            <w:tcW w:type="dxa" w:w="4968"/>
            <w:vAlign w:val="center"/>
          </w:tcPr>
          <w:p>
            <w:r/>
            <w:r>
              <w:rPr>
                <w:rFonts w:ascii="Aptos" w:hAnsi="Aptos"/>
                <w:b/>
                <w:sz w:val="18"/>
              </w:rPr>
              <w:t>Validation SQL</w:t>
            </w:r>
          </w:p>
        </w:tc>
        <w:tc>
          <w:tcPr>
            <w:tcW w:type="dxa" w:w="4968"/>
            <w:vAlign w:val="center"/>
          </w:tcPr>
          <w:p>
            <w:r/>
            <w:r>
              <w:rPr>
                <w:rFonts w:ascii="Aptos" w:hAnsi="Aptos"/>
                <w:b w:val="0"/>
                <w:sz w:val="18"/>
              </w:rPr>
              <w:t>Repeatable tests for keys, relationships, dates, monetary values, duplicates and reconciliation.</w:t>
            </w:r>
          </w:p>
        </w:tc>
      </w:tr>
      <w:tr>
        <w:tc>
          <w:tcPr>
            <w:tcW w:type="dxa" w:w="4968"/>
            <w:vAlign w:val="center"/>
          </w:tcPr>
          <w:p>
            <w:r/>
            <w:r>
              <w:rPr>
                <w:rFonts w:ascii="Aptos" w:hAnsi="Aptos"/>
                <w:b/>
                <w:sz w:val="18"/>
              </w:rPr>
              <w:t>Entity mapping table, if required</w:t>
            </w:r>
          </w:p>
        </w:tc>
        <w:tc>
          <w:tcPr>
            <w:tcW w:type="dxa" w:w="4968"/>
            <w:vAlign w:val="center"/>
          </w:tcPr>
          <w:p>
            <w:r/>
            <w:r>
              <w:rPr>
                <w:rFonts w:ascii="Aptos" w:hAnsi="Aptos"/>
                <w:b w:val="0"/>
                <w:sz w:val="18"/>
              </w:rPr>
              <w:t>Auditable supplier/procuring-entity canonicalization where reliable mapping is possible.</w:t>
            </w:r>
          </w:p>
        </w:tc>
      </w:tr>
      <w:tr>
        <w:tc>
          <w:tcPr>
            <w:tcW w:type="dxa" w:w="4968"/>
            <w:vAlign w:val="center"/>
          </w:tcPr>
          <w:p>
            <w:r/>
            <w:r>
              <w:rPr>
                <w:rFonts w:ascii="Aptos" w:hAnsi="Aptos"/>
                <w:b/>
                <w:sz w:val="18"/>
              </w:rPr>
              <w:t>Metric eligibility definitions</w:t>
            </w:r>
          </w:p>
        </w:tc>
        <w:tc>
          <w:tcPr>
            <w:tcW w:type="dxa" w:w="4968"/>
            <w:vAlign w:val="center"/>
          </w:tcPr>
          <w:p>
            <w:r/>
            <w:r>
              <w:rPr>
                <w:rFonts w:ascii="Aptos" w:hAnsi="Aptos"/>
                <w:b w:val="0"/>
                <w:sz w:val="18"/>
              </w:rPr>
              <w:t>Rules specifying which records are valid for each analytical KPI.</w:t>
            </w:r>
          </w:p>
        </w:tc>
      </w:tr>
      <w:tr>
        <w:tc>
          <w:tcPr>
            <w:tcW w:type="dxa" w:w="4968"/>
            <w:vAlign w:val="center"/>
          </w:tcPr>
          <w:p>
            <w:r/>
            <w:r>
              <w:rPr>
                <w:rFonts w:ascii="Aptos" w:hAnsi="Aptos"/>
                <w:b/>
                <w:sz w:val="18"/>
              </w:rPr>
              <w:t>Pre/post-cleaning reconciliation</w:t>
            </w:r>
          </w:p>
        </w:tc>
        <w:tc>
          <w:tcPr>
            <w:tcW w:type="dxa" w:w="4968"/>
            <w:vAlign w:val="center"/>
          </w:tcPr>
          <w:p>
            <w:r/>
            <w:r>
              <w:rPr>
                <w:rFonts w:ascii="Aptos" w:hAnsi="Aptos"/>
                <w:b w:val="0"/>
                <w:sz w:val="18"/>
              </w:rPr>
              <w:t>Evidence that transformation did not silently distort the source.</w:t>
            </w:r>
          </w:p>
        </w:tc>
      </w:tr>
    </w:tbl>
    <w:p>
      <w:pPr>
        <w:pStyle w:val="Heading1"/>
      </w:pPr>
      <w:r>
        <w:t>19. Schema Design Gate</w:t>
      </w:r>
    </w:p>
    <w:p>
      <w:r>
        <w:t>The PostgreSQL core schema should not be finalized until the audit establishes: (1) what constitutes a procurement process in the selected source, (2) how releases/updates relate to that process, (3) which identifiers are reliable enough for keys, (4) which lifecycle relationships are actually populated, and (5) which fields can support the approved analytical questions.</w:t>
      </w:r>
    </w:p>
    <w:p>
      <w:r>
        <w:t>This prevents the common failure mode of designing a theoretically attractive schema first and then forcing messy source data into it.</w:t>
      </w:r>
    </w:p>
    <w:p>
      <w:pPr>
        <w:pStyle w:val="Heading1"/>
      </w:pPr>
      <w:r>
        <w:t>20. Important Analytical Limitations</w:t>
      </w:r>
    </w:p>
    <w:p>
      <w:pPr>
        <w:pStyle w:val="ListBullet"/>
      </w:pPr>
      <w:r>
        <w:t>The published dataset may have uneven coverage across procurement stages, entities and time periods.</w:t>
      </w:r>
    </w:p>
    <w:p>
      <w:pPr>
        <w:pStyle w:val="ListBullet"/>
      </w:pPr>
      <w:r>
        <w:t>Missing data can represent incomplete reporting rather than absence of an event.</w:t>
      </w:r>
    </w:p>
    <w:p>
      <w:pPr>
        <w:pStyle w:val="ListBullet"/>
      </w:pPr>
      <w:r>
        <w:t>Entity-resolution limitations can affect supplier concentration and benchmarking.</w:t>
      </w:r>
    </w:p>
    <w:p>
      <w:pPr>
        <w:pStyle w:val="ListBullet"/>
      </w:pPr>
      <w:r>
        <w:t>Repeated releases can affect counts and values if not modelled correctly.</w:t>
      </w:r>
    </w:p>
    <w:p>
      <w:pPr>
        <w:pStyle w:val="ListBullet"/>
      </w:pPr>
      <w:r>
        <w:t>Observational procurement data does not by itself establish causation, misconduct, fraud or collusion.</w:t>
      </w:r>
    </w:p>
    <w:p>
      <w:pPr>
        <w:pStyle w:val="ListBullet"/>
      </w:pPr>
      <w:r>
        <w:t>Timing metrics are conditional on valid and sufficiently complete dates.</w:t>
      </w:r>
    </w:p>
    <w:p>
      <w:pPr>
        <w:pStyle w:val="ListBullet"/>
      </w:pPr>
      <w:r>
        <w:t>Budget-to-award comparisons are conditional on compatible definitions and units.</w:t>
      </w:r>
    </w:p>
    <w:p>
      <w:pPr>
        <w:pStyle w:val="ListBullet"/>
      </w:pPr>
      <w:r>
        <w:t>Implementation/payment reporting gaps must not be interpreted automatically as contractor underperformance.</w:t>
      </w:r>
    </w:p>
    <w:p>
      <w:pPr>
        <w:pStyle w:val="Heading1"/>
      </w:pPr>
      <w:r>
        <w:t>21. Alignment With the Project Architecture</w:t>
      </w:r>
    </w:p>
    <w:p>
      <w:r>
        <w:t>The cleaning plan supports the previously defined architecture: NOCOPO source → Python ingestion/profiling → PostgreSQL staging → PostgreSQL core relational model → PostgreSQL analytical layer → Power BI. The architecture intentionally requires the exact tables and transformation rules to be determined after this audit rather than assumed in advance.</w:t>
      </w:r>
    </w:p>
    <w:p>
      <w:pPr>
        <w:pStyle w:val="Heading1"/>
      </w:pPr>
      <w:r>
        <w:t>22. Immediate Next Step</w:t>
      </w:r>
    </w:p>
    <w:p>
      <w:r>
        <w:t>Before implementation, the raw NOCOPO file should be profiled against this plan. The audit should produce actual field-level statistics—row counts, missingness, uniqueness, value distributions, date validity, duplicate/release patterns and relationship coverage. Those measured results will then replace or refine the provisional priorities in this document.</w:t>
      </w:r>
    </w:p>
    <w:p>
      <w:r>
        <w:t>Only after that evidence-based audit should the project proceed to the final data dictionary and PostgreSQL schema design.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Nigeria Public Procurement Intelligence — Dataset &amp; Data-Quality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