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IMPLEMENTATION PLAN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44546A"/>
          <w:sz w:val="26"/>
          <w:szCs w:val="26"/>
        </w:rPr>
        <w:t xml:space="preserve">Nigeria Public Procurement Intelligence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546A"/>
          <w:sz w:val="20"/>
          <w:szCs w:val="20"/>
        </w:rPr>
        <w:t xml:space="preserve">NOCOPO / Open Contracting Data — Sequenced, Gated Execution Plan From Scope to Portfolio Delivery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Project</w:t>
            </w:r>
          </w:p>
        </w:tc>
        <w:tc>
          <w:tcPr>
            <w:tcW w:type="dxa" w:w="68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Nigeria Public Procurement Intelligence (NOCOPO SQL Project)</w:t>
            </w:r>
          </w:p>
        </w:tc>
      </w:tr>
      <w:tr>
        <w:tc>
          <w:tcPr>
            <w:tcW w:type="dxa" w:w="2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Document role</w:t>
            </w:r>
          </w:p>
        </w:tc>
        <w:tc>
          <w:tcPr>
            <w:tcW w:type="dxa" w:w="68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Implementation Plan — sequences and operationalizes the Scope, Technology Architecture and Data-Quality documents into an executable, gated plan</w:t>
            </w:r>
          </w:p>
        </w:tc>
      </w:tr>
      <w:tr>
        <w:tc>
          <w:tcPr>
            <w:tcW w:type="dxa" w:w="2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Primary database</w:t>
            </w:r>
          </w:p>
        </w:tc>
        <w:tc>
          <w:tcPr>
            <w:tcW w:type="dxa" w:w="68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Portfolio stage</w:t>
            </w:r>
          </w:p>
        </w:tc>
        <w:tc>
          <w:tcPr>
            <w:tcW w:type="dxa" w:w="68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Stage 1 of 4 (SQL / Business Analytics) — SQL Associate Certificate</w:t>
            </w:r>
          </w:p>
        </w:tc>
      </w:tr>
      <w:tr>
        <w:tc>
          <w:tcPr>
            <w:tcW w:type="dxa" w:w="2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Ready to execute. Core schema and table design remain gated behind the data-quality audit (Phases 2–3).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1F3864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Purpose and Position of This Document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document sits after the three existing planning documents — the Project Scope, the Technology Architecture, and the Dataset &amp; Data-Quality Plan — and converts their decisions into a single ordered, actionable execution plan. It does not redefine the business questions, the technology stack, or the cleaning philosophy already agreed in those documents; it inherits them and sequences the work required to deliver them.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plan is organized as thirteen phases (Phase 0 through Phase 12), each with a stated objective, primary tools, key deliverable(s), an explicit exit gate, and a task checklist. Several phases carry hard dependencies on the ones before them — most importantly, schema and table design (Phase 4) cannot begin until the data audit and cleaning-decision log (Phases 2–3) are complete. This mirrors the Schema Design Gate defined in Section 19 of the Data-Quality Plan and is the single most important discipline this plan protects.</w:t>
      </w:r>
    </w:p>
    <w:p>
      <w:pPr>
        <w:pStyle w:val="Heading1"/>
        <w:pBdr>
          <w:bottom w:val="single" w:color="1F3864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How This Plan Relates to the Existing Documents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rPr>
          <w:tblHeader/>
        </w:trPr>
        <w:tc>
          <w:tcPr>
            <w:tcW w:type="dxa" w:w="2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Source document</w:t>
            </w:r>
          </w:p>
        </w:tc>
        <w:tc>
          <w:tcPr>
            <w:tcW w:type="dxa" w:w="3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it defines</w:t>
            </w:r>
          </w:p>
        </w:tc>
        <w:tc>
          <w:tcPr>
            <w:tcW w:type="dxa" w:w="3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How this plan uses it</w:t>
            </w:r>
          </w:p>
        </w:tc>
      </w:tr>
      <w:tr>
        <w:tc>
          <w:tcPr>
            <w:tcW w:type="dxa" w:w="2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Scope</w:t>
            </w:r>
          </w:p>
        </w:tc>
        <w:tc>
          <w:tcPr>
            <w:tcW w:type="dxa" w:w="37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 problem, objectives, in/out of scope, stakeholders, seven core business questions, five analytical pillars, deliverables, Definition of Success</w:t>
            </w:r>
          </w:p>
        </w:tc>
        <w:tc>
          <w:tcPr>
            <w:tcW w:type="dxa" w:w="32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Anchors every phase's purpose; Phase 8 is structured directly around the seven business questions; Phase 12 re-checks the Definition of Success</w:t>
            </w:r>
          </w:p>
        </w:tc>
      </w:tr>
      <w:tr>
        <w:tc>
          <w:tcPr>
            <w:tcW w:type="dxa" w:w="2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Technology Architecture</w:t>
            </w:r>
          </w:p>
        </w:tc>
        <w:tc>
          <w:tcPr>
            <w:tcW w:type="dxa" w:w="37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Finalized tool stack, seven logical layers, repository structure, development workflow, Git/GitHub conventions</w:t>
            </w:r>
          </w:p>
        </w:tc>
        <w:tc>
          <w:tcPr>
            <w:tcW w:type="dxa" w:w="32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Supplies the tools and folder locations named in every phase's mini-table; the repository checklist in Section 7 is drawn directly from its proposed structure</w:t>
            </w:r>
          </w:p>
        </w:tc>
      </w:tr>
      <w:tr>
        <w:tc>
          <w:tcPr>
            <w:tcW w:type="dxa" w:w="2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Dataset &amp; Data-Quality Plan</w:t>
            </w:r>
          </w:p>
        </w:tc>
        <w:tc>
          <w:tcPr>
            <w:tcW w:type="dxa" w:w="37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Cleaning philosophy, 12-step audit sequence, cleaning priority matrix, missing-value/duplicate/identifier/date/monetary/outlier strategies, treatment categories, required validation tests, schema-design gate</w:t>
            </w:r>
          </w:p>
        </w:tc>
        <w:tc>
          <w:tcPr>
            <w:tcW w:type="dxa" w:w="32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Defines the exact content of Phases 2, 3 and 6; its treatment categories and validation tests are the acceptance criteria for those phases' exit gates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Implementation Principles Carried Forward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These constraints are not re-derived here; they are inherited as non-negotiable and apply across every phase below.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Schema and table design are gated behind the audit — do not design the core model before Phases 2–3 are complete.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SQL-first: important business logic and analytical transformations live in PostgreSQL, not in Python or Power BI.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No destructive cleaning: no dropping every row with a NULL, no zero-imputation for missing monetary or tenderer values, and no arbitrary outlier removal.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Every material cleaning rule and transformation is reproducible in SQL or Python and documented — nothing is a one-off manual edit.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There is no single universal ‘clean dataset’ — analytical eligibility is defined per metric, and ineligible records are flagged or excluded from that metric only, not deleted.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No claims of corruption, misconduct, or causation — findings are framed as evidence-based observations or areas warranting further investigation.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Scope control: a new analysis, chart, or technology is added only when it strengthens a defined business question or materially improves reliability, reproducibility, or communication.</w:t>
      </w:r>
    </w:p>
    <w:p>
      <w:pPr>
        <w:pStyle w:val="Heading1"/>
        <w:pBdr>
          <w:bottom w:val="single" w:color="1F3864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Implementation Phases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Each phase below states what “done” means before moving on. Phases 0–1 can proceed immediately. Phases 2–3 constitute the audit that the Data-Quality Plan requires before schema work starts. Phase 4 onward should not begin until Phase 3 is signed off.</w:t>
      </w: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Phase 0 — Environment &amp; Repository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Establish a reproducible local environment and the portfolio repository skeleton before touching any procurement data.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VS Code, Git/GitHub, PostgreSQL, pgAdmin 4, Python (virtual environment)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deliverable(s)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Initialized GitHub repository matching the proposed structure; working local PostgreSQL instance; Python environment with pandas and psycopg2/SQLAlchemy installed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Exit gate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psql connects locally, and the repository is pushed with a README stub and the full folder skeleton committed.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Create the GitHub repository (e.g. nigeria-procurement-intelligence) using the folder structure defined in the Technology Architecture document, Section 11.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Install and configure PostgreSQL locally; confirm pgAdmin 4 can connect and browse the empty instance.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Create a Python virtual environment and install pandas, psycopg2 (or SQLAlchemy), and any JSON-handling libraries required for ingestion.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Add a root README stub, LICENSE/NOTICE, and a data/README.md documenting acquisition and redistribution rules.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Commit the empty folder skeleton (sql/01_staging … 06_analysis, docs/, diagrams/, dashboard/, python/) so every later deliverable has a fixed home.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Phase 1 — Source Acquisition &amp;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Obtain the NOCOPO/OCDS source data and document its provenance before any transformation occurs.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NOCOPO portal / API, data/README.md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deliverable(s)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Completed source-inventory record: acquisition date, format, version/URL, licensing notes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Exit gate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Raw file(s) saved locally (or the access method documented) with a completed source-inventory entry — satisfies Data-Quality Plan Section 4, Step 1.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Identify and download the relevant NOCOPO/OCDS export(s), or document the API endpoint used to retrieve them.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Record the acquisition date, source URL/version, file format, and any applicable data-use or redistribution terms.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Store the raw file(s) under data/raw/, or document why they are excluded from Git, and note file size/checksum for traceability.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Note any known publisher caveats (coverage gaps, publication frequency, known outages) for reuse in the limitations section later.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Phase 2 — Data Profiling &amp;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Execute the required audit sequence (Data-Quality Plan Section 4, steps 2–9) to produce measured, field-level evidence rather than assumptions.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Python, pandas, VS Code notebooks/scripts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deliverable(s)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profiling report covering row counts, missingness, cardinality, type/format validity, duplicate/release patterns and relationship coverage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Exit gate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Profiling report complete and checked against the Cleaning Priority Matrix — every P0/P1 area in that matrix has measured evidence, not assumption.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Structural profiling: inspect top-level JSON objects, nested arrays, field availability and record counts.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Cardinality analysis: identify candidate identifiers, one-to-many structures and repeated identifiers.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Missingness analysis: compute field-level and lifecycle-stage-level missing rates.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Type/format validation: inspect dates, monetary/numeric fields, currency codes and identifier formats.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Duplicate/release analysis: distinguish genuine duplicates from OCDS release/version history.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Relationship-integrity and outlier/entity-quality scans: test whether awards, contracts, tenders and parties actually link, and flag unusual values and fragmented supplier/entity names for later classification.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Write the findings to docs/data_profiling_report.md, with supporting scripts kept in python/profiling/.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Phase 3 — Data-Quality Decision Log &amp; Metric Eligibility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Convert profiling evidence into documented, reproducible cleaning decisions and per-metric eligibility rules (the analytical-fitness and decision-log steps in Data-Quality Plan Section 4, steps 10–11).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Python/SQL for rule prototyping; Markdown for documentation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deliverable(s)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Cleaning decision log (treatment category + rule per issue); metric eligibility definitions for all analytical pillars; first draft data dictionary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Exit gate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P0/P1 issue from the Cleaning Priority Matrix has an assigned treatment category and rule; eligibility rules exist for all five analytical pillars in the Scope document.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For each material issue found in Phase 2, assign one of the seven treatment categories (RETAIN, STANDARDIZE, TRANSFORM, FLAG, EXCLUDE_FROM_METRIC, UNRESOLVED, DROP) and record the rule and reason.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Decide and document the repeated-release/versioning modelling strategy — this single decision materially shapes the core schema.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Decide the identifier and entity-resolution strategy, including whether a supplier canonical-mapping table is warranted.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Draft metric-specific eligibility rules for supplier concentration, competition, budget-to-award variance, entity benchmarking, procurement timing, and implementation/reporting coverage.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Produce the first-draft data dictionary: source field → business meaning → transformed field → type → analytical role.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6D" w:sz="4"/>
              <w:left w:val="single" w:color="E8B86D" w:sz="4"/>
              <w:bottom w:val="single" w:color="E8B86D" w:sz="4"/>
              <w:right w:val="single" w:color="E8B86D" w:sz="4"/>
            </w:tcBorders>
            <w:shd w:fill="FDF2E3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GATE — </w:t>
            </w:r>
            <w:r>
              <w:rPr>
                <w:rFonts w:ascii="Calibri" w:cs="Calibri" w:eastAsia="Calibri" w:hAnsi="Calibri"/>
                <w:color w:val="8A5A00"/>
                <w:sz w:val="20"/>
                <w:szCs w:val="20"/>
              </w:rPr>
              <w:t xml:space="preserve">Phase 4 (schema and ERD design) does not start until Phase 3's decision log and eligibility rules are complete and reviewed. This is the Schema Design Gate defined in Data-Quality Plan Section 19 — the most important sequencing rule in this plan.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Phase 4 — Relational Data Model &amp; ERD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Design the core PostgreSQL relational model using the evidence and decisions from Phases 2–3 — not before.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diagrams.net (draw.io), PostgreSQL DDL drafting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deliverable(s)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ERD stored under diagrams/erd/; draft DDL for core tables, keys and constraints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Exit gate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ERD reviewed against the five schema-design-gate questions: what constitutes a process, how releases relate to it, which identifiers are reliable, which relationships are populated, and which fields support the approved metrics.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Define core entities (procurement process, release/version, tender, award, contract, implementation/payment, party/supplier, procuring entity) based on what Phase 2 actually found in the data.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Model the release/version strategy chosen in Phase 3 (e.g. full history table plus a derived current/analytical view, or another defensible snapshot rule).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Choose primary/candidate keys only where profiling showed acceptable uniqueness and null rates; use surrogate keys where source identifiers are unreliable.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Diagram entities and relationships in diagrams.net and store the ERD under diagrams/erd/.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Draft (but do not finalize) core DDL, annotated with the data-quality rule each constraint enforces.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Phase 5 — PostgreSQL Staging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Load a source-faithful staging layer that preserves traceability before any relational transformation.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PostgreSQL, Python (psycopg/SQLAlchemy), SQL under sql/01_staging/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deliverable(s)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Staging schema and load scripts; source-to-staging row-count reconciliation result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Exit gate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Staging row counts reconcile with the raw source counts recorded in Phase 2 (Data-Quality Plan Section 14, first validation test).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Implement staging tables that mirror the ingested structure closely enough to trace each row back to its published release.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Write the Python loading scripts that parse the NOCOPO JSON and insert records into staging.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Apply only safe, non-destructive type casting at this layer (e.g. text → date/numeric) without discarding unparsable originals.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Run and document the source-to-staging count reconciliation test.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Phase 6 — Core Model Implementation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the validated relational core from staging, applying the transformation and treatment rules agreed in Phase 3.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PostgreSQL, SQL under sql/02_schema/, sql/03_data_quality/, sql/04_transformations/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deliverable(s)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Populated core schema with constraints; full validation SQL suite; validation results log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Exit gate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required validation tests from Data-Quality Plan Section 14 pass, or have a documented and accepted exception.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Create core tables with primary keys, foreign keys and appropriate data types/constraints from the Phase 4 DDL.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Implement the release/version-collapse or snapshot logic as controlled, documented SQL transformations — never as a destructive overwrite of staging.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Apply the monetary, date, identifier and text-noise standardization rules from Phase 3 as reusable SQL in sql/04_transformations/.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Write and run the full validation SQL suite: uniqueness, null-rate, FK/orphan, duplicate/release reconciliation, monetary/date range checks, entity-identifier consistency, and raw → staging → core count reconciliation.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Log validation outcomes and any UNRESOLVED or FLAGGED records in the ongoing data-quality issue register.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6D" w:sz="4"/>
              <w:left w:val="single" w:color="E8B86D" w:sz="4"/>
              <w:bottom w:val="single" w:color="E8B86D" w:sz="4"/>
              <w:right w:val="single" w:color="E8B86D" w:sz="4"/>
            </w:tcBorders>
            <w:shd w:fill="FDF2E3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GATE — </w:t>
            </w:r>
            <w:r>
              <w:rPr>
                <w:rFonts w:ascii="Calibri" w:cs="Calibri" w:eastAsia="Calibri" w:hAnsi="Calibri"/>
                <w:color w:val="8A5A00"/>
                <w:sz w:val="20"/>
                <w:szCs w:val="20"/>
              </w:rPr>
              <w:t xml:space="preserve">Phase 7 (analytical views) should not be built on a core model that has not passed its validation suite — unresolved uniqueness, orphan, or reconciliation failures will silently propagate into every downstream metric.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Phase 7 — Analytical Layer &amp; Reusable Views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Build business-facing analytical structures on top of the validated core, encoding each metric's eligibility rule directly in SQL.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views/materialized views, CTEs, window functions (sql/05_views/)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deliverable(s)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reusable view (or materialized view) per analytical pillar, each enforcing its documented eligibility rule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Exit gate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Each view's row population matches its documented eligibility definition, verified against a manual spot-check.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Build a supplier-concentration view (award-value share, concentration measures, explicit handling of unresolved supplier identity).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Build a competition view that distinguishes missing participation data from genuine zero-tenderer outcomes.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Build a budget-to-award variance view restricted to comparable, complete records only.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Build a procuring-entity benchmarking view (value, volume, competition, concentration, reporting completeness).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Build a procurement-timing view restricted to valid chronology, reporting the eligible population size alongside results.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Build an implementation/reporting-coverage view explicitly framed as coverage rather than performance.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Document each view's eligibility rule and population size in SQL comments and in docs/data_dictionary.md.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Phase 8 — Business-Question SQL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Answer the seven core business questions from the Scope document using the Phase 7 views, applying advanced SQL techniques where they are genuinely required.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(sql/06_analysis/)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deliverable(s)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One documented, reproducible analysis script per business question, each producing a labeled result set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Exit gate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core business question has a reproducible SQL script whose output has been spot-checked and whose limitations are noted alongside the result.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Supplier concentration: joins and window functions (ranking, cumulative share) over the concentration view.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Competition: CASE-based classification of participation levels, aggregated by entity/category.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Budget-to-award variance: CTEs isolating comparable records before calculating variance.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Procurement-cycle timing: date/time logic restricted to the valid-date population, with coverage reported alongside results.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Entity benchmarking: aggregations plus window functions (rank, percentile) across procuring entities.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Implementation/reporting coverage: proportion calculations with explicit, stated denominators.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Data-quality impact summary: a query cross-referencing the issue register against the metrics it affects.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Investigate indexing only where a query's performance on the actual data volume justifies it.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6D" w:sz="4"/>
              <w:left w:val="single" w:color="E8B86D" w:sz="4"/>
              <w:bottom w:val="single" w:color="E8B86D" w:sz="4"/>
              <w:right w:val="single" w:color="E8B86D" w:sz="4"/>
            </w:tcBorders>
            <w:shd w:fill="FDF2E3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GATE — </w:t>
            </w:r>
            <w:r>
              <w:rPr>
                <w:rFonts w:ascii="Calibri" w:cs="Calibri" w:eastAsia="Calibri" w:hAnsi="Calibri"/>
                <w:color w:val="8A5A00"/>
                <w:sz w:val="20"/>
                <w:szCs w:val="20"/>
              </w:rPr>
              <w:t xml:space="preserve">Phase 9's dashboard should connect only to reconciled Phase 7/8 outputs — connecting Power BI to raw or staging tables would bypass the validated analytical layer entirely.</w:t>
            </w:r>
          </w:p>
        </w:tc>
      </w:tr>
    </w:tbl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Phase 9 — Power BI Dashboard Development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Present the validated analytical outputs to a management audience without duplicating business logic outside PostgreSQL.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Power BI, connected to the PostgreSQL analytical views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deliverable(s)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Executive dashboard under dashboard/, with screenshots and a short usage note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Exit gate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figure shown on the dashboard reconciles with its source SQL view/query (dashboard-to-SQL metric reconciliation).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Connect Power BI to the Phase 7 analytical views — not to raw or staging tables.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Design a focused set of pages/visuals per analytical pillar rather than an unstructured chart collection.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Add interactive filtering and drill-down (entity, category, time period) where it supports the core business questions.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Reconcile each headline dashboard figure against its SQL source and log the check.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Export screenshots and a brief usage note into dashboard/.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Phase 10 — Business Interpretation, Findings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Translate validated analytical results into a concise, evidence-proportional executive narrative.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Markdown/Word, docs/findings.md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deliverable(s)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Executive findings report: key patterns, business implications and recommendations, explicitly separated from interpretation and limitations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Exit gate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material claim traces to a specific SQL output, and no claim implies misconduct, fraud or causation beyond what the observational data supports.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Summarize the top findings per analytical pillar in business language.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For each finding, state the implication for the relevant stakeholder group (management, entity, analyst, risk/advisory).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Draft recommendations that are proportional to the evidence, explicitly flagging patterns that warrant further investigation rather than asserting conclusions.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Write the assumptions and limitations section, carrying forward the Data-Quality Plan's coverage gaps, entity-resolution limits, release-modelling effects and no-causation caveat.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Phase 11 — Documentation &amp; GitHub Portfolio Packaging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Package the project as a reproducible, hiring-manager-friendly public portfolio case study.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GitHub, Markdown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deliverable(s)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 repository matching the Architecture document's proposed structure, with README as the entry point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Exit gate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third party could clone the repository, follow the README, and reproduce the staging → core → analytical pipeline, subject to documented data-access constraints.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Finalize README.md as the entry point: problem statement, approach, stack, reproduction steps, and links to findings and the dashboard.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Finalize docs/business_requirements.md, data_dictionary.md, methodology.md, assumptions_and_limitations.md and findings.md.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Confirm SQL scripts remain organized by function (staging, schema, data quality, transformations, views, analysis) with clear filenames and comments.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Confirm raw-data handling follows the licensing/redistribution decision made in Phase 1.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Tag a release/version once the case study is stable.</w:t>
      </w:r>
    </w:p>
    <w:p>
      <w:pPr>
        <w:spacing w:after="140"/>
      </w:pPr>
    </w:p>
    <w:p>
      <w:pPr>
        <w:pStyle w:val="Heading2"/>
        <w:spacing w:after="120" w:before="300"/>
      </w:pPr>
      <w:r>
        <w:rPr>
          <w:rFonts w:ascii="Calibri" w:cs="Calibri" w:eastAsia="Calibri" w:hAnsi="Calibri"/>
          <w:b/>
          <w:bCs/>
          <w:color w:val="44546A"/>
          <w:sz w:val="24"/>
          <w:szCs w:val="24"/>
        </w:rPr>
        <w:t xml:space="preserve">Phase 12 — Final QA, Reconciliation &amp;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Objective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Perform a final end-to-end check before treating the project as complete.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Primary tools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PostgreSQL; checklist review against the Scope document's Definition of Success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Key deliverable(s)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Completed QA checklist and a short sign-off note</w:t>
            </w:r>
          </w:p>
        </w:tc>
      </w:tr>
      <w:tr>
        <w:tc>
          <w:tcPr>
            <w:tcW w:type="dxa" w:w="1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Exit gate</w:t>
            </w:r>
          </w:p>
        </w:tc>
        <w:tc>
          <w:tcPr>
            <w:tcW w:type="dxa" w:w="7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All Definition-of-Success criteria are met, or consciously deferred with a documented reason.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Re-run the full validation SQL suite end-to-end on a clean load.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Re-verify dashboard-to-SQL reconciliation after any late-stage changes.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Walk through the seven core business questions and confirm each answer is still traceable to current SQL.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Review the repository against the cleaning anti-pattern list and the technology non-goals from the source documents.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Confirm the project is positioned as Stage 1 of the four-stage career portfolio, with a short note on future extensions into Python analytics, data engineering and BI.</w:t>
      </w:r>
    </w:p>
    <w:p>
      <w:pPr>
        <w:spacing w:after="140"/>
      </w:pPr>
    </w:p>
    <w:p>
      <w:pPr>
        <w:pStyle w:val="Heading1"/>
        <w:pBdr>
          <w:bottom w:val="single" w:color="1F3864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Phase-Gate Summary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plan contains four hard gates. Work can proceed past a gate only when its condition is met — treat each as a checkpoint, not a formality.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060"/>
      </w:tblGrid>
      <w:tr>
        <w:trPr>
          <w:tblHeader/>
        </w:trPr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Gate</w:t>
            </w:r>
          </w:p>
        </w:tc>
        <w:tc>
          <w:tcPr>
            <w:tcW w:type="dxa" w:w="4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0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Blocks progress on</w:t>
            </w:r>
          </w:p>
        </w:tc>
      </w:tr>
      <w:tr>
        <w:tc>
          <w:tcPr>
            <w:tcW w:type="dxa" w:w="1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 — Audit complete</w:t>
            </w:r>
          </w:p>
        </w:tc>
        <w:tc>
          <w:tcPr>
            <w:tcW w:type="dxa" w:w="4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Data-quality decision log and metric eligibility rules are documented (end of Phase 3)</w:t>
            </w:r>
          </w:p>
        </w:tc>
        <w:tc>
          <w:tcPr>
            <w:tcW w:type="dxa" w:w="30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4: relational model and ERD design</w:t>
            </w:r>
          </w:p>
        </w:tc>
      </w:tr>
      <w:tr>
        <w:tc>
          <w:tcPr>
            <w:tcW w:type="dxa" w:w="1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 — Core validated</w:t>
            </w:r>
          </w:p>
        </w:tc>
        <w:tc>
          <w:tcPr>
            <w:tcW w:type="dxa" w:w="4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validation SQL suite passes or has a documented, accepted exception (end of Phase 6)</w:t>
            </w:r>
          </w:p>
        </w:tc>
        <w:tc>
          <w:tcPr>
            <w:tcW w:type="dxa" w:w="30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7: analytical views built on the core model</w:t>
            </w:r>
          </w:p>
        </w:tc>
      </w:tr>
      <w:tr>
        <w:tc>
          <w:tcPr>
            <w:tcW w:type="dxa" w:w="1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 — Analysis reconciled</w:t>
            </w:r>
          </w:p>
        </w:tc>
        <w:tc>
          <w:tcPr>
            <w:tcW w:type="dxa" w:w="4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Business-question SQL outputs are spot-checked (end of Phase 8)</w:t>
            </w:r>
          </w:p>
        </w:tc>
        <w:tc>
          <w:tcPr>
            <w:tcW w:type="dxa" w:w="30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9: dashboard figures sourced from these outputs</w:t>
            </w:r>
          </w:p>
        </w:tc>
      </w:tr>
      <w:tr>
        <w:tc>
          <w:tcPr>
            <w:tcW w:type="dxa" w:w="1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 — Findings signed off</w:t>
            </w:r>
          </w:p>
        </w:tc>
        <w:tc>
          <w:tcPr>
            <w:tcW w:type="dxa" w:w="4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Executive findings trace to specific SQL outputs (end of Phase 10)</w:t>
            </w:r>
          </w:p>
        </w:tc>
        <w:tc>
          <w:tcPr>
            <w:tcW w:type="dxa" w:w="30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11: portfolio packaging presented as complete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Suggested Working Cadence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groups the thirteen phases into six milestones with a relative-effort estimate rather than fixed calendar dates, since available weekly hours are not specified here — adjust the pacing to your own availability. One practical sequencing note: Phases 0–1 can run in parallel with finishing the SQL Associate assessment, while the heavier schema and SQL work in Milestone 3 is a natural place to apply what that certification just reinforced.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43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Phases</w:t>
            </w:r>
          </w:p>
        </w:tc>
        <w:tc>
          <w:tcPr>
            <w:tcW w:type="dxa" w:w="4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Focus</w:t>
            </w:r>
          </w:p>
        </w:tc>
        <w:tc>
          <w:tcPr>
            <w:tcW w:type="dxa" w:w="17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Relative effort</w:t>
            </w:r>
          </w:p>
        </w:tc>
      </w:tr>
      <w:tr>
        <w:tc>
          <w:tcPr>
            <w:tcW w:type="dxa" w:w="20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1. Foundations</w:t>
            </w:r>
          </w:p>
        </w:tc>
        <w:tc>
          <w:tcPr>
            <w:tcW w:type="dxa" w:w="13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0–1</w:t>
            </w:r>
          </w:p>
        </w:tc>
        <w:tc>
          <w:tcPr>
            <w:tcW w:type="dxa" w:w="43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Environment, repository, and source acquisition</w:t>
            </w:r>
          </w:p>
        </w:tc>
        <w:tc>
          <w:tcPr>
            <w:tcW w:type="dxa" w:w="17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2. Evidence</w:t>
            </w:r>
          </w:p>
        </w:tc>
        <w:tc>
          <w:tcPr>
            <w:tcW w:type="dxa" w:w="13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2–3</w:t>
            </w:r>
          </w:p>
        </w:tc>
        <w:tc>
          <w:tcPr>
            <w:tcW w:type="dxa" w:w="43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Profiling audit and cleaning-decision log — the project's evidentiary base</w:t>
            </w:r>
          </w:p>
        </w:tc>
        <w:tc>
          <w:tcPr>
            <w:tcW w:type="dxa" w:w="17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3. Core build</w:t>
            </w:r>
          </w:p>
        </w:tc>
        <w:tc>
          <w:tcPr>
            <w:tcW w:type="dxa" w:w="13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4–6</w:t>
            </w:r>
          </w:p>
        </w:tc>
        <w:tc>
          <w:tcPr>
            <w:tcW w:type="dxa" w:w="43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ERD, staging, and validated core relational model</w:t>
            </w:r>
          </w:p>
        </w:tc>
        <w:tc>
          <w:tcPr>
            <w:tcW w:type="dxa" w:w="17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0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4. Analysis</w:t>
            </w:r>
          </w:p>
        </w:tc>
        <w:tc>
          <w:tcPr>
            <w:tcW w:type="dxa" w:w="13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7–8</w:t>
            </w:r>
          </w:p>
        </w:tc>
        <w:tc>
          <w:tcPr>
            <w:tcW w:type="dxa" w:w="43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Analytical views and the seven business-question queries</w:t>
            </w:r>
          </w:p>
        </w:tc>
        <w:tc>
          <w:tcPr>
            <w:tcW w:type="dxa" w:w="17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0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5. Communication</w:t>
            </w:r>
          </w:p>
        </w:tc>
        <w:tc>
          <w:tcPr>
            <w:tcW w:type="dxa" w:w="13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9–10</w:t>
            </w:r>
          </w:p>
        </w:tc>
        <w:tc>
          <w:tcPr>
            <w:tcW w:type="dxa" w:w="43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Power BI dashboard and executive findings</w:t>
            </w:r>
          </w:p>
        </w:tc>
        <w:tc>
          <w:tcPr>
            <w:tcW w:type="dxa" w:w="17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6. Packaging</w:t>
            </w:r>
          </w:p>
        </w:tc>
        <w:tc>
          <w:tcPr>
            <w:tcW w:type="dxa" w:w="13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11–12</w:t>
            </w:r>
          </w:p>
        </w:tc>
        <w:tc>
          <w:tcPr>
            <w:tcW w:type="dxa" w:w="43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GitHub documentation and final QA</w:t>
            </w:r>
          </w:p>
        </w:tc>
        <w:tc>
          <w:tcPr>
            <w:tcW w:type="dxa" w:w="17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Medium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Repository &amp; Deliverable Checklist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working checklist mapped to the repository structure defined in the Technology Architecture document. Mark items complete as each phase closes.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560"/>
        <w:gridCol w:w="1500"/>
        <w:gridCol w:w="1400"/>
      </w:tblGrid>
      <w:tr>
        <w:trPr>
          <w:tblHeader/>
        </w:trPr>
        <w:tc>
          <w:tcPr>
            <w:tcW w:type="dxa" w:w="2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Repository location</w:t>
            </w:r>
          </w:p>
        </w:tc>
        <w:tc>
          <w:tcPr>
            <w:tcW w:type="dxa" w:w="3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Primary phase(s)</w:t>
            </w:r>
          </w:p>
        </w:tc>
        <w:tc>
          <w:tcPr>
            <w:tcW w:type="dxa" w:w="14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Done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README.md, LICENSE/NOTICE.md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Repository entry point and licensing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0, 11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data/README.md, data/raw/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Source inventory and raw file handling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python/ingest/, python/profiling/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Ingestion and profiling scripts, profiling report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docs/data_profiling_report.md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Field-level audit evidence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docs/cleaning_decision_log.md, data_dictionary.md (draft)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Treatment categories and eligibility rules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diagrams/erd/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Entity-relationship diagram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sql/01_staging/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Staging schema and load scripts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sql/02_schema/, sql/04_transformations/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Core DDL and transformation SQL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sql/03_data_quality/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Validation SQL suite and results log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sql/05_views/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Reusable analytical views per pillar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sql/06_analysis/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Business-question analysis scripts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dashboard/, dashboard/screenshots/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Power BI dashboard and usage note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docs/findings.md, assumptions_and_limitations.md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Executive findings and limitations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docs/business_requirements.md, methodology.md, data_dictionary.md (final)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Finalized portfolio documentation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29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.github/workflows/ (optional)</w:t>
            </w:r>
          </w:p>
        </w:tc>
        <w:tc>
          <w:tcPr>
            <w:tcW w:type="dxa" w:w="3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Automated validation checks, if added later</w:t>
            </w:r>
          </w:p>
        </w:tc>
        <w:tc>
          <w:tcPr>
            <w:tcW w:type="dxa" w:w="15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Post-launch</w:t>
            </w:r>
          </w:p>
        </w:tc>
        <w:tc>
          <w:tcPr>
            <w:tcW w:type="dxa" w:w="14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☐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Risk Watch-List During Implementation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Execution-stage risks worth checking against at each phase boundary, drawn forward from the Data-Quality Plan's anti-patterns and limitations.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Designing tables before the audit is finished — the single most common failure mode this plan is structured to prevent.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Treating a repeated NOCOPO identifier as an automatic duplicate without checking OCDS release/version history first.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Letting Power BI quietly become a second transformation layer instead of a presentation layer over validated SQL.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Imputing zero for missing monetary values or missing tenderer counts — both are explicitly prohibited by the cleaning philosophy.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Merging supplier or entity records on name similarity alone, without a reliable identifier to confirm the match.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Presenting a metric without also reporting its eligible population size, especially for timing and budget-to-award figures.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Framing missing implementation/payment data as evidence of non-performance rather than as a reporting-coverage gap.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Adding a tool, chart, or technique that does not serve one of the seven core business questions — revisit the Scope-Control Principle before accepting scope creep.</w:t>
      </w:r>
    </w:p>
    <w:p>
      <w:pPr>
        <w:pStyle w:val="Heading1"/>
        <w:pBdr>
          <w:bottom w:val="single" w:color="1F3864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Definition of Done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Restated from the Scope document's Definition of Success, mapped to the phase where each criterion is actually established.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60"/>
        <w:gridCol w:w="2800"/>
      </w:tblGrid>
      <w:tr>
        <w:trPr>
          <w:tblHeader/>
        </w:trPr>
        <w:tc>
          <w:tcPr>
            <w:tcW w:type="dxa" w:w="656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Criterion</w:t>
            </w:r>
          </w:p>
        </w:tc>
        <w:tc>
          <w:tcPr>
            <w:tcW w:type="dxa" w:w="2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Established in</w:t>
            </w:r>
          </w:p>
        </w:tc>
      </w:tr>
      <w:tr>
        <w:tc>
          <w:tcPr>
            <w:tcW w:type="dxa" w:w="6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is reproducible from documented public source data and setup instructions</w:t>
            </w:r>
          </w:p>
        </w:tc>
        <w:tc>
          <w:tcPr>
            <w:tcW w:type="dxa" w:w="2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Phases 1, 11</w:t>
            </w:r>
          </w:p>
        </w:tc>
      </w:tr>
      <w:tr>
        <w:tc>
          <w:tcPr>
            <w:tcW w:type="dxa" w:w="6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model represents procurement relationships clearly, without unnecessary denormalization</w:t>
            </w:r>
          </w:p>
        </w:tc>
        <w:tc>
          <w:tcPr>
            <w:tcW w:type="dxa" w:w="2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4, 6</w:t>
            </w:r>
          </w:p>
        </w:tc>
      </w:tr>
      <w:tr>
        <w:tc>
          <w:tcPr>
            <w:tcW w:type="dxa" w:w="6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Material data-quality issues are identified before they influence business conclusions</w:t>
            </w:r>
          </w:p>
        </w:tc>
        <w:tc>
          <w:tcPr>
            <w:tcW w:type="dxa" w:w="2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Phases 2, 3</w:t>
            </w:r>
          </w:p>
        </w:tc>
      </w:tr>
      <w:tr>
        <w:tc>
          <w:tcPr>
            <w:tcW w:type="dxa" w:w="6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Every major business claim traces to a documented SQL transformation and supporting data</w:t>
            </w:r>
          </w:p>
        </w:tc>
        <w:tc>
          <w:tcPr>
            <w:tcW w:type="dxa" w:w="2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Phases 6–8, 10</w:t>
            </w:r>
          </w:p>
        </w:tc>
      </w:tr>
      <w:tr>
        <w:tc>
          <w:tcPr>
            <w:tcW w:type="dxa" w:w="6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Advanced SQL techniques are used because the analysis requires them, not inserted artificially</w:t>
            </w:r>
          </w:p>
        </w:tc>
        <w:tc>
          <w:tcPr>
            <w:tcW w:type="dxa" w:w="2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8</w:t>
            </w:r>
          </w:p>
        </w:tc>
      </w:tr>
      <w:tr>
        <w:tc>
          <w:tcPr>
            <w:tcW w:type="dxa" w:w="6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Dashboard communicates a small set of decision-relevant metrics, not an unrelated chart collection</w:t>
            </w:r>
          </w:p>
        </w:tc>
        <w:tc>
          <w:tcPr>
            <w:tcW w:type="dxa" w:w="2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9</w:t>
            </w:r>
          </w:p>
        </w:tc>
      </w:tr>
      <w:tr>
        <w:tc>
          <w:tcPr>
            <w:tcW w:type="dxa" w:w="6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Recommendations are proportional to the evidence and separate observation from interpretation</w:t>
            </w:r>
          </w:p>
        </w:tc>
        <w:tc>
          <w:tcPr>
            <w:tcW w:type="dxa" w:w="2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 10</w:t>
            </w:r>
          </w:p>
        </w:tc>
      </w:tr>
      <w:tr>
        <w:tc>
          <w:tcPr>
            <w:tcW w:type="dxa" w:w="656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Project demonstrates both technical capability and business/consulting judgement</w:t>
            </w:r>
          </w:p>
        </w:tc>
        <w:tc>
          <w:tcPr>
            <w:tcW w:type="dxa" w:w="2800"/>
            <w:tcBorders>
              <w:top w:val="single" w:color="B7C6DA" w:sz="4"/>
              <w:left w:val="single" w:color="B7C6DA" w:sz="4"/>
              <w:bottom w:val="single" w:color="B7C6DA" w:sz="4"/>
              <w:right w:val="single" w:color="B7C6DA" w:sz="4"/>
            </w:tcBorders>
            <w:shd w:fill="F2F6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Phases 10–11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Immediate Next Actions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Concrete starting checklist — everything here belongs to Phase 0–2 and can begin now.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Create the GitHub repository and commit the folder skeleton from the Technology Architecture document.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Set up local PostgreSQL and a Python virtual environment; confirm pgAdmin 4 connectivity.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Locate and download the NOCOPO/OCDS export; record the source-inventory details (acquisition date, format, version, licensing).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Run a first-pass structural profiling script — row counts and top-level fields — to begin the Phase 2 audit.</w:t>
      </w:r>
    </w:p>
    <w:p>
      <w:pPr>
        <w:pStyle w:val="ListParagraph"/>
        <w:numPr>
          <w:ilvl w:val="0"/>
          <w:numId w:val="2"/>
        </w:numPr>
        <w:spacing w:after="90" w:line="268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Hold off on schema or table design until Phase 3's decision log is complete; that boundary is the plan's most important discipline.</w:t>
      </w:r>
    </w:p>
    <w:p>
      <w:pPr>
        <w:spacing w:after="14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This project remains Stage 1 of the four-stage portfolio progression (SQL → Python/Data Science → Data Engineering → Integrated BI/Decision Intelligence). Later stages are intentionally out of scope for this plan and should only be started once this project's Phase 12 sign-off is complete.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7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2026-08-15T14:10:12.271Z</dcterms:created>
  <dcterms:modified xsi:type="dcterms:W3CDTF">2026-08-15T14:10:12.271Z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