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150"/>
        <w:tblGridChange w:id="0">
          <w:tblGrid>
            <w:gridCol w:w="2850"/>
            <w:gridCol w:w="6150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 Ideal 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Caroline Badocha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Kenworthy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 Sandoval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Balvinder Rajbans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Description/Outline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Project aims to identify which state is the best to live in based on a selection of factors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Questions to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state in Australia would be the best to live in?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Crime (Daniel)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-  Lowest total offences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-  Lowest homicide related offences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Unemployment (Jose)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Lower unemployment rate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Lower underemployment rate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Schools (Caroline)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Low teacher to student ratio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No. of High ICSEA score for the state (Box &amp; Whisker Plot)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Housing (Bali)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Greater Rental Affordability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Datasets to Be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AHIW 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Housing availability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ACARA 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School Profiles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ABS - </w:t>
            </w:r>
            <w:hyperlink r:id="rId8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Crime and Justice Data</w:t>
              </w:r>
            </w:hyperlink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ABS - </w:t>
            </w:r>
            <w:hyperlink r:id="rId9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Employment/Unemployment 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Breakdown of Tasks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Project Submission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Set-up Repo in GitHub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the data in separate Jupyter Notebooks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Final Analysis Notebook create 2 visualisations according to the allocation in the above table.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section has a final points rating for each state.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the ratings for each section to identify which state would be the best to live in. Presented in a bar graph.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Deadlines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Tuesday (9/8) - Data fetching/API integration/Data cleaning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Thursday (11/8) - Data cleaning/Testing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Monday (15/8) - Data analysis/Creating documentation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Tuesday (16/8) - Creating the presentation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Wednesday (17/8) - Practice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Thursday (18/8/) - Present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www.abs.gov.au/statistics/labour/employment-and-unemployment/labour-force-australia/latest-release#key-statistic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ousingdata.gov.au/" TargetMode="External"/><Relationship Id="rId7" Type="http://schemas.openxmlformats.org/officeDocument/2006/relationships/hyperlink" Target="https://www.acara.edu.au/contact-us/acara-data-access" TargetMode="External"/><Relationship Id="rId8" Type="http://schemas.openxmlformats.org/officeDocument/2006/relationships/hyperlink" Target="https://www.abs.gov.au/statistics/people/crime-and-justice/recorded-crime-offenders/2020-21#data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