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0"/>
      </w:tblGrid>
      <w:tr>
        <w:trPr>
          <w:trHeight w:val="6000" w:hRule="exact"/>
        </w:trPr>
        <w:tc>
          <w:tcPr>
            <w:tcW w:type="dxa" w:w="1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color="auto" w:val="clear"/>
            <w:tcMar>
              <w:left w:type="dxa" w:w="1440"/>
              <w:right w:type="dxa" w:w="1440"/>
            </w:tcMar>
            <w:vAlign w:val="center"/>
          </w:tcPr>
          <w:p>
            <w:pPr>
              <w:spacing w:before="600"/>
            </w:pPr>
          </w:p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96"/>
                <w:szCs w:val="96"/>
              </w:rPr>
              <w:t xml:space="preserve">HIRECAR</w:t>
            </w:r>
          </w:p>
          <w:p>
            <w:pPr>
              <w:spacing w:before="60"/>
              <w:jc w:val="left"/>
            </w:pPr>
            <w:r>
              <w:rPr>
                <w:rFonts w:ascii="Cormorant Garamond" w:cs="Cormorant Garamond" w:eastAsia="Cormorant Garamond" w:hAnsi="Cormorant Garamond"/>
                <w:color w:val="C9920A"/>
                <w:sz w:val="40"/>
                <w:szCs w:val="40"/>
              </w:rPr>
              <w:t xml:space="preserve">REPUBLISH PROJECT PLAN</w:t>
            </w:r>
          </w:p>
          <w:p>
            <w:pPr>
              <w:pBdr>
                <w:bottom w:val="single" w:color="C9920A" w:sz="4" w:space="1"/>
              </w:pBdr>
              <w:spacing w:after="200"/>
            </w:pPr>
          </w:p>
          <w:p>
            <w:pPr>
              <w:spacing w:before="100"/>
              <w:jc w:val="left"/>
            </w:pPr>
            <w:r>
              <w:rPr>
                <w:rFonts w:ascii="Nunito Sans" w:cs="Nunito Sans" w:eastAsia="Nunito Sans" w:hAnsi="Nunito Sans"/>
                <w:color w:val="88919C"/>
                <w:sz w:val="22"/>
                <w:szCs w:val="22"/>
              </w:rPr>
              <w:t xml:space="preserve">Version 5.0  —  March 3, 2026</w:t>
            </w:r>
          </w:p>
          <w:p>
            <w:pPr>
              <w:spacing w:before="60"/>
              <w:jc w:val="left"/>
            </w:pPr>
            <w:r>
              <w:rPr>
                <w:rFonts w:ascii="Nunito Sans" w:cs="Nunito Sans" w:eastAsia="Nunito Sans" w:hAnsi="Nunito Sans"/>
                <w:color w:val="6B7683"/>
                <w:sz w:val="20"/>
                <w:szCs w:val="20"/>
              </w:rPr>
              <w:t xml:space="preserve">110 Bots  ·  15 Departments  ·  5-Phase Journey  ·  Bernays Framework</w:t>
            </w:r>
          </w:p>
        </w:tc>
      </w:tr>
    </w:tbl>
    <w:tbl>
      <w:tblPr>
        <w:tblW w:type="dxa" w:w="15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960"/>
        <w:gridCol w:w="3960"/>
        <w:gridCol w:w="3960"/>
      </w:tblGrid>
      <w:tr>
        <w:trPr>
          <w:trHeight w:val="1200" w:hRule="exact"/>
        </w:trPr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C0392B"/>
                <w:sz w:val="48"/>
                <w:szCs w:val="48"/>
              </w:rPr>
              <w:t xml:space="preserve">13</w:t>
            </w:r>
            <w:r>
              <w:rPr>
                <w:rFonts w:ascii="Nunito Sans" w:cs="Nunito Sans" w:eastAsia="Nunito Sans" w:hAnsi="Nunito Sans"/>
                <w:color w:val="888888"/>
                <w:sz w:val="16"/>
                <w:szCs w:val="16"/>
              </w:rPr>
              <w:t xml:space="preserve">
Handoff Gaps Found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C9920A"/>
                <w:sz w:val="48"/>
                <w:szCs w:val="48"/>
              </w:rPr>
              <w:t xml:space="preserve">10</w:t>
            </w:r>
            <w:r>
              <w:rPr>
                <w:rFonts w:ascii="Nunito Sans" w:cs="Nunito Sans" w:eastAsia="Nunito Sans" w:hAnsi="Nunito Sans"/>
                <w:color w:val="888888"/>
                <w:sz w:val="16"/>
                <w:szCs w:val="16"/>
              </w:rPr>
              <w:t xml:space="preserve">
New Bots Proposed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3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F4C75"/>
                <w:sz w:val="48"/>
                <w:szCs w:val="48"/>
              </w:rPr>
              <w:t xml:space="preserve">10</w:t>
            </w:r>
            <w:r>
              <w:rPr>
                <w:rFonts w:ascii="Nunito Sans" w:cs="Nunito Sans" w:eastAsia="Nunito Sans" w:hAnsi="Nunito Sans"/>
                <w:color w:val="888888"/>
                <w:sz w:val="16"/>
                <w:szCs w:val="16"/>
              </w:rPr>
              <w:t xml:space="preserve">
Operational Gaps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color="auto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27AE60"/>
                <w:sz w:val="48"/>
                <w:szCs w:val="48"/>
              </w:rPr>
              <w:t xml:space="preserve">$0</w:t>
            </w:r>
            <w:r>
              <w:rPr>
                <w:rFonts w:ascii="Nunito Sans" w:cs="Nunito Sans" w:eastAsia="Nunito Sans" w:hAnsi="Nunito Sans"/>
                <w:color w:val="888888"/>
                <w:sz w:val="16"/>
                <w:szCs w:val="16"/>
              </w:rPr>
              <w:t xml:space="preserve">
Hosting Cost (Start)</w:t>
            </w:r>
          </w:p>
        </w:tc>
      </w:tr>
    </w:tbl>
    <w:p>
      <w:pPr>
        <w:sectPr>
          <w:pgSz w:w="15840" w:h="12240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The Engineering of Consent — Applied Framework</w:t>
      </w:r>
    </w:p>
    <w:p>
      <w:pPr>
        <w:pBdr>
          <w:bottom w:val="single" w:color="C9920A" w:sz="4" w:space="1"/>
        </w:pBdr>
        <w:spacing w:after="160"/>
      </w:pPr>
    </w:p>
    <w:p>
      <w:pPr>
        <w:spacing w:after="100"/>
      </w:pPr>
      <w:r>
        <w:rPr>
          <w:rFonts w:ascii="Nunito Sans" w:cs="Nunito Sans" w:eastAsia="Nunito Sans" w:hAnsi="Nunito Sans"/>
          <w:color w:val="111820"/>
          <w:sz w:val="21"/>
          <w:szCs w:val="21"/>
        </w:rPr>
        <w:t xml:space="preserve">Edward Bernays’ 1947 framework maps directly to HIRECAR’s ecosystem. Every bot, every workflow, every gamified interaction is a consent-engineering mechanism designed to move operators from crisis to sovereignty.</w:t>
      </w:r>
    </w:p>
    <w:p>
      <w:pPr>
        <w:spacing w:before="8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C9920A"/>
                <w:sz w:val="26"/>
                <w:szCs w:val="26"/>
              </w:rPr>
              <w:t xml:space="preserve">PREREQUISITE 1: RESOURCES
</w:t>
            </w:r>
            <w:r>
              <w:rPr>
                <w:rFonts w:ascii="Nunito Sans" w:cs="Nunito Sans" w:eastAsia="Nunito Sans" w:hAnsi="Nunito Sans"/>
                <w:color w:val="555555"/>
                <w:sz w:val="18"/>
                <w:szCs w:val="18"/>
              </w:rPr>
              <w:t xml:space="preserve">Make.com (automation), GitHub (6 repos), Stripe/PayPal/CashApp (payments), Wix → Cloudflare (hosting), Slack (ops comms), Claude API (AI pipeline)</w:t>
            </w:r>
          </w:p>
        </w:tc>
        <w:tc>
          <w:tcPr>
            <w:tcW w:type="dxa" w:w="64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AF8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C9920A"/>
                <w:sz w:val="26"/>
                <w:szCs w:val="26"/>
              </w:rPr>
              <w:t xml:space="preserve">PREREQUISITE 2: KNOWLEDGE
</w:t>
            </w:r>
            <w:r>
              <w:rPr>
                <w:rFonts w:ascii="Nunito Sans" w:cs="Nunito Sans" w:eastAsia="Nunito Sans" w:hAnsi="Nunito Sans"/>
                <w:color w:val="555555"/>
                <w:sz w:val="18"/>
                <w:szCs w:val="18"/>
              </w:rPr>
              <w:t xml:space="preserve">Governance doc (1,489 lines), 110-bot architecture, 6 scoring systems, 5-phase journey model, gap analysis (13 gaps identified), LA/SF market intelligence</w:t>
            </w:r>
          </w:p>
        </w:tc>
      </w:tr>
      <w:tr>
        <w:tc>
          <w:tcPr>
            <w:tcW w:type="dxa" w:w="64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AF8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C9920A"/>
                <w:sz w:val="26"/>
                <w:szCs w:val="26"/>
              </w:rPr>
              <w:t xml:space="preserve">PREREQUISITE 3: OBJECTIVES
</w:t>
            </w:r>
            <w:r>
              <w:rPr>
                <w:rFonts w:ascii="Nunito Sans" w:cs="Nunito Sans" w:eastAsia="Nunito Sans" w:hAnsi="Nunito Sans"/>
                <w:color w:val="555555"/>
                <w:sz w:val="18"/>
                <w:szCs w:val="18"/>
              </w:rPr>
              <w:t xml:space="preserve">Three audiences: (1) Damaged operators needing recovery, (2) Active operators seeking optimization, (3) Growth operators scaling fleets. Each mapped to phases 2–4.</w:t>
            </w:r>
          </w:p>
        </w:tc>
        <w:tc>
          <w:tcPr>
            <w:tcW w:type="dxa" w:w="64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C9920A"/>
                <w:sz w:val="26"/>
                <w:szCs w:val="26"/>
              </w:rPr>
              <w:t xml:space="preserve">PREREQUISITE 4: PUBLIC RESEARCH
</w:t>
            </w:r>
            <w:r>
              <w:rPr>
                <w:rFonts w:ascii="Nunito Sans" w:cs="Nunito Sans" w:eastAsia="Nunito Sans" w:hAnsi="Nunito Sans"/>
                <w:color w:val="555555"/>
                <w:sz w:val="18"/>
                <w:szCs w:val="18"/>
              </w:rPr>
              <w:t xml:space="preserve">LA rideshare operators (Uber/Lyft), SF gig economy workers, collision victims in default. MarketWatch AI delivers PYMNTS + DOT intelligence every 6 hours.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rFonts w:ascii="Nunito Sans" w:cs="Nunito Sans" w:eastAsia="Nunito Sans" w:hAnsi="Nunito Sans"/>
          <w:i/>
          <w:iCs/>
          <w:color w:val="666666"/>
          <w:sz w:val="21"/>
          <w:szCs w:val="21"/>
        </w:rPr>
        <w:t xml:space="preserve">Chain Reaction Principle: Gamification (XP → Streaks → Badges → Tiers) creates self-reinforcing engagement. Each action triggers the next bot, creating the chain reaction Bernays described.</w:t>
      </w:r>
    </w:p>
    <w:p>
      <w:pPr>
        <w:spacing w:after="100"/>
      </w:pPr>
      <w:r>
        <w:rPr>
          <w:rFonts w:ascii="Nunito Sans" w:cs="Nunito Sans" w:eastAsia="Nunito Sans" w:hAnsi="Nunito Sans"/>
          <w:i/>
          <w:iCs/>
          <w:color w:val="666666"/>
          <w:sz w:val="21"/>
          <w:szCs w:val="21"/>
        </w:rPr>
        <w:t xml:space="preserve">News Creation: MarketWatch AI publishes LA/SF editions every 6 hours, creating the ‘overt act that makes news’ — positioning HIRECAR as the industry authority.</w:t>
      </w:r>
    </w:p>
    <w:p>
      <w:pPr>
        <w:sectPr>
          <w:headerReference w:type="default" r:id="rId7"/>
          <w:footerReference w:type="default" r:id="rId8"/>
          <w:pgSz w:w="15840" w:h="12240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Bot Architecture — 110 Bots Across 15 Departments</w:t>
      </w:r>
    </w:p>
    <w:p>
      <w:pPr>
        <w:pBdr>
          <w:bottom w:val="single" w:color="C9920A" w:sz="4" w:space="1"/>
        </w:pBdr>
        <w:spacing w:after="16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8"/>
                <w:szCs w:val="18"/>
              </w:rPr>
              <w:t xml:space="preserve">COMMAND HIERARCHY: 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18"/>
                <w:szCs w:val="18"/>
              </w:rPr>
              <w:t xml:space="preserve">Director Governance #102</w:t>
            </w:r>
            <w:r>
              <w:rPr>
                <w:rFonts w:ascii="DM Mono" w:cs="DM Mono" w:eastAsia="DM Mono" w:hAnsi="DM Mono"/>
                <w:color w:val="888888"/>
                <w:sz w:val="18"/>
                <w:szCs w:val="18"/>
              </w:rPr>
              <w:t xml:space="preserve">  →  </w:t>
            </w:r>
            <w:r>
              <w:rPr>
                <w:rFonts w:ascii="DM Mono" w:cs="DM Mono" w:eastAsia="DM Mono" w:hAnsi="DM Mono"/>
                <w:b/>
                <w:bCs/>
                <w:color w:val="0F4C75"/>
                <w:sz w:val="18"/>
                <w:szCs w:val="18"/>
              </w:rPr>
              <w:t xml:space="preserve">Chief of Staff #0</w:t>
            </w:r>
            <w:r>
              <w:rPr>
                <w:rFonts w:ascii="DM Mono" w:cs="DM Mono" w:eastAsia="DM Mono" w:hAnsi="DM Mono"/>
                <w:color w:val="888888"/>
                <w:sz w:val="18"/>
                <w:szCs w:val="18"/>
              </w:rPr>
              <w:t xml:space="preserve">  →  </w:t>
            </w:r>
            <w:r>
              <w:rPr>
                <w:rFonts w:ascii="DM Mono" w:cs="DM Mono" w:eastAsia="DM Mono" w:hAnsi="DM Mono"/>
                <w:color w:val="111820"/>
                <w:sz w:val="18"/>
                <w:szCs w:val="18"/>
              </w:rPr>
              <w:t xml:space="preserve">Enrollment #101 + 100 Dept Bots + 7 New Bots</w:t>
            </w:r>
          </w:p>
        </w:tc>
      </w:tr>
    </w:tbl>
    <w:p>
      <w:pPr>
        <w:spacing w:before="6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Membership Services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10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Welcome, Discovery, Vault, Support, Engagement, Tier Coach, Navigator, Recap, Renewal, Appointments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HIRECREDIT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7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Intake Wizard, Dispute Builder, Tradeline Coach, Collections Shield, Session Prep, Score Sim, Weekly Challenge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Collision + Claims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4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Claims Intake, Liability Analyzer, Status Monitor, Credit Impact Predictor</w:t>
            </w:r>
          </w:p>
        </w:tc>
      </w:tr>
      <w:tr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Recovery + PIFR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6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Tier Recommender, Packet Generator, Admin Failure Detector, Custody Auditor, SOW Generator, Audit Builder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Operator Standards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7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HBI Scorer, BRE Walkthrough, VDI Challenge, Revenue Lane, Cure Window, Vendor Audit, Monthly Quest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Insurance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4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Policy Recommender, Claims-Collections Predictor, Billing Fog Analyzer, Coverage Gap Detector</w:t>
            </w:r>
          </w:p>
        </w:tc>
      </w:tr>
      <w:tr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Funding/SeedXchange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5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Pre-Qualifier, Match Engine, Fleet ROI, Doc Prep, Approval Pathway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Marketing &amp; Sales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9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Lead Scoring, Nurture, Script Gen, Campaign ROI, Referral Match, Content Gen, Competitor Intel, Conversion Opt, Reactivation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Accounting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9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Invoice, Payment Plan, Billing Clarity, Follow-Up, Budget Health, Aging Alert, Planning Sprint, Financial Snapshot, Audit Trail</w:t>
            </w:r>
          </w:p>
        </w:tc>
      </w:tr>
      <w:tr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C0392B"/>
                <w:sz w:val="19"/>
                <w:szCs w:val="19"/>
              </w:rPr>
              <w:t xml:space="preserve">NEW: System-Wide
</w:t>
            </w:r>
            <w:r>
              <w:rPr>
                <w:rFonts w:ascii="DM Mono" w:cs="DM Mono" w:eastAsia="DM Mono" w:hAnsi="DM Mono"/>
                <w:color w:val="C0392B"/>
                <w:sz w:val="16"/>
                <w:szCs w:val="16"/>
              </w:rPr>
              <w:t xml:space="preserve">+10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CoS #0, Enrollment #101, Governance #102, Payment Confirm #103, Ops Center #104, Situation Qualifier #105, Billing Bridge #106, Collections #107, Retention #108, Comms Prefs #109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Mobility + Roadside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8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Dynamic Pricing, Fleet Optimizer, Booking Concierge, Driver Match, Emergency Dispatch, ETA Predictor, Preventive Maint, Service Matcher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9"/>
                <w:szCs w:val="19"/>
              </w:rPr>
              <w:t xml:space="preserve">HQ + Journey + Other
</w:t>
            </w:r>
            <w:r>
              <w:rPr>
                <w:rFonts w:ascii="DM Mono" w:cs="DM Mono" w:eastAsia="DM Mono" w:hAnsi="DM Mono"/>
                <w:color w:val="C9920A"/>
                <w:sz w:val="16"/>
                <w:szCs w:val="16"/>
              </w:rPr>
              <w:t xml:space="preserve">27 bots
</w:t>
            </w:r>
            <w:r>
              <w:rPr>
                <w:rFonts w:ascii="Nunito Sans" w:cs="Nunito Sans" w:eastAsia="Nunito Sans" w:hAnsi="Nunito Sans"/>
                <w:color w:val="777777"/>
                <w:sz w:val="15"/>
                <w:szCs w:val="15"/>
              </w:rPr>
              <w:t xml:space="preserve">14 HQ (supplier/procurement), 6 Journey (milestones/routing), 4 Playbooks, 3 Entertainment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Critical Handoff Gaps — Revenue Impact</w:t>
      </w:r>
    </w:p>
    <w:p>
      <w:pPr>
        <w:pBdr>
          <w:bottom w:val="single" w:color="C9920A" w:sz="4" w:space="1"/>
        </w:pBdr>
        <w:spacing w:after="16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600"/>
        <w:gridCol w:w="4560"/>
        <w:gridCol w:w="3800"/>
      </w:tblGrid>
      <w:tr>
        <w:tc>
          <w:tcPr>
            <w:tcW w:type="dxa" w:w="9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FROM → TO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3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GAP-01</w:t>
            </w:r>
          </w:p>
        </w:tc>
        <w:tc>
          <w:tcPr>
            <w:tcW w:type="dxa" w:w="11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6"/>
                <w:szCs w:val="16"/>
              </w:rPr>
              <w:t xml:space="preserve">CRIT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Nurture #73 → Welcome #1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No conversion bridge. Lead is nurtured but no bot captures payment + enrollment.</w:t>
            </w:r>
          </w:p>
        </w:tc>
        <w:tc>
          <w:tcPr>
            <w:tcW w:type="dxa" w:w="3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7"/>
                <w:szCs w:val="17"/>
              </w:rPr>
              <w:t xml:space="preserve">Enrollment Bot #101</w:t>
            </w:r>
          </w:p>
        </w:tc>
      </w:tr>
      <w:tr>
        <w:tc>
          <w:tcPr>
            <w:tcW w:type="dxa" w:w="9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GAP-02</w:t>
            </w:r>
          </w:p>
        </w:tc>
        <w:tc>
          <w:tcPr>
            <w:tcW w:type="dxa" w:w="11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6"/>
                <w:szCs w:val="16"/>
              </w:rPr>
              <w:t xml:space="preserve">CRIT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Invoice #63 → Activation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Payment confirmed but service doesn’t auto-activate.</w:t>
            </w:r>
          </w:p>
        </w:tc>
        <w:tc>
          <w:tcPr>
            <w:tcW w:type="dxa" w:w="3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7"/>
                <w:szCs w:val="17"/>
              </w:rPr>
              <w:t xml:space="preserve">Payment Confirm Bot #103</w:t>
            </w:r>
          </w:p>
        </w:tc>
      </w:tr>
      <w:tr>
        <w:tc>
          <w:tcPr>
            <w:tcW w:type="dxa" w:w="9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GAP-03</w:t>
            </w:r>
          </w:p>
        </w:tc>
        <w:tc>
          <w:tcPr>
            <w:tcW w:type="dxa" w:w="11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All Bots → Staff Queue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No task aggregation. Staff blind to bot outputs.</w:t>
            </w:r>
          </w:p>
        </w:tc>
        <w:tc>
          <w:tcPr>
            <w:tcW w:type="dxa" w:w="3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7"/>
                <w:szCs w:val="17"/>
              </w:rPr>
              <w:t xml:space="preserve">Ops Command Center #104</w:t>
            </w:r>
          </w:p>
        </w:tc>
      </w:tr>
      <w:tr>
        <w:tc>
          <w:tcPr>
            <w:tcW w:type="dxa" w:w="9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GAP-04</w:t>
            </w:r>
          </w:p>
        </w:tc>
        <w:tc>
          <w:tcPr>
            <w:tcW w:type="dxa" w:w="11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Intake → Phase 2/3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No situation qualifier after onboarding. System doesn’t know which path.</w:t>
            </w:r>
          </w:p>
        </w:tc>
        <w:tc>
          <w:tcPr>
            <w:tcW w:type="dxa" w:w="3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7"/>
                <w:szCs w:val="17"/>
              </w:rPr>
              <w:t xml:space="preserve">Situation Qualifier #105</w:t>
            </w:r>
          </w:p>
        </w:tc>
      </w:tr>
      <w:tr>
        <w:tc>
          <w:tcPr>
            <w:tcW w:type="dxa" w:w="9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GAP-05</w:t>
            </w:r>
          </w:p>
        </w:tc>
        <w:tc>
          <w:tcPr>
            <w:tcW w:type="dxa" w:w="11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Service Done → Billing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No auto-invoice on service completion.</w:t>
            </w:r>
          </w:p>
        </w:tc>
        <w:tc>
          <w:tcPr>
            <w:tcW w:type="dxa" w:w="3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7"/>
                <w:szCs w:val="17"/>
              </w:rPr>
              <w:t xml:space="preserve">Billing Bridge #106</w:t>
            </w:r>
          </w:p>
        </w:tc>
      </w:tr>
      <w:tr>
        <w:tc>
          <w:tcPr>
            <w:tcW w:type="dxa" w:w="9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GAP-06</w:t>
            </w:r>
          </w:p>
        </w:tc>
        <w:tc>
          <w:tcPr>
            <w:tcW w:type="dxa" w:w="11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Referral #76 → Scoring #72</w:t>
            </w:r>
          </w:p>
        </w:tc>
        <w:tc>
          <w:tcPr>
            <w:tcW w:type="dxa" w:w="4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Referrals enter as cold leads. No warm tagging.</w:t>
            </w:r>
          </w:p>
        </w:tc>
        <w:tc>
          <w:tcPr>
            <w:tcW w:type="dxa" w:w="3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0F4C75"/>
                <w:sz w:val="17"/>
                <w:szCs w:val="17"/>
              </w:rPr>
              <w:t xml:space="preserve">Update Lead Scoring #72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 Payment Processing</w:t>
      </w:r>
    </w:p>
    <w:p>
      <w:pPr>
        <w:pBdr>
          <w:bottom w:val="single" w:color="0F4C75" w:sz="4" w:space="1"/>
        </w:pBdr>
        <w:spacing w:after="16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635BFF"/>
                <w:sz w:val="28"/>
                <w:szCs w:val="28"/>
              </w:rPr>
              <w:t xml:space="preserve">STRIPE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Primary processor
Account: Not yet set up
Priority: P0 TONIGHT</w:t>
            </w:r>
          </w:p>
        </w:tc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E8F0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03087"/>
                <w:sz w:val="28"/>
                <w:szCs w:val="28"/>
              </w:rPr>
              <w:t xml:space="preserve">PAYPAL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Secondary processor
Account: Active
Integrate via Make.com</w:t>
            </w:r>
          </w:p>
        </w:tc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E8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0D632"/>
                <w:sz w:val="28"/>
                <w:szCs w:val="28"/>
              </w:rPr>
              <w:t xml:space="preserve">CASHAPP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Tertiary processor
Account: Active (+2 new)
Quick-pay for small services</w:t>
            </w:r>
          </w:p>
        </w:tc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3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C0392B"/>
                <w:sz w:val="28"/>
                <w:szCs w:val="28"/>
              </w:rPr>
              <w:t xml:space="preserve">BOT #103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Payment Confirmation
Listens to ALL webhooks
Updates FPI + activates service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Infrastructure — Hosting, Email, Ops System</w:t>
      </w:r>
    </w:p>
    <w:p>
      <w:pPr>
        <w:pBdr>
          <w:bottom w:val="single" w:color="C9920A" w:sz="4" w:space="1"/>
        </w:pBdr>
        <w:spacing w:after="160"/>
      </w:pPr>
    </w:p>
    <w:p>
      <w:pPr>
        <w:pStyle w:val="Heading2"/>
      </w:pPr>
      <w:r>
        <w:rPr>
          <w:color w:val="0F4C75"/>
        </w:rPr>
        <w:t xml:space="preserve">5.1 Hosting Migration: Wix → Cloudflare + Vercel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EB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8"/>
                <w:szCs w:val="18"/>
              </w:rPr>
              <w:t xml:space="preserve">NOW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Keep Wix live
Set up Cloudflare
Connect GoDaddy DNS</w:t>
            </w:r>
          </w:p>
        </w:tc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8"/>
                <w:szCs w:val="18"/>
              </w:rPr>
              <w:t xml:space="preserve">THIS WEEK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Deploy landing pages
to Cloudflare Pages
from GitHub repo</w:t>
            </w:r>
          </w:p>
        </w:tc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E3F2F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0F4C75"/>
                <w:sz w:val="18"/>
                <w:szCs w:val="18"/>
              </w:rPr>
              <w:t xml:space="preserve">SPRINT 2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Build member dashboard
Next.js on Vercel
Connect Make.com webhooks</w:t>
            </w:r>
          </w:p>
        </w:tc>
        <w:tc>
          <w:tcPr>
            <w:tcW w:type="dxa" w:w="324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27AE60"/>
                <w:sz w:val="18"/>
                <w:szCs w:val="18"/>
              </w:rPr>
              <w:t xml:space="preserve">MIGRATION
</w:t>
            </w:r>
            <w:r>
              <w:rPr>
                <w:rFonts w:ascii="Nunito Sans" w:cs="Nunito Sans" w:eastAsia="Nunito Sans" w:hAnsi="Nunito Sans"/>
                <w:color w:val="555555"/>
                <w:sz w:val="17"/>
                <w:szCs w:val="17"/>
              </w:rPr>
              <w:t xml:space="preserve">Switch DNS to Cloudflare
app.hirecar.la → Vercel
Cancel Wix subscription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color w:val="0F4C75"/>
        </w:rPr>
        <w:t xml:space="preserve">5.2 Member Services Email Architecture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0F4C75"/>
                <w:sz w:val="20"/>
                <w:szCs w:val="20"/>
              </w:rPr>
              <w:t xml:space="preserve">members@
</w:t>
            </w:r>
            <w:r>
              <w:rPr>
                <w:rFonts w:ascii="Nunito Sans" w:cs="Nunito Sans" w:eastAsia="Nunito Sans" w:hAnsi="Nunito Sans"/>
                <w:color w:val="666666"/>
                <w:sz w:val="16"/>
                <w:szCs w:val="16"/>
              </w:rPr>
              <w:t xml:space="preserve">Member automations
Welcome, reminders,
digests, follow-ups</w:t>
            </w:r>
          </w:p>
        </w:tc>
        <w:tc>
          <w:tcPr>
            <w:tcW w:type="dxa" w:w="2592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20"/>
                <w:szCs w:val="20"/>
              </w:rPr>
              <w:t xml:space="preserve">ops@
</w:t>
            </w:r>
            <w:r>
              <w:rPr>
                <w:rFonts w:ascii="Nunito Sans" w:cs="Nunito Sans" w:eastAsia="Nunito Sans" w:hAnsi="Nunito Sans"/>
                <w:color w:val="666666"/>
                <w:sz w:val="16"/>
                <w:szCs w:val="16"/>
              </w:rPr>
              <w:t xml:space="preserve">Internal ops alerts
Task digests, escalations,
staff notifications</w:t>
            </w:r>
          </w:p>
        </w:tc>
        <w:tc>
          <w:tcPr>
            <w:tcW w:type="dxa" w:w="2592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27AE60"/>
                <w:sz w:val="20"/>
                <w:szCs w:val="20"/>
              </w:rPr>
              <w:t xml:space="preserve">sales@
</w:t>
            </w:r>
            <w:r>
              <w:rPr>
                <w:rFonts w:ascii="Nunito Sans" w:cs="Nunito Sans" w:eastAsia="Nunito Sans" w:hAnsi="Nunito Sans"/>
                <w:color w:val="666666"/>
                <w:sz w:val="16"/>
                <w:szCs w:val="16"/>
              </w:rPr>
              <w:t xml:space="preserve">Sales team alerts
Hot leads, pipeline,
follow-up schedules</w:t>
            </w:r>
          </w:p>
        </w:tc>
        <w:tc>
          <w:tcPr>
            <w:tcW w:type="dxa" w:w="2592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20"/>
                <w:szCs w:val="20"/>
              </w:rPr>
              <w:t xml:space="preserve">noreply@
</w:t>
            </w:r>
            <w:r>
              <w:rPr>
                <w:rFonts w:ascii="Nunito Sans" w:cs="Nunito Sans" w:eastAsia="Nunito Sans" w:hAnsi="Nunito Sans"/>
                <w:color w:val="666666"/>
                <w:sz w:val="16"/>
                <w:szCs w:val="16"/>
              </w:rPr>
              <w:t xml:space="preserve">Transactional only
Payment confirms,
invoices, receipts</w:t>
            </w:r>
          </w:p>
        </w:tc>
        <w:tc>
          <w:tcPr>
            <w:tcW w:type="dxa" w:w="2592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7F5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support@
</w:t>
            </w:r>
            <w:r>
              <w:rPr>
                <w:rFonts w:ascii="Nunito Sans" w:cs="Nunito Sans" w:eastAsia="Nunito Sans" w:hAnsi="Nunito Sans"/>
                <w:color w:val="666666"/>
                <w:sz w:val="16"/>
                <w:szCs w:val="16"/>
              </w:rPr>
              <w:t xml:space="preserve">Inbound support
Routes to Concierge #5
SLA-tracked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color w:val="0F4C75"/>
        </w:rPr>
        <w:t xml:space="preserve">5.3 Task Output System (Ops Command Center #104)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320"/>
        <w:gridCol w:w="4320"/>
      </w:tblGrid>
      <w:tr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AUDIENCE</w:t>
            </w:r>
          </w:p>
        </w:tc>
      </w:tr>
      <w:tr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Slack #hirecar-ops</w:t>
            </w:r>
          </w:p>
        </w:tc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Instant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Hot leads, payments, escalations, SLA breaches, dispatches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Operations team</w:t>
            </w:r>
          </w:p>
        </w:tc>
      </w:tr>
      <w:tr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Slack #hirecar-sales</w:t>
            </w:r>
          </w:p>
        </w:tc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Instant + 8AM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Qualified leads, follow-ups due, referrals, conversion opps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Sales team</w:t>
            </w:r>
          </w:p>
        </w:tc>
      </w:tr>
      <w:tr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Email (ops@)</w:t>
            </w:r>
          </w:p>
        </w:tc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Daily 7 AM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Tasks due today, overdue items, enrollments, payment summary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Operations team</w:t>
            </w:r>
          </w:p>
        </w:tc>
      </w:tr>
      <w:tr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Email (sales@)</w:t>
            </w:r>
          </w:p>
        </w:tc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Daily 8 AM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Pipeline status, hot leads, nurture performance, conversions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Sales team</w:t>
            </w:r>
          </w:p>
        </w:tc>
      </w:tr>
      <w:tr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Email (leadership)</w:t>
            </w:r>
          </w:p>
        </w:tc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Weekly Mon 9 AM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Revenue, new members, churn, pipeline value, bot performance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Executive team</w:t>
            </w:r>
          </w:p>
        </w:tc>
      </w:tr>
      <w:tr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Staff Dashboard</w:t>
            </w:r>
          </w:p>
        </w:tc>
        <w:tc>
          <w:tcPr>
            <w:tcW w:type="dxa" w:w="2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Real-time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555555"/>
                <w:sz w:val="16"/>
                <w:szCs w:val="16"/>
              </w:rPr>
              <w:t xml:space="preserve">Unified task queue, priority ranking, dept filters, member context</w:t>
            </w:r>
          </w:p>
        </w:tc>
        <w:tc>
          <w:tcPr>
            <w:tcW w:type="dxa" w:w="432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111820"/>
                <w:sz w:val="17"/>
                <w:szCs w:val="17"/>
              </w:rPr>
              <w:t xml:space="preserve">All staff</w:t>
            </w:r>
          </w:p>
        </w:tc>
      </w:tr>
    </w:tbl>
    <w:p>
      <w:pPr>
        <w:sectPr>
          <w:headerReference w:type="default" r:id="rId13"/>
          <w:footerReference w:type="default" r:id="rId14"/>
          <w:pgSz w:w="15840" w:h="12240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Execution Timeline — Priority Order</w:t>
      </w:r>
    </w:p>
    <w:p>
      <w:pPr>
        <w:pBdr>
          <w:bottom w:val="single" w:color="C9920A" w:sz="4" w:space="1"/>
        </w:pBdr>
        <w:spacing w:after="16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500"/>
        <w:gridCol w:w="2800"/>
        <w:gridCol w:w="1800"/>
        <w:gridCol w:w="1660"/>
      </w:tblGrid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DEPENDENCY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BOTS INVOLVED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283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Set up Stripe account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#103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TONIGHT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Set up member services email (Zoho free)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GoDaddy DNS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All bots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TONIGHT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Enrollment Bot #101 in Make.com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Stripe + Email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#101 + #73 + #1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TONIGHT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Deploy homepage + PIFR landing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Wix access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Page content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TONIGHT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0392B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Ops Command Center #104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Slack workspace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#104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This week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QUEUED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Payment Confirmation #103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Stripe webhooks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#103 + #63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This week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QUEUED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Situation Qualifier #105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Welcome Journey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#105 + #1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This week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QUEUED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Chief of Staff Bot #0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#103 + #104 live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#0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This week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C9920A"/>
                <w:sz w:val="16"/>
                <w:szCs w:val="16"/>
              </w:rPr>
              <w:t xml:space="preserve">QUEUED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0F4C75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Billing Bridge #106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#103 operational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#106 + #63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Week 2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0F4C75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Collections Escalation #107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Accounting live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#107 + #68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Week 2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0F4C75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Director Governance #102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Output queue ready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#102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Week 2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Retention Bot #108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Portal live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#108 + #10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Week 3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Deploy Cloudflare Pages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GitHub ready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Week 3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Build custom dashboard (Vercel)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Cloudflare DNS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All bots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6"/>
                <w:szCs w:val="16"/>
              </w:rPr>
              <w:t xml:space="preserve">FUTURE</w:t>
            </w:r>
          </w:p>
        </w:tc>
      </w:tr>
      <w:tr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Migrate off Wix completely</w:t>
            </w:r>
          </w:p>
        </w:tc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777777"/>
                <w:sz w:val="16"/>
                <w:szCs w:val="16"/>
              </w:rPr>
              <w:t xml:space="preserve">Dashboard ready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color w:val="0F4C75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unito Sans" w:cs="Nunito Sans" w:eastAsia="Nunito Sans" w:hAnsi="Nunito Sans"/>
                <w:b/>
                <w:bCs/>
                <w:color w:val="111820"/>
                <w:sz w:val="17"/>
                <w:szCs w:val="17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6"/>
                <w:szCs w:val="16"/>
              </w:rPr>
              <w:t xml:space="preserve">FUTURE</w:t>
            </w:r>
          </w:p>
        </w:tc>
      </w:tr>
    </w:tbl>
    <w:p>
      <w:pPr>
        <w:spacing w:before="2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6"/>
                <w:szCs w:val="26"/>
              </w:rPr>
              <w:t xml:space="preserve">TONIGHT’S CRITICAL PATH:  </w:t>
            </w:r>
            <w:r>
              <w:rPr>
                <w:rFonts w:ascii="Nunito Sans" w:cs="Nunito Sans" w:eastAsia="Nunito Sans" w:hAnsi="Nunito Sans"/>
                <w:color w:val="C9920A"/>
                <w:sz w:val="20"/>
                <w:szCs w:val="20"/>
              </w:rPr>
              <w:t xml:space="preserve">Stripe → Email → Enrollment Bot #101 → Homepage Live → First Transaction</w:t>
            </w:r>
          </w:p>
        </w:tc>
      </w:tr>
    </w:tbl>
    <w:p>
      <w:pPr>
        <w:spacing w:before="10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i/>
          <w:iCs/>
          <w:color w:val="AAAAAA"/>
          <w:sz w:val="22"/>
          <w:szCs w:val="22"/>
        </w:rPr>
        <w:t xml:space="preserve">HIRECAR, LLC — The Auto Industry, Reimagined</w:t>
      </w:r>
    </w:p>
    <w:sectPr>
      <w:headerReference w:type="default" r:id="rId15"/>
      <w:footerReference w:type="default" r:id="rId16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 Sans" w:cs="Nunito Sans" w:eastAsia="Nunito Sans" w:hAnsi="Nunito Sans"/>
        <w:color w:val="BBBBBB"/>
        <w:sz w:val="14"/>
        <w:szCs w:val="14"/>
      </w:rPr>
      <w:t xml:space="preserve">HIRECAR, LLC — Confidential — Page </w:t>
    </w:r>
    <w:r>
      <w:rPr>
        <w:rFonts w:ascii="Nunito Sans" w:cs="Nunito Sans" w:eastAsia="Nunito Sans" w:hAnsi="Nunito Sans"/>
        <w:color w:val="BBBBB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 Sans" w:cs="Nunito Sans" w:eastAsia="Nunito Sans" w:hAnsi="Nunito Sans"/>
        <w:color w:val="BBBBBB"/>
        <w:sz w:val="14"/>
        <w:szCs w:val="14"/>
      </w:rPr>
      <w:t xml:space="preserve">HIRECAR, LLC — Confidential — Page </w:t>
    </w:r>
    <w:r>
      <w:rPr>
        <w:rFonts w:ascii="Nunito Sans" w:cs="Nunito Sans" w:eastAsia="Nunito Sans" w:hAnsi="Nunito Sans"/>
        <w:color w:val="BBBBB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 Sans" w:cs="Nunito Sans" w:eastAsia="Nunito Sans" w:hAnsi="Nunito Sans"/>
        <w:color w:val="BBBBBB"/>
        <w:sz w:val="14"/>
        <w:szCs w:val="14"/>
      </w:rPr>
      <w:t xml:space="preserve">HIRECAR, LLC — Confidential — Page </w:t>
    </w:r>
    <w:r>
      <w:rPr>
        <w:rFonts w:ascii="Nunito Sans" w:cs="Nunito Sans" w:eastAsia="Nunito Sans" w:hAnsi="Nunito Sans"/>
        <w:color w:val="BBBBB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 Sans" w:cs="Nunito Sans" w:eastAsia="Nunito Sans" w:hAnsi="Nunito Sans"/>
        <w:color w:val="BBBBBB"/>
        <w:sz w:val="14"/>
        <w:szCs w:val="14"/>
      </w:rPr>
      <w:t xml:space="preserve">HIRECAR, LLC — Confidential — Page </w:t>
    </w:r>
    <w:r>
      <w:rPr>
        <w:rFonts w:ascii="Nunito Sans" w:cs="Nunito Sans" w:eastAsia="Nunito Sans" w:hAnsi="Nunito Sans"/>
        <w:color w:val="BBBBB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 Sans" w:cs="Nunito Sans" w:eastAsia="Nunito Sans" w:hAnsi="Nunito Sans"/>
        <w:color w:val="BBBBBB"/>
        <w:sz w:val="14"/>
        <w:szCs w:val="14"/>
      </w:rPr>
      <w:t xml:space="preserve">HIRECAR, LLC — Confidential — Page </w:t>
    </w:r>
    <w:r>
      <w:rPr>
        <w:rFonts w:ascii="Nunito Sans" w:cs="Nunito Sans" w:eastAsia="Nunito Sans" w:hAnsi="Nunito Sans"/>
        <w:color w:val="BBBBB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ACF" w:sz="1" w:space="1"/>
      </w:pBdr>
      <w:tabs>
        <w:tab w:val="right" w:pos="12960"/>
      </w:tabs>
    </w:pPr>
    <w:r>
      <w:rPr>
        <w:rFonts w:ascii="Cormorant Garamond" w:cs="Cormorant Garamond" w:eastAsia="Cormorant Garamond" w:hAnsi="Cormorant Garamond"/>
        <w:b/>
        <w:bCs/>
        <w:color w:val="C9920A"/>
        <w:sz w:val="18"/>
        <w:szCs w:val="18"/>
      </w:rPr>
      <w:t xml:space="preserve">HIRECAR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  —  Republish Project Plan v5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	March 3,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ACF" w:sz="1" w:space="1"/>
      </w:pBdr>
      <w:tabs>
        <w:tab w:val="right" w:pos="12960"/>
      </w:tabs>
    </w:pPr>
    <w:r>
      <w:rPr>
        <w:rFonts w:ascii="Cormorant Garamond" w:cs="Cormorant Garamond" w:eastAsia="Cormorant Garamond" w:hAnsi="Cormorant Garamond"/>
        <w:b/>
        <w:bCs/>
        <w:color w:val="C9920A"/>
        <w:sz w:val="18"/>
        <w:szCs w:val="18"/>
      </w:rPr>
      <w:t xml:space="preserve">HIRECAR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  —  Republish Project Plan v5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	March 3,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ACF" w:sz="1" w:space="1"/>
      </w:pBdr>
      <w:tabs>
        <w:tab w:val="right" w:pos="12960"/>
      </w:tabs>
    </w:pPr>
    <w:r>
      <w:rPr>
        <w:rFonts w:ascii="Cormorant Garamond" w:cs="Cormorant Garamond" w:eastAsia="Cormorant Garamond" w:hAnsi="Cormorant Garamond"/>
        <w:b/>
        <w:bCs/>
        <w:color w:val="C9920A"/>
        <w:sz w:val="18"/>
        <w:szCs w:val="18"/>
      </w:rPr>
      <w:t xml:space="preserve">HIRECAR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  —  Republish Project Plan v5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	March 3,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ACF" w:sz="1" w:space="1"/>
      </w:pBdr>
      <w:tabs>
        <w:tab w:val="right" w:pos="12960"/>
      </w:tabs>
    </w:pPr>
    <w:r>
      <w:rPr>
        <w:rFonts w:ascii="Cormorant Garamond" w:cs="Cormorant Garamond" w:eastAsia="Cormorant Garamond" w:hAnsi="Cormorant Garamond"/>
        <w:b/>
        <w:bCs/>
        <w:color w:val="C9920A"/>
        <w:sz w:val="18"/>
        <w:szCs w:val="18"/>
      </w:rPr>
      <w:t xml:space="preserve">HIRECAR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  —  Republish Project Plan v5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	March 3, 2026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ACF" w:sz="1" w:space="1"/>
      </w:pBdr>
      <w:tabs>
        <w:tab w:val="right" w:pos="12960"/>
      </w:tabs>
    </w:pPr>
    <w:r>
      <w:rPr>
        <w:rFonts w:ascii="Cormorant Garamond" w:cs="Cormorant Garamond" w:eastAsia="Cormorant Garamond" w:hAnsi="Cormorant Garamond"/>
        <w:b/>
        <w:bCs/>
        <w:color w:val="C9920A"/>
        <w:sz w:val="18"/>
        <w:szCs w:val="18"/>
      </w:rPr>
      <w:t xml:space="preserve">HIRECAR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  —  Republish Project Plan v5</w:t>
    </w:r>
    <w:r>
      <w:rPr>
        <w:rFonts w:ascii="Nunito Sans" w:cs="Nunito Sans" w:eastAsia="Nunito Sans" w:hAnsi="Nunito Sans"/>
        <w:color w:val="AAAAAA"/>
        <w:sz w:val="15"/>
        <w:szCs w:val="15"/>
      </w:rPr>
      <w:t xml:space="preserve">	March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ormorant Garamond" w:cs="Cormorant Garamond" w:eastAsia="Cormorant Garamond" w:hAnsi="Cormorant Garamond"/>
      <w:b/>
      <w:bCs/>
      <w:color w:val="1118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ormorant Garamond" w:cs="Cormorant Garamond" w:eastAsia="Cormorant Garamond" w:hAnsi="Cormorant Garamond"/>
      <w:b/>
      <w:bCs/>
      <w:color w:val="0F4C7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Nunito Sans" w:cs="Nunito Sans" w:eastAsia="Nunito Sans" w:hAnsi="Nunito Sans"/>
      <w:b/>
      <w:bCs/>
      <w:color w:val="C992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2026-03-03T20:16:58.868Z</dcterms:created>
  <dcterms:modified xsi:type="dcterms:W3CDTF">2026-03-03T20:16:58.868Z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