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jc w:val="center"/>
      </w:pPr>
      <w:r>
        <w:rPr>
          <w:rFonts w:ascii="Cormorant Garamond" w:cs="Cormorant Garamond" w:eastAsia="Cormorant Garamond" w:hAnsi="Cormorant Garamond"/>
          <w:b/>
          <w:bCs/>
          <w:color w:val="111820"/>
          <w:sz w:val="72"/>
          <w:szCs w:val="72"/>
        </w:rPr>
        <w:t xml:space="preserve">HIRECAR</w:t>
      </w:r>
    </w:p>
    <w:p>
      <w:pPr>
        <w:spacing w:after="200"/>
        <w:jc w:val="center"/>
      </w:pPr>
      <w:r>
        <w:rPr>
          <w:rFonts w:ascii="Cormorant Garamond" w:cs="Cormorant Garamond" w:eastAsia="Cormorant Garamond" w:hAnsi="Cormorant Garamond"/>
          <w:color w:val="C9920A"/>
          <w:spacing w:val="140"/>
          <w:sz w:val="32"/>
          <w:szCs w:val="32"/>
        </w:rPr>
        <w:t xml:space="preserve">EXPANDED BOT ARCHITECTURE v6</w:t>
      </w:r>
    </w:p>
    <w:p>
      <w:pPr>
        <w:pBdr>
          <w:bottom w:val="single" w:color="C9920A" w:sz="4" w:space="1"/>
        </w:pBdr>
        <w:spacing w:after="100" w:before="100"/>
      </w:pPr>
    </w:p>
    <w:p>
      <w:pPr>
        <w:spacing w:after="80"/>
        <w:jc w:val="center"/>
      </w:pPr>
      <w:r>
        <w:rPr>
          <w:rFonts w:ascii="Nunito Sans" w:cs="Nunito Sans" w:eastAsia="Nunito Sans" w:hAnsi="Nunito Sans"/>
          <w:color w:val="666666"/>
          <w:sz w:val="22"/>
          <w:szCs w:val="22"/>
        </w:rPr>
        <w:t xml:space="preserve">New Departments, Triage System, Credit Dispute Pipeline,</w:t>
      </w:r>
    </w:p>
    <w:p>
      <w:pPr>
        <w:spacing w:after="80"/>
        <w:jc w:val="center"/>
      </w:pPr>
      <w:r>
        <w:rPr>
          <w:rFonts w:ascii="Nunito Sans" w:cs="Nunito Sans" w:eastAsia="Nunito Sans" w:hAnsi="Nunito Sans"/>
          <w:color w:val="666666"/>
          <w:sz w:val="22"/>
          <w:szCs w:val="22"/>
        </w:rPr>
        <w:t xml:space="preserve">Funding QA, Accounting Automation, Enrollment Expansion,</w:t>
      </w:r>
    </w:p>
    <w:p>
      <w:pPr>
        <w:spacing w:after="200"/>
        <w:jc w:val="center"/>
      </w:pPr>
      <w:r>
        <w:rPr>
          <w:rFonts w:ascii="Nunito Sans" w:cs="Nunito Sans" w:eastAsia="Nunito Sans" w:hAnsi="Nunito Sans"/>
          <w:color w:val="666666"/>
          <w:sz w:val="22"/>
          <w:szCs w:val="22"/>
        </w:rPr>
        <w:t xml:space="preserve">PassKit Integration &amp; BitDocs Playbook System</w:t>
      </w:r>
    </w:p>
    <w:p>
      <w:pPr>
        <w:pBdr>
          <w:bottom w:val="single" w:color="C9920A" w:sz="4" w:space="1"/>
        </w:pBdr>
        <w:spacing w:after="100" w:before="1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2838" w:color="auto" w:val="clear"/>
            <w:tcMar>
              <w:top w:type="dxa" w:w="120"/>
              <w:left w:type="dxa" w:w="80"/>
              <w:bottom w:type="dxa" w:w="120"/>
              <w:right w:type="dxa" w:w="80"/>
            </w:tcMar>
          </w:tcPr>
          <w:p>
            <w:pPr>
              <w:jc w:val="center"/>
            </w:pPr>
            <w:r>
              <w:rPr>
                <w:rFonts w:ascii="DM Mono" w:cs="DM Mono" w:eastAsia="DM Mono" w:hAnsi="DM Mono"/>
                <w:b/>
                <w:bCs/>
                <w:color w:val="C9920A"/>
                <w:sz w:val="32"/>
                <w:szCs w:val="32"/>
              </w:rPr>
              <w:t xml:space="preserve">140+</w:t>
            </w:r>
          </w:p>
          <w:p>
            <w:pPr>
              <w:jc w:val="center"/>
            </w:pPr>
            <w:r>
              <w:rPr>
                <w:rFonts w:ascii="Nunito Sans" w:cs="Nunito Sans" w:eastAsia="Nunito Sans" w:hAnsi="Nunito Sans"/>
                <w:color w:val="FFFFFF"/>
                <w:sz w:val="16"/>
                <w:szCs w:val="16"/>
              </w:rPr>
              <w:t xml:space="preserve">Total Bots</w:t>
            </w:r>
          </w:p>
        </w:tc>
        <w:tc>
          <w:tcPr>
            <w:tcW w:type="dxa" w:w="2340"/>
            <w:tcBorders>
              <w:top w:val="none" w:color="FFFFFF" w:sz="0"/>
              <w:left w:val="none" w:color="FFFFFF" w:sz="0"/>
              <w:bottom w:val="none" w:color="FFFFFF" w:sz="0"/>
              <w:right w:val="none" w:color="FFFFFF" w:sz="0"/>
            </w:tcBorders>
            <w:shd w:fill="1B2838" w:color="auto" w:val="clear"/>
            <w:tcMar>
              <w:top w:type="dxa" w:w="120"/>
              <w:left w:type="dxa" w:w="80"/>
              <w:bottom w:type="dxa" w:w="120"/>
              <w:right w:type="dxa" w:w="80"/>
            </w:tcMar>
          </w:tcPr>
          <w:p>
            <w:pPr>
              <w:jc w:val="center"/>
            </w:pPr>
            <w:r>
              <w:rPr>
                <w:rFonts w:ascii="DM Mono" w:cs="DM Mono" w:eastAsia="DM Mono" w:hAnsi="DM Mono"/>
                <w:b/>
                <w:bCs/>
                <w:color w:val="C9920A"/>
                <w:sz w:val="32"/>
                <w:szCs w:val="32"/>
              </w:rPr>
              <w:t xml:space="preserve">5</w:t>
            </w:r>
          </w:p>
          <w:p>
            <w:pPr>
              <w:jc w:val="center"/>
            </w:pPr>
            <w:r>
              <w:rPr>
                <w:rFonts w:ascii="Nunito Sans" w:cs="Nunito Sans" w:eastAsia="Nunito Sans" w:hAnsi="Nunito Sans"/>
                <w:color w:val="FFFFFF"/>
                <w:sz w:val="16"/>
                <w:szCs w:val="16"/>
              </w:rPr>
              <w:t xml:space="preserve">New Departments</w:t>
            </w:r>
          </w:p>
        </w:tc>
        <w:tc>
          <w:tcPr>
            <w:tcW w:type="dxa" w:w="2340"/>
            <w:tcBorders>
              <w:top w:val="none" w:color="FFFFFF" w:sz="0"/>
              <w:left w:val="none" w:color="FFFFFF" w:sz="0"/>
              <w:bottom w:val="none" w:color="FFFFFF" w:sz="0"/>
              <w:right w:val="none" w:color="FFFFFF" w:sz="0"/>
            </w:tcBorders>
            <w:shd w:fill="1B2838" w:color="auto" w:val="clear"/>
            <w:tcMar>
              <w:top w:type="dxa" w:w="120"/>
              <w:left w:type="dxa" w:w="80"/>
              <w:bottom w:type="dxa" w:w="120"/>
              <w:right w:type="dxa" w:w="80"/>
            </w:tcMar>
          </w:tcPr>
          <w:p>
            <w:pPr>
              <w:jc w:val="center"/>
            </w:pPr>
            <w:r>
              <w:rPr>
                <w:rFonts w:ascii="DM Mono" w:cs="DM Mono" w:eastAsia="DM Mono" w:hAnsi="DM Mono"/>
                <w:b/>
                <w:bCs/>
                <w:color w:val="C9920A"/>
                <w:sz w:val="32"/>
                <w:szCs w:val="32"/>
              </w:rPr>
              <w:t xml:space="preserve">30+</w:t>
            </w:r>
          </w:p>
          <w:p>
            <w:pPr>
              <w:jc w:val="center"/>
            </w:pPr>
            <w:r>
              <w:rPr>
                <w:rFonts w:ascii="Nunito Sans" w:cs="Nunito Sans" w:eastAsia="Nunito Sans" w:hAnsi="Nunito Sans"/>
                <w:color w:val="FFFFFF"/>
                <w:sz w:val="16"/>
                <w:szCs w:val="16"/>
              </w:rPr>
              <w:t xml:space="preserve">New Bots</w:t>
            </w:r>
          </w:p>
        </w:tc>
        <w:tc>
          <w:tcPr>
            <w:tcW w:type="dxa" w:w="2340"/>
            <w:tcBorders>
              <w:top w:val="none" w:color="FFFFFF" w:sz="0"/>
              <w:left w:val="none" w:color="FFFFFF" w:sz="0"/>
              <w:bottom w:val="none" w:color="FFFFFF" w:sz="0"/>
              <w:right w:val="none" w:color="FFFFFF" w:sz="0"/>
            </w:tcBorders>
            <w:shd w:fill="1B2838" w:color="auto" w:val="clear"/>
            <w:tcMar>
              <w:top w:type="dxa" w:w="120"/>
              <w:left w:type="dxa" w:w="80"/>
              <w:bottom w:type="dxa" w:w="120"/>
              <w:right w:type="dxa" w:w="80"/>
            </w:tcMar>
          </w:tcPr>
          <w:p>
            <w:pPr>
              <w:jc w:val="center"/>
            </w:pPr>
            <w:r>
              <w:rPr>
                <w:rFonts w:ascii="DM Mono" w:cs="DM Mono" w:eastAsia="DM Mono" w:hAnsi="DM Mono"/>
                <w:b/>
                <w:bCs/>
                <w:color w:val="C9920A"/>
                <w:sz w:val="32"/>
                <w:szCs w:val="32"/>
              </w:rPr>
              <w:t xml:space="preserve">6</w:t>
            </w:r>
          </w:p>
          <w:p>
            <w:pPr>
              <w:jc w:val="center"/>
            </w:pPr>
            <w:r>
              <w:rPr>
                <w:rFonts w:ascii="Nunito Sans" w:cs="Nunito Sans" w:eastAsia="Nunito Sans" w:hAnsi="Nunito Sans"/>
                <w:color w:val="FFFFFF"/>
                <w:sz w:val="16"/>
                <w:szCs w:val="16"/>
              </w:rPr>
              <w:t xml:space="preserve">QA Layers</w:t>
            </w:r>
          </w:p>
        </w:tc>
      </w:tr>
    </w:tbl>
    <w:p>
      <w:r>
        <w:br w:type="page"/>
      </w:r>
    </w:p>
    <w:p>
      <w:pPr>
        <w:pStyle w:val="Heading1"/>
      </w:pPr>
      <w:r>
        <w:rPr>
          <w:rFonts w:ascii="Cormorant Garamond" w:cs="Cormorant Garamond" w:eastAsia="Cormorant Garamond" w:hAnsi="Cormorant Garamond"/>
          <w:color w:val="111820"/>
        </w:rPr>
        <w:t xml:space="preserve">1. Triage &amp; Resubmission System</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manager bots — Chief of Staff (#0) and Director Governance (#102) — own strategic coordination and mission alignment. They should NOT own triage of incomplete tasks. Triage is an operational function that requires checking every task output against a completion checklist, identifying what failed or was skipped, and resubmitting to the originating bot with corrective instructions. This is a separate discipline.</w:t>
      </w:r>
    </w:p>
    <w:p>
      <w:pPr>
        <w:pStyle w:val="Heading2"/>
      </w:pPr>
      <w:r>
        <w:rPr>
          <w:rFonts w:ascii="Cormorant Garamond" w:cs="Cormorant Garamond" w:eastAsia="Cormorant Garamond" w:hAnsi="Cormorant Garamond"/>
          <w:color w:val="0F4C75"/>
        </w:rPr>
        <w:t xml:space="preserve">Triage Bot — #110 (New)</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Triage &amp; Resubmission Bot monitors all bot task outputs across the system. When any bot marks a task as 'complete,' Bot #110 runs a completion checklist against the expected deliverables. If items are missing, incomplete, or fail quality checks, the Triage Bot packages corrective instructions and resubmits the task back to the originating bot — or escalates to the department manager bot if the failure is systemic.</w:t>
      </w:r>
    </w:p>
    <w:p>
      <w:pPr>
        <w:spacing w:after="100" w:before="200"/>
      </w:pPr>
      <w:r>
        <w:rPr>
          <w:rFonts w:ascii="Nunito Sans" w:cs="Nunito Sans" w:eastAsia="Nunito Sans" w:hAnsi="Nunito Sans"/>
          <w:b/>
          <w:bCs/>
          <w:color w:val="C9920A"/>
          <w:sz w:val="22"/>
          <w:szCs w:val="22"/>
        </w:rPr>
        <w:t xml:space="preserve">Triage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Check</w:t>
            </w:r>
          </w:p>
        </w:tc>
        <w:tc>
          <w:tcPr>
            <w:tcW w:type="dxa" w:w="4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Description</w:t>
            </w:r>
          </w:p>
        </w:tc>
        <w:tc>
          <w:tcPr>
            <w:tcW w:type="dxa" w:w="23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Fail Action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Output Exists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Did the bot produce the expected deliverable (doc, letter, report, notification)?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Resubmit with 'generate output' instruction</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Data Complete</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Are all required fields populated? No null/empty values in critical fields?</w:t>
            </w:r>
          </w:p>
        </w:tc>
        <w:tc>
          <w:tcPr>
            <w:tcW w:type="dxa" w:w="2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Resubmit with list of missing fields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Format Valid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Does the output match the approved template for this deliverable type?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Resubmit with template reference</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Recipient Confirmed</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Was the output delivered to the correct member/staff/channel?</w:t>
            </w:r>
          </w:p>
        </w:tc>
        <w:tc>
          <w:tcPr>
            <w:tcW w:type="dxa" w:w="2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Reroute to correct 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Score Updated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Were relevant scores (CRI, HBI, FPI, etc.) recalculated after the task?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Trigger score recalculation</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XP Awarded</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Was the member awarded the correct XP for this action?</w:t>
            </w:r>
          </w:p>
        </w:tc>
        <w:tc>
          <w:tcPr>
            <w:tcW w:type="dxa" w:w="2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Trigger XP award retroactively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Handoff Queued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If a cross-department handoff is expected, was it initiated?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Resubmit with handoff instruction</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Audit Logged</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Was the task logged in the audit trail with timestamp and actor?</w:t>
            </w:r>
          </w:p>
        </w:tc>
        <w:tc>
          <w:tcPr>
            <w:tcW w:type="dxa" w:w="2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Write audit log entry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Notification Sent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Were required notifications (member, staff, Slack) dispatched?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Trigger notification dispatch</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Milestone Check</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Did this task complete a phase gate requirement? If so, was the gate check triggered?</w:t>
            </w:r>
          </w:p>
        </w:tc>
        <w:tc>
          <w:tcPr>
            <w:tcW w:type="dxa" w:w="2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Trigger Milestone Evaluator</w:t>
            </w:r>
          </w:p>
        </w:tc>
      </w:tr>
    </w:tbl>
    <w:p>
      <w:pPr>
        <w:spacing w:after="0" w:before="100"/>
      </w:pPr>
    </w:p>
    <w:p>
      <w:pPr>
        <w:spacing w:after="100" w:before="200"/>
      </w:pPr>
      <w:r>
        <w:rPr>
          <w:rFonts w:ascii="Nunito Sans" w:cs="Nunito Sans" w:eastAsia="Nunito Sans" w:hAnsi="Nunito Sans"/>
          <w:b/>
          <w:bCs/>
          <w:color w:val="C9920A"/>
          <w:sz w:val="22"/>
          <w:szCs w:val="22"/>
        </w:rPr>
        <w:t xml:space="preserve">Triage Escalation Path</w:t>
      </w:r>
    </w:p>
    <w:p>
      <w:pPr>
        <w:spacing w:after="160" w:before="0" w:line="300"/>
        <w:jc w:val="left"/>
      </w:pPr>
      <w:r>
        <w:rPr>
          <w:rFonts w:ascii="Nunito Sans" w:cs="Nunito Sans" w:eastAsia="Nunito Sans" w:hAnsi="Nunito Sans"/>
          <w:b/>
          <w:bCs/>
          <w:color w:val="111820"/>
          <w:sz w:val="21"/>
          <w:szCs w:val="21"/>
        </w:rPr>
        <w:t xml:space="preserve">Escalation: </w:t>
      </w:r>
      <w:r>
        <w:rPr>
          <w:rFonts w:ascii="Nunito Sans" w:cs="Nunito Sans" w:eastAsia="Nunito Sans" w:hAnsi="Nunito Sans"/>
          <w:b w:val="false"/>
          <w:bCs w:val="false"/>
          <w:i w:val="false"/>
          <w:iCs w:val="false"/>
          <w:color w:val="666666"/>
          <w:sz w:val="21"/>
          <w:szCs w:val="21"/>
        </w:rPr>
        <w:t xml:space="preserve">Bot #110 attempts resubmission up to 2 times. After 2 failed resubmissions, it escalates to the department Manager Bot. If the Manager Bot cannot resolve within 1 hour, it escalates to Chief of Staff #0. If the issue is a pattern (3+ failures of the same type in 24 hours), Director Governance #102 is alerted for systemic review.</w:t>
      </w:r>
    </w:p>
    <w:p>
      <w:r>
        <w:br w:type="page"/>
      </w:r>
    </w:p>
    <w:p>
      <w:pPr>
        <w:pStyle w:val="Heading1"/>
      </w:pPr>
      <w:r>
        <w:rPr>
          <w:rFonts w:ascii="Cormorant Garamond" w:cs="Cormorant Garamond" w:eastAsia="Cormorant Garamond" w:hAnsi="Cormorant Garamond"/>
          <w:color w:val="111820"/>
        </w:rPr>
        <w:t xml:space="preserve">2. Credit Dispute Department (New — Dept 16)</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current HIRECREDIT department handles credit intake, score tracking, and basic dispute letter generation. But a full credit dispute operation requires a structured legal document pipeline: drafting, review, approval, upload, and milestone-gated client download. This new department separates the dispute litigation workflow from the credit coaching workflow.</w:t>
      </w:r>
    </w:p>
    <w:p>
      <w:pPr>
        <w:pStyle w:val="Heading2"/>
      </w:pPr>
      <w:r>
        <w:rPr>
          <w:rFonts w:ascii="Cormorant Garamond" w:cs="Cormorant Garamond" w:eastAsia="Cormorant Garamond" w:hAnsi="Cormorant Garamond"/>
          <w:color w:val="0F4C75"/>
        </w:rPr>
        <w:t xml:space="preserve">Department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200"/>
        <w:gridCol w:w="1800"/>
        <w:gridCol w:w="41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17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1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Role</w:t>
            </w:r>
          </w:p>
        </w:tc>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Trigger</w:t>
            </w:r>
          </w:p>
        </w:tc>
        <w:tc>
          <w:tcPr>
            <w:tcW w:type="dxa" w:w="4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Output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Draft Bot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Legal Doc Drafter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initiated by member or Dispute Builder #12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Generates dispute letters, cease &amp; desist, debt validation letters per bureau/creditor using approved legal templates</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112</w:t>
            </w:r>
          </w:p>
        </w:tc>
        <w:tc>
          <w:tcPr>
            <w:tcW w:type="dxa" w:w="17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Review Bot</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Legal Reviewer</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Draft completed by #111</w:t>
            </w:r>
          </w:p>
        </w:tc>
        <w:tc>
          <w:tcPr>
            <w:tcW w:type="dxa" w:w="4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Reviews letter for legal accuracy, compliance with FCRA/FDCPA, correct bureau addresses, proper member data, correct dispute reason codes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Approval Bot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Approval Gate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Review passed by #112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Final approval checkpoint — validates member identity, confirms dispute strategy alignment with Tradeline Coach, stamps approved status</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114</w:t>
            </w:r>
          </w:p>
        </w:tc>
        <w:tc>
          <w:tcPr>
            <w:tcW w:type="dxa" w:w="17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Upload Bot</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Document Manager</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Approval granted by #113</w:t>
            </w:r>
          </w:p>
        </w:tc>
        <w:tc>
          <w:tcPr>
            <w:tcW w:type="dxa" w:w="4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Uploads approved letters to BitDocs vault, generates tracking ID, creates downloadable package, sets milestone-gated access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QA Bot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Quality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Random sampling + all escalated disputes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Audits dispute quality across the pipeline — checks template adherence, success rates, identifies patterns in bureau responses</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116</w:t>
            </w:r>
          </w:p>
        </w:tc>
        <w:tc>
          <w:tcPr>
            <w:tcW w:type="dxa" w:w="17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Manager Bot</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Department Manager</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Dashboard + escalation from any dept bot</w:t>
            </w:r>
          </w:p>
        </w:tc>
        <w:tc>
          <w:tcPr>
            <w:tcW w:type="dxa" w:w="4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Oversees pipeline throughput, manages SLAs (draft in 24hr, review in 12hr, approval in 4hr), generates weekly dispute metrics</w:t>
            </w:r>
          </w:p>
        </w:tc>
      </w:tr>
    </w:tbl>
    <w:p>
      <w:pPr>
        <w:spacing w:after="0" w:before="100"/>
      </w:pPr>
    </w:p>
    <w:p>
      <w:pPr>
        <w:pStyle w:val="Heading2"/>
      </w:pPr>
      <w:r>
        <w:rPr>
          <w:rFonts w:ascii="Cormorant Garamond" w:cs="Cormorant Garamond" w:eastAsia="Cormorant Garamond" w:hAnsi="Cormorant Garamond"/>
          <w:color w:val="0F4C75"/>
        </w:rPr>
        <w:t xml:space="preserve">Dispute Pipeline Workflow</w:t>
      </w:r>
    </w:p>
    <w:p>
      <w:pPr>
        <w:spacing w:after="160" w:before="0" w:line="300"/>
        <w:jc w:val="left"/>
      </w:pPr>
      <w:r>
        <w:rPr>
          <w:rFonts w:ascii="Nunito Sans" w:cs="Nunito Sans" w:eastAsia="Nunito Sans" w:hAnsi="Nunito Sans"/>
          <w:b/>
          <w:bCs/>
          <w:color w:val="111820"/>
          <w:sz w:val="21"/>
          <w:szCs w:val="21"/>
        </w:rPr>
        <w:t xml:space="preserve">Draft → </w:t>
      </w:r>
      <w:r>
        <w:rPr>
          <w:rFonts w:ascii="Nunito Sans" w:cs="Nunito Sans" w:eastAsia="Nunito Sans" w:hAnsi="Nunito Sans"/>
          <w:b w:val="false"/>
          <w:bCs w:val="false"/>
          <w:i w:val="false"/>
          <w:iCs w:val="false"/>
          <w:color w:val="666666"/>
          <w:sz w:val="21"/>
          <w:szCs w:val="21"/>
        </w:rPr>
        <w:t xml:space="preserve">Step 1 — DRAFT: The Dispute Draft Bot (#111) receives a dispute request from the Dispute Builder (#12) or directly from a member. It selects the appropriate legal template based on the dispute type (inaccuracy, identity theft, debt validation, cease &amp; desist, goodwill deletion). It populates the template with member data, creditor details, bureau information, and the specific dispute angle recommended by the Tradeline Strategy Coach (#13).</w:t>
      </w:r>
    </w:p>
    <w:p>
      <w:pPr>
        <w:spacing w:after="160" w:before="0" w:line="300"/>
        <w:jc w:val="left"/>
      </w:pPr>
      <w:r>
        <w:rPr>
          <w:rFonts w:ascii="Nunito Sans" w:cs="Nunito Sans" w:eastAsia="Nunito Sans" w:hAnsi="Nunito Sans"/>
          <w:b/>
          <w:bCs/>
          <w:color w:val="111820"/>
          <w:sz w:val="21"/>
          <w:szCs w:val="21"/>
        </w:rPr>
        <w:t xml:space="preserve">Review → </w:t>
      </w:r>
      <w:r>
        <w:rPr>
          <w:rFonts w:ascii="Nunito Sans" w:cs="Nunito Sans" w:eastAsia="Nunito Sans" w:hAnsi="Nunito Sans"/>
          <w:b w:val="false"/>
          <w:bCs w:val="false"/>
          <w:i w:val="false"/>
          <w:iCs w:val="false"/>
          <w:color w:val="666666"/>
          <w:sz w:val="21"/>
          <w:szCs w:val="21"/>
        </w:rPr>
        <w:t xml:space="preserve">Step 2 — REVIEW: The Dispute Review Bot (#112) performs automated legal compliance checks. Does the letter cite the correct statute (FCRA Section 611, FDCPA Section 809)? Is the bureau address current? Is the member's personal information redacted appropriately? Are the dispute reason codes valid? If any check fails, the letter returns to #111 with specific corrections via the Triage Bot (#110).</w:t>
      </w:r>
    </w:p>
    <w:p>
      <w:pPr>
        <w:spacing w:after="160" w:before="0" w:line="300"/>
        <w:jc w:val="left"/>
      </w:pPr>
      <w:r>
        <w:rPr>
          <w:rFonts w:ascii="Nunito Sans" w:cs="Nunito Sans" w:eastAsia="Nunito Sans" w:hAnsi="Nunito Sans"/>
          <w:b/>
          <w:bCs/>
          <w:color w:val="111820"/>
          <w:sz w:val="21"/>
          <w:szCs w:val="21"/>
        </w:rPr>
        <w:t xml:space="preserve">Approve → </w:t>
      </w:r>
      <w:r>
        <w:rPr>
          <w:rFonts w:ascii="Nunito Sans" w:cs="Nunito Sans" w:eastAsia="Nunito Sans" w:hAnsi="Nunito Sans"/>
          <w:b w:val="false"/>
          <w:bCs w:val="false"/>
          <w:i w:val="false"/>
          <w:iCs w:val="false"/>
          <w:color w:val="666666"/>
          <w:sz w:val="21"/>
          <w:szCs w:val="21"/>
        </w:rPr>
        <w:t xml:space="preserve">Step 3 — APPROVE: The Dispute Approval Bot (#113) performs the final gate check. It confirms the member has not exceeded the 5-dispute-per-bureau limit, verifies the dispute aligns with the active tradeline strategy, and stamps the document as approved with a timestamp and approval ID.</w:t>
      </w:r>
    </w:p>
    <w:p>
      <w:pPr>
        <w:spacing w:after="160" w:before="0" w:line="300"/>
        <w:jc w:val="left"/>
      </w:pPr>
      <w:r>
        <w:rPr>
          <w:rFonts w:ascii="Nunito Sans" w:cs="Nunito Sans" w:eastAsia="Nunito Sans" w:hAnsi="Nunito Sans"/>
          <w:b/>
          <w:bCs/>
          <w:color w:val="111820"/>
          <w:sz w:val="21"/>
          <w:szCs w:val="21"/>
        </w:rPr>
        <w:t xml:space="preserve">Upload → </w:t>
      </w:r>
      <w:r>
        <w:rPr>
          <w:rFonts w:ascii="Nunito Sans" w:cs="Nunito Sans" w:eastAsia="Nunito Sans" w:hAnsi="Nunito Sans"/>
          <w:b w:val="false"/>
          <w:bCs w:val="false"/>
          <w:i w:val="false"/>
          <w:iCs w:val="false"/>
          <w:color w:val="666666"/>
          <w:sz w:val="21"/>
          <w:szCs w:val="21"/>
        </w:rPr>
        <w:t xml:space="preserve">Step 4 — UPLOAD &amp; ACCESS: The Dispute Upload Bot (#114) pushes the approved document to BitDocs (hirecar.bitdocs.ai) and the member's Document Vault. Download access is gated by client milestones — the member can only download and send the letter once they have completed the prerequisite steps in their credit playbook (e.g., pulled fresh credit report, verified dispute items, completed prep checklist).</w:t>
      </w:r>
    </w:p>
    <w:p>
      <w:pPr>
        <w:spacing w:after="100" w:before="200"/>
      </w:pPr>
      <w:r>
        <w:rPr>
          <w:rFonts w:ascii="Nunito Sans" w:cs="Nunito Sans" w:eastAsia="Nunito Sans" w:hAnsi="Nunito Sans"/>
          <w:b/>
          <w:bCs/>
          <w:color w:val="C9920A"/>
          <w:sz w:val="22"/>
          <w:szCs w:val="22"/>
        </w:rPr>
        <w:t xml:space="preserve">Milestone-Gated Download Logic</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Documents are not simply available after approval. Each document type has prerequisites the member must complete before download unlocks. For dispute letters: the member must have (1) uploaded their current credit report within the last 30 days, (2) confirmed the items they are disputing in the Dispute Builder, and (3) completed the 'Dispute Prep' checklist in their playbook. For First Class+ members, the concierge mailing service bypasses the download step entirely — the letter is mailed on the member's behalf.</w:t>
      </w:r>
    </w:p>
    <w:p>
      <w:r>
        <w:br w:type="page"/>
      </w:r>
    </w:p>
    <w:p>
      <w:pPr>
        <w:pStyle w:val="Heading1"/>
      </w:pPr>
      <w:r>
        <w:rPr>
          <w:rFonts w:ascii="Cormorant Garamond" w:cs="Cormorant Garamond" w:eastAsia="Cormorant Garamond" w:hAnsi="Cormorant Garamond"/>
          <w:color w:val="111820"/>
        </w:rPr>
        <w:t xml:space="preserve">3. Funding Department Expansion (Dept 8 — Enhanced)</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current Funding department has 5 bots focused on pre-qualification, matching, ROI modeling, and document prep. This expansion adds a Manager Bot, a QA Bot, and a Readiness Testing bot that assesses credit and funding readiness for both internal staff review and client milestone tracking.</w:t>
      </w:r>
    </w:p>
    <w:p>
      <w:pPr>
        <w:pStyle w:val="Heading2"/>
      </w:pPr>
      <w:r>
        <w:rPr>
          <w:rFonts w:ascii="Cormorant Garamond" w:cs="Cormorant Garamond" w:eastAsia="Cormorant Garamond" w:hAnsi="Cormorant Garamond"/>
          <w:color w:val="0F4C75"/>
        </w:rPr>
        <w:t xml:space="preserve">New Funding 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52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2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16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Role</w:t>
            </w:r>
          </w:p>
        </w:tc>
        <w:tc>
          <w:tcPr>
            <w:tcW w:type="dxa" w:w="52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Function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Readiness Tester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Readiness Assessor</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Tests member's credit score, debt-to-income, business history, and compliance status against funding program requirements. Produces a readiness scorecard visible to both the member (gamified) and internal staff (detailed). Gates funding applications — members cannot apply until readiness score meets threshold.</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118</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QA Bot</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Quality Assurance</w:t>
            </w:r>
          </w:p>
        </w:tc>
        <w:tc>
          <w:tcPr>
            <w:tcW w:type="dxa" w:w="52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Audits funding applications before submission to lenders. Checks for completeness, accuracy, and red flags. Validates that member's profile matches the program requirements identified by the Funding Match Engine (#40). Catches errors before they reach a lender.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Manager Bot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Department Manager</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Oversees the funding pipeline: tracks applications in progress, monitors approval rates, manages relationships with funding partners, generates weekly funding department metrics, handles escalations from QA.</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120</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Review Bot</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Application Reviewer</w:t>
            </w:r>
          </w:p>
        </w:tc>
        <w:tc>
          <w:tcPr>
            <w:tcW w:type="dxa" w:w="52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Performs detailed review of funding packages assembled by Document Prep Bot (#42). Ensures all supporting documents are present, financials are consistent, business plan aligns with funding type, and the application tells a coherent story.</w:t>
            </w:r>
          </w:p>
        </w:tc>
      </w:tr>
    </w:tbl>
    <w:p>
      <w:pPr>
        <w:spacing w:after="0" w:before="100"/>
      </w:pPr>
    </w:p>
    <w:p>
      <w:pPr>
        <w:spacing w:after="100" w:before="200"/>
      </w:pPr>
      <w:r>
        <w:rPr>
          <w:rFonts w:ascii="Nunito Sans" w:cs="Nunito Sans" w:eastAsia="Nunito Sans" w:hAnsi="Nunito Sans"/>
          <w:b/>
          <w:bCs/>
          <w:color w:val="C9920A"/>
          <w:sz w:val="22"/>
          <w:szCs w:val="22"/>
        </w:rPr>
        <w:t xml:space="preserve">Readiness Testing — Internal Staff View vs. Client View</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Funding Readiness Tester (#117) produces two outputs from the same assessment. The Client View is gamified: it shows a readiness percentage, highlights what the member has already achieved, presents remaining requirements as achievable quests, and awards XP for each requirement met. The Staff View is analytical: it shows raw scores, risk factors, likelihood of approval per program, and recommended actions for the advisor to take. Staff can flag a member as 'ready for outreach' or 'needs more prep time' — this status feeds into the Ops Command Center (#104) and sales digests.</w:t>
      </w:r>
    </w:p>
    <w:p>
      <w:r>
        <w:br w:type="page"/>
      </w:r>
    </w:p>
    <w:p>
      <w:pPr>
        <w:pStyle w:val="Heading1"/>
      </w:pPr>
      <w:r>
        <w:rPr>
          <w:rFonts w:ascii="Cormorant Garamond" w:cs="Cormorant Garamond" w:eastAsia="Cormorant Garamond" w:hAnsi="Cormorant Garamond"/>
          <w:color w:val="111820"/>
        </w:rPr>
        <w:t xml:space="preserve">4. Accounting Automation (Dept 12 — Enhanced)</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current Accounting department handles invoicing, payment plans, and follow-ups. But it lacks sequential document numbering, purchase order generation, sales order workflows, and template-based terms and conditions. These new bots formalize accounting into a proper order-to-cash pipeline.</w:t>
      </w:r>
    </w:p>
    <w:p>
      <w:pPr>
        <w:pStyle w:val="Heading2"/>
      </w:pPr>
      <w:r>
        <w:rPr>
          <w:rFonts w:ascii="Cormorant Garamond" w:cs="Cormorant Garamond" w:eastAsia="Cormorant Garamond" w:hAnsi="Cormorant Garamond"/>
          <w:color w:val="0F4C75"/>
        </w:rPr>
        <w:t xml:space="preserve">New Accounting 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400"/>
        <w:gridCol w:w="53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21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1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Role</w:t>
            </w:r>
          </w:p>
        </w:tc>
        <w:tc>
          <w:tcPr>
            <w:tcW w:type="dxa" w:w="53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Function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Invoice Generator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Document Creator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Creates sequentially numbered invoices (INV-2026-00001, INV-2026-00002, etc.) from approved templates. Each invoice includes: line items from the service record, applicable terms &amp; conditions, payment methods (Stripe/PayPal/CashApp), due date, and late fee schedule. Invoices are generated as PDF via BitDocs templates.</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122</w:t>
            </w:r>
          </w:p>
        </w:tc>
        <w:tc>
          <w:tcPr>
            <w:tcW w:type="dxa" w:w="21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Purchase Order Bot</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PO Generator</w:t>
            </w:r>
          </w:p>
        </w:tc>
        <w:tc>
          <w:tcPr>
            <w:tcW w:type="dxa" w:w="5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Creates sequentially numbered purchase orders (PO-2026-00001) when HIRECAR procures services from suppliers. Links to approved vendor in HQ, references negotiated rates, includes delivery timeline, and requires Department Lead approval for POs over $500.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Sales Order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SO Generator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Creates sequentially numbered sales orders (SO-2026-00001) when a member purchases a service package. The SO captures: services included, pricing, payment schedule, terms &amp; conditions, and member acknowledgment. SOs feed into the Invoice Generator for billing.</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124</w:t>
            </w:r>
          </w:p>
        </w:tc>
        <w:tc>
          <w:tcPr>
            <w:tcW w:type="dxa" w:w="21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Terms &amp; Conditions Bot</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Template Manager</w:t>
            </w:r>
          </w:p>
        </w:tc>
        <w:tc>
          <w:tcPr>
            <w:tcW w:type="dxa" w:w="5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Manages approved T&amp;C templates for each service type. When a new service is created or an existing one changes, this bot generates the updated T&amp;C, routes it for legal review, and versions it. All invoices and SOs reference the active T&amp;C version.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Manager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Department Manager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Oversees order-to-cash pipeline: monitors invoice aging, PO compliance, SO conversion rates, and reconciliation status. Generates monthly accounting reports. Escalates overdue items per the aging protocol (30→Dept Lead, 60→escalation, 90→Platform Admin).</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126</w:t>
            </w:r>
          </w:p>
        </w:tc>
        <w:tc>
          <w:tcPr>
            <w:tcW w:type="dxa" w:w="21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QA Bot</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Quality Assurance</w:t>
            </w:r>
          </w:p>
        </w:tc>
        <w:tc>
          <w:tcPr>
            <w:tcW w:type="dxa" w:w="53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Audits financial documents for accuracy: validates math on invoices, checks T&amp;C version references, ensures sequential numbering has no gaps, verifies tax calculations, and confirms payment allocations match.</w:t>
            </w:r>
          </w:p>
        </w:tc>
      </w:tr>
    </w:tbl>
    <w:p>
      <w:pPr>
        <w:spacing w:after="0" w:before="100"/>
      </w:pPr>
    </w:p>
    <w:p>
      <w:pPr>
        <w:spacing w:after="100" w:before="200"/>
      </w:pPr>
      <w:r>
        <w:rPr>
          <w:rFonts w:ascii="Nunito Sans" w:cs="Nunito Sans" w:eastAsia="Nunito Sans" w:hAnsi="Nunito Sans"/>
          <w:b/>
          <w:bCs/>
          <w:color w:val="C9920A"/>
          <w:sz w:val="22"/>
          <w:szCs w:val="22"/>
        </w:rPr>
        <w:t xml:space="preserve">Sequential Numbering System</w:t>
      </w:r>
    </w:p>
    <w:p>
      <w:pPr>
        <w:spacing w:after="160" w:before="0" w:line="300"/>
        <w:jc w:val="left"/>
      </w:pPr>
      <w:r>
        <w:rPr>
          <w:rFonts w:ascii="Nunito Sans" w:cs="Nunito Sans" w:eastAsia="Nunito Sans" w:hAnsi="Nunito Sans"/>
          <w:b/>
          <w:bCs/>
          <w:color w:val="111820"/>
          <w:sz w:val="21"/>
          <w:szCs w:val="21"/>
        </w:rPr>
        <w:t xml:space="preserve">Format: </w:t>
      </w:r>
      <w:r>
        <w:rPr>
          <w:rFonts w:ascii="Nunito Sans" w:cs="Nunito Sans" w:eastAsia="Nunito Sans" w:hAnsi="Nunito Sans"/>
          <w:b w:val="false"/>
          <w:bCs w:val="false"/>
          <w:i w:val="false"/>
          <w:iCs w:val="false"/>
          <w:color w:val="666666"/>
          <w:sz w:val="21"/>
          <w:szCs w:val="21"/>
        </w:rPr>
        <w:t xml:space="preserve">All financial documents follow a consistent numbering format: [TYPE]-[YEAR]-[SEQUENTIAL 5-DIGIT]. Types: INV (Invoice), PO (Purchase Order), SO (Sales Order), CR (Credit Note), RFQ (Request for Quote). The numbering sequence is atomic — no two documents can share a number, and gaps are flagged by the QA Bot for investigation. The system maintains a separate counter per document type per year.</w:t>
      </w:r>
    </w:p>
    <w:p>
      <w:r>
        <w:br w:type="page"/>
      </w:r>
    </w:p>
    <w:p>
      <w:pPr>
        <w:pStyle w:val="Heading1"/>
      </w:pPr>
      <w:r>
        <w:rPr>
          <w:rFonts w:ascii="Cormorant Garamond" w:cs="Cormorant Garamond" w:eastAsia="Cormorant Garamond" w:hAnsi="Cormorant Garamond"/>
          <w:color w:val="111820"/>
        </w:rPr>
        <w:t xml:space="preserve">5. Enrollment Bot Expansion — PassKit, BitDocs &amp; Playbook Access</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Enrollment Bot (#101) is expanding beyond simple lead-to-member conversion. It now owns the full intake intelligence cycle: locating and analyzing client goals, matching them to the right program, drafting PassKit membership card details, generating playbook access when a credit program is purchased, and providing text-based help throughout the process.</w:t>
      </w:r>
    </w:p>
    <w:p>
      <w:pPr>
        <w:pStyle w:val="Heading2"/>
      </w:pPr>
      <w:r>
        <w:rPr>
          <w:rFonts w:ascii="Cormorant Garamond" w:cs="Cormorant Garamond" w:eastAsia="Cormorant Garamond" w:hAnsi="Cormorant Garamond"/>
          <w:color w:val="0F4C75"/>
        </w:rPr>
        <w:t xml:space="preserve">Expanded Enrollment Pipeline</w:t>
      </w:r>
    </w:p>
    <w:p>
      <w:pPr>
        <w:spacing w:after="100" w:before="200"/>
      </w:pPr>
      <w:r>
        <w:rPr>
          <w:rFonts w:ascii="Nunito Sans" w:cs="Nunito Sans" w:eastAsia="Nunito Sans" w:hAnsi="Nunito Sans"/>
          <w:b/>
          <w:bCs/>
          <w:color w:val="C9920A"/>
          <w:sz w:val="22"/>
          <w:szCs w:val="22"/>
        </w:rPr>
        <w:t xml:space="preserve">Step 1 — Goal &amp; Requirement Analysis</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When a new member enrolls, the Enrollment Bot (#101) conducts an interactive intake that goes beyond basic profile data. It asks: What brought you to HIRECAR? What is your primary goal? (Credit repair, collision recovery, fleet expansion, compliance, etc.) What is your timeline? What resources do you currently have? The Situation Qualifier (#105) then scores these inputs against available programs and recommends a service package and phase entry point.</w:t>
      </w:r>
    </w:p>
    <w:p>
      <w:pPr>
        <w:spacing w:after="100" w:before="200"/>
      </w:pPr>
      <w:r>
        <w:rPr>
          <w:rFonts w:ascii="Nunito Sans" w:cs="Nunito Sans" w:eastAsia="Nunito Sans" w:hAnsi="Nunito Sans"/>
          <w:b/>
          <w:bCs/>
          <w:color w:val="C9920A"/>
          <w:sz w:val="22"/>
          <w:szCs w:val="22"/>
        </w:rPr>
        <w:t xml:space="preserve">Step 2 — Program Matching &amp; Playbook Assignment</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When the member purchases a credit-related program, the enrollment triggers automatic playbook access. The system queries BitDocs (hirecar.bitdocs.ai) for the Q1 playbook associated with that program tier. The playbook is assembled from modular sections stored in BitDocs — each section corresponds to a phase of the member's journey. The Enrollment Bot links the member's account to their assigned playbook and unlocks the first chapter.</w:t>
      </w:r>
    </w:p>
    <w:p>
      <w:pPr>
        <w:spacing w:after="100" w:before="200"/>
      </w:pPr>
      <w:r>
        <w:rPr>
          <w:rFonts w:ascii="Nunito Sans" w:cs="Nunito Sans" w:eastAsia="Nunito Sans" w:hAnsi="Nunito Sans"/>
          <w:b/>
          <w:bCs/>
          <w:color w:val="C9920A"/>
          <w:sz w:val="22"/>
          <w:szCs w:val="22"/>
        </w:rPr>
        <w:t xml:space="preserve">Step 3 — PassKit Membership Card</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Enrollment Bot drafts the member's PassKit digital membership card details. This includes: member name, tier level, member ID, enrollment date, assigned program, QR code linking to their member portal, and the HIRECAR branding. The PassKit card is delivered to the member's Apple Wallet or Google Wallet. As the member progresses through tiers, the card design updates automatically — Standard is silver, Operator is gold, First Class is black, and Elite is holographic.</w:t>
      </w:r>
    </w:p>
    <w:p>
      <w:pPr>
        <w:pStyle w:val="Heading2"/>
      </w:pPr>
      <w:r>
        <w:rPr>
          <w:rFonts w:ascii="Cormorant Garamond" w:cs="Cormorant Garamond" w:eastAsia="Cormorant Garamond" w:hAnsi="Cormorant Garamond"/>
          <w:color w:val="0F4C75"/>
        </w:rPr>
        <w:t xml:space="preserve">New Enrollment Support 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54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2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1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Role</w:t>
            </w:r>
          </w:p>
        </w:tc>
        <w:tc>
          <w:tcPr>
            <w:tcW w:type="dxa" w:w="54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Function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PassKit Draft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Card Generator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Generates PassKit membership card data from enrollment profile. Drafts card details including member info, tier badge, QR code payload, and branding assets. Integrates with PassKit API for Apple Wallet / Google Wallet delivery. Updates card on tier change.</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128</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Playbook Access Bot</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Content Gater</w:t>
            </w:r>
          </w:p>
        </w:tc>
        <w:tc>
          <w:tcPr>
            <w:tcW w:type="dxa" w:w="54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Manages playbook access on BitDocs. When a member purchases a credit program, this bot unlocks the corresponding playbook chapters based on their current phase and milestone progress. Tracks playbook completion percentage and feeds it into the gamification engine.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 Text Help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SMS Support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Provides text-based (SMS/WhatsApp) support during the enrollment process. If a member gets stuck on a form, cannot upload a document, or has a question about program options, they can text for help. The bot responds with guided instructions, links, and escalates to human support if needed.</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130</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Goal Alignment Bot</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Intake Intelligence</w:t>
            </w:r>
          </w:p>
        </w:tc>
        <w:tc>
          <w:tcPr>
            <w:tcW w:type="dxa" w:w="54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Analyzes the member's stated goals against HIRECAR's service catalog and creates a personalized roadmap. Maps each goal to specific bots, departments, and milestone targets. Generates a 'Member Success Plan' document stored in BitDocs.</w:t>
            </w:r>
          </w:p>
        </w:tc>
      </w:tr>
    </w:tbl>
    <w:p>
      <w:pPr>
        <w:spacing w:after="0" w:before="100"/>
      </w:pPr>
    </w:p>
    <w:p>
      <w:pPr>
        <w:pStyle w:val="Heading2"/>
      </w:pPr>
      <w:r>
        <w:rPr>
          <w:rFonts w:ascii="Cormorant Garamond" w:cs="Cormorant Garamond" w:eastAsia="Cormorant Garamond" w:hAnsi="Cormorant Garamond"/>
          <w:color w:val="0F4C75"/>
        </w:rPr>
        <w:t xml:space="preserve">BitDocs Integration Architecture</w:t>
      </w:r>
    </w:p>
    <w:p>
      <w:pPr>
        <w:spacing w:after="160" w:before="0" w:line="300"/>
        <w:jc w:val="left"/>
      </w:pPr>
      <w:r>
        <w:rPr>
          <w:rFonts w:ascii="Nunito Sans" w:cs="Nunito Sans" w:eastAsia="Nunito Sans" w:hAnsi="Nunito Sans"/>
          <w:b/>
          <w:bCs/>
          <w:color w:val="111820"/>
          <w:sz w:val="21"/>
          <w:szCs w:val="21"/>
        </w:rPr>
        <w:t xml:space="preserve">Platform: </w:t>
      </w:r>
      <w:r>
        <w:rPr>
          <w:rFonts w:ascii="Nunito Sans" w:cs="Nunito Sans" w:eastAsia="Nunito Sans" w:hAnsi="Nunito Sans"/>
          <w:b w:val="false"/>
          <w:bCs w:val="false"/>
          <w:i w:val="false"/>
          <w:iCs w:val="false"/>
          <w:color w:val="666666"/>
          <w:sz w:val="21"/>
          <w:szCs w:val="21"/>
        </w:rPr>
        <w:t xml:space="preserve">BitDocs (hirecar.bitdocs.ai) serves as the document management platform for playbooks, legal templates, member documents, and operational guides. The integration works through the BitDocs API, which allows bots to create, read, update, and permission documents programmatically.</w:t>
      </w:r>
    </w:p>
    <w:p>
      <w:pPr>
        <w:spacing w:after="160" w:before="0" w:line="300"/>
        <w:jc w:val="left"/>
      </w:pPr>
      <w:r>
        <w:rPr>
          <w:rFonts w:ascii="Nunito Sans" w:cs="Nunito Sans" w:eastAsia="Nunito Sans" w:hAnsi="Nunito Sans"/>
          <w:b/>
          <w:bCs/>
          <w:color w:val="111820"/>
          <w:sz w:val="21"/>
          <w:szCs w:val="21"/>
        </w:rPr>
        <w:t xml:space="preserve">Structure: </w:t>
      </w:r>
      <w:r>
        <w:rPr>
          <w:rFonts w:ascii="Nunito Sans" w:cs="Nunito Sans" w:eastAsia="Nunito Sans" w:hAnsi="Nunito Sans"/>
          <w:b w:val="false"/>
          <w:bCs w:val="false"/>
          <w:i w:val="false"/>
          <w:iCs w:val="false"/>
          <w:color w:val="666666"/>
          <w:sz w:val="21"/>
          <w:szCs w:val="21"/>
        </w:rPr>
        <w:t xml:space="preserve">Each member gets a BitDocs folder linked to their account. Playbooks are stored as shared documents with section-level access control — the Playbook Access Bot (#128) unlocks sections as milestones are met. Dispute letters, invoices, and legal documents are stored in the member's personal vault within BitDocs. Staff have a separate workspace for templates, SOPs, and internal playbooks.</w:t>
      </w:r>
    </w:p>
    <w:p>
      <w:pPr>
        <w:spacing w:after="160" w:before="0" w:line="300"/>
        <w:jc w:val="left"/>
      </w:pPr>
      <w:r>
        <w:rPr>
          <w:rFonts w:ascii="Nunito Sans" w:cs="Nunito Sans" w:eastAsia="Nunito Sans" w:hAnsi="Nunito Sans"/>
          <w:b/>
          <w:bCs/>
          <w:color w:val="111820"/>
          <w:sz w:val="21"/>
          <w:szCs w:val="21"/>
        </w:rPr>
        <w:t xml:space="preserve">Q1 Alignment: </w:t>
      </w:r>
      <w:r>
        <w:rPr>
          <w:rFonts w:ascii="Nunito Sans" w:cs="Nunito Sans" w:eastAsia="Nunito Sans" w:hAnsi="Nunito Sans"/>
          <w:b w:val="false"/>
          <w:bCs w:val="false"/>
          <w:i w:val="false"/>
          <w:iCs w:val="false"/>
          <w:color w:val="666666"/>
          <w:sz w:val="21"/>
          <w:szCs w:val="21"/>
        </w:rPr>
        <w:t xml:space="preserve">The Q1 Playbook aligns with HIRECAR's focus on Engineering Intent and Consent. Each chapter applies Bernays' framework: the first section establishes the theme (why this matters to the member), the second provides the strategy (what steps to take), the third details the approach (specific actions with bot assistance), and the fourth creates the chain reaction (how completing this chapter triggers the next opportunity).</w:t>
      </w:r>
    </w:p>
    <w:p>
      <w:r>
        <w:br w:type="page"/>
      </w:r>
    </w:p>
    <w:p>
      <w:pPr>
        <w:pStyle w:val="Heading1"/>
      </w:pPr>
      <w:r>
        <w:rPr>
          <w:rFonts w:ascii="Cormorant Garamond" w:cs="Cormorant Garamond" w:eastAsia="Cormorant Garamond" w:hAnsi="Cormorant Garamond"/>
          <w:color w:val="111820"/>
        </w:rPr>
        <w:t xml:space="preserve">6. Review &amp; QA Layer — Cross-Department Quality System</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Every department now has a Manager Bot and a QA Bot. The Review Bot sits above department-level QA and performs cross-department quality assurance — ensuring that outputs flowing between departments meet standards on both sides.</w:t>
      </w:r>
    </w:p>
    <w:p>
      <w:pPr>
        <w:pStyle w:val="Heading2"/>
      </w:pPr>
      <w:r>
        <w:rPr>
          <w:rFonts w:ascii="Cormorant Garamond" w:cs="Cormorant Garamond" w:eastAsia="Cormorant Garamond" w:hAnsi="Cormorant Garamond"/>
          <w:color w:val="0F4C75"/>
        </w:rPr>
        <w:t xml:space="preserve">Cross-Department Review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44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2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16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Scope</w:t>
            </w:r>
          </w:p>
        </w:tc>
        <w:tc>
          <w:tcPr>
            <w:tcW w:type="dxa" w:w="44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Function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Cross-Department Review Bot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All Departments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Reviews outputs that cross department boundaries. When a handoff occurs (Credit→Funding, Recovery→Credit, Marketing→Membership, etc.), this bot validates that the context package is complete, the data is accurate, and the receiving department has everything it needs. Flags incomplete handoffs before they reach the destination.</w:t>
            </w:r>
          </w:p>
        </w:tc>
      </w:tr>
    </w:tbl>
    <w:p>
      <w:pPr>
        <w:spacing w:after="0" w:before="100"/>
      </w:pPr>
    </w:p>
    <w:p>
      <w:pPr>
        <w:pStyle w:val="Heading2"/>
      </w:pPr>
      <w:r>
        <w:rPr>
          <w:rFonts w:ascii="Cormorant Garamond" w:cs="Cormorant Garamond" w:eastAsia="Cormorant Garamond" w:hAnsi="Cormorant Garamond"/>
          <w:color w:val="0F4C75"/>
        </w:rPr>
        <w:t xml:space="preserve">Complete Manager &amp; QA Bot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Dept</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Manager Bot</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QA Bot</w:t>
            </w:r>
          </w:p>
        </w:tc>
        <w:tc>
          <w:tcPr>
            <w:tcW w:type="dxa" w:w="3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Scope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#116 Dispute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#115 Dispute QA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pipeline throughput, legal compliance, success rates</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(8)</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#119 Funding Manager</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#118 Funding QA</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Application pipeline, approval rates, lender relationships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#125 Accounting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#126 Accounting QA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Order-to-cash, numbering integrity, reconciliation</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Membership (14)</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#132 Membership Manager*</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#133 Membership QA*</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 pipeline, retention, support SLAs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Marketing (13)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#134 Marketing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#135 Marketing QA*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Campaign performance, lead quality, brand compliance</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HIRECREDIT (1)</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#136 Credit Manager*</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#137 Credit QA*</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Score accuracy, dispute cycles, tradeline strategy effectiveness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Recovery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#138 Recovery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#139 Recovery QA*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Packet quality, SLA compliance, custody chain integrity</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System-Wide</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#110 Triage Bot</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#131 Cross-Dept Review</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Incomplete task resubmission, cross-boundary quality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Governance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#0 Chief of Staff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#102 Director Governance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Bot coordination, mission alignment, systemic issues</w:t>
            </w:r>
          </w:p>
        </w:tc>
      </w:tr>
    </w:tbl>
    <w:p>
      <w:pPr>
        <w:spacing w:after="160" w:before="0" w:line="300"/>
        <w:jc w:val="left"/>
      </w:pPr>
      <w:r>
        <w:rPr>
          <w:rFonts w:ascii="Nunito Sans" w:cs="Nunito Sans" w:eastAsia="Nunito Sans" w:hAnsi="Nunito Sans"/>
          <w:b w:val="false"/>
          <w:bCs w:val="false"/>
          <w:i/>
          <w:iCs/>
          <w:color w:val="666666"/>
          <w:sz w:val="17"/>
          <w:szCs w:val="17"/>
        </w:rPr>
        <w:t xml:space="preserve">* Bots #132–#139 are new Manager/QA bots for existing departments, numbered sequentially.</w:t>
      </w:r>
    </w:p>
    <w:p>
      <w:r>
        <w:br w:type="page"/>
      </w:r>
    </w:p>
    <w:p>
      <w:pPr>
        <w:pStyle w:val="Heading1"/>
      </w:pPr>
      <w:r>
        <w:rPr>
          <w:rFonts w:ascii="Cormorant Garamond" w:cs="Cormorant Garamond" w:eastAsia="Cormorant Garamond" w:hAnsi="Cormorant Garamond"/>
          <w:color w:val="111820"/>
        </w:rPr>
        <w:t xml:space="preserve">7. Complete New Bot Registry — #110 to #139</w:t>
      </w:r>
    </w:p>
    <w:p>
      <w:pPr>
        <w:pBdr>
          <w:bottom w:val="single" w:color="C9920A"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3660"/>
      </w:tblGrid>
      <w:tr>
        <w:tc>
          <w:tcPr>
            <w:tcW w:type="dxa" w:w="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w:t>
            </w:r>
          </w:p>
        </w:tc>
        <w:tc>
          <w:tcPr>
            <w:tcW w:type="dxa" w:w="2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Bot Name</w:t>
            </w:r>
          </w:p>
        </w:tc>
        <w:tc>
          <w:tcPr>
            <w:tcW w:type="dxa" w:w="2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Dept</w:t>
            </w:r>
          </w:p>
        </w:tc>
        <w:tc>
          <w:tcPr>
            <w:tcW w:type="dxa" w:w="36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Type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Triage &amp; Resubmission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System-Wide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111</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Draft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Member-Facing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Review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113</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Approval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Gate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Upload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115</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QA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Manager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Dispute (16)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117</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Readiness Tester</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(8)</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Dual (Member + Staff)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QA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119</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Manager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(8)</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Review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121</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Invoice Generator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Purchase Order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123</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Sales Order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Terms &amp; Conditions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125</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Manager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QA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Accounting (12)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127</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PassKit Draft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Playbook Access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129</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 Text Help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Member-Facing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Goal Alignment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Member-Facing</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131</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Cross-Department Review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System-Wide</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Membership Manager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Membership (14)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133</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Membership QA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Membership (14)</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Marketing Manager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Marketing (13)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135</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Marketing QA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Marketing (13)</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Manager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HIRECREDIT (1)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137</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QA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HIRECREDIT (1)</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Recovery Manager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Recovery (3)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w:t>
            </w:r>
          </w:p>
        </w:tc>
      </w:tr>
      <w:tr>
        <w:tc>
          <w:tcPr>
            <w:tcW w:type="dxa" w:w="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139</w:t>
            </w:r>
          </w:p>
        </w:tc>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Recovery QA Bot</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Recovery (3)</w:t>
            </w:r>
          </w:p>
        </w:tc>
        <w:tc>
          <w:tcPr>
            <w:tcW w:type="dxa" w:w="36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w:t>
            </w:r>
          </w:p>
        </w:tc>
      </w:tr>
    </w:tbl>
    <w:p>
      <w:pPr>
        <w:spacing w:after="0" w:before="100"/>
      </w:pPr>
    </w:p>
    <w:p>
      <w:pPr>
        <w:pStyle w:val="Heading2"/>
      </w:pPr>
      <w:r>
        <w:rPr>
          <w:rFonts w:ascii="Cormorant Garamond" w:cs="Cormorant Garamond" w:eastAsia="Cormorant Garamond" w:hAnsi="Cormorant Garamond"/>
          <w:color w:val="0F4C75"/>
        </w:rPr>
        <w:t xml:space="preserve">Updated System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Metric</w:t>
            </w:r>
          </w:p>
        </w:tc>
        <w:tc>
          <w:tcPr>
            <w:tcW w:type="dxa" w:w="2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Previous (v5)</w:t>
            </w:r>
          </w:p>
        </w:tc>
        <w:tc>
          <w:tcPr>
            <w:tcW w:type="dxa" w:w="2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Current (v6)</w:t>
            </w:r>
          </w:p>
        </w:tc>
        <w:tc>
          <w:tcPr>
            <w:tcW w:type="dxa" w:w="2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Change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Total Bots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140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+30</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Departments</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15</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16 + Enrollment sub-dept</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 new + 1 restructured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Manager Bots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+8 (every dept covered)</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QA Bots</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0</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8</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+8 (every dept covered)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Gate Bots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 (Dispute Approval)</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Member-Facing Bots</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62</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66</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System Bots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38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+14</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Triage Coverage</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None</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100% of bot outputs</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Full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Document Templates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Ad-hoc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BitDocs managed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Centralized</w:t>
            </w:r>
          </w:p>
        </w:tc>
      </w:tr>
      <w:tr>
        <w:tc>
          <w:tcPr>
            <w:tcW w:type="dxa" w:w="2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Financial Doc Numbering</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None</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Sequential per type/year</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Formalized</w:t>
            </w:r>
          </w:p>
        </w:tc>
      </w:tr>
    </w:tbl>
    <w:p>
      <w:r>
        <w:br w:type="page"/>
      </w:r>
    </w:p>
    <w:p>
      <w:pPr>
        <w:pStyle w:val="Heading1"/>
      </w:pPr>
      <w:r>
        <w:rPr>
          <w:rFonts w:ascii="Cormorant Garamond" w:cs="Cormorant Garamond" w:eastAsia="Cormorant Garamond" w:hAnsi="Cormorant Garamond"/>
          <w:color w:val="111820"/>
        </w:rPr>
        <w:t xml:space="preserve">8. Gaming, Milestone &amp; Staff Readiness Testing</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new bots integrate directly into the existing gamification engine and milestone system. Here is how the readiness testing, QA, and document pipeline connect to member-facing scoring and staff visibility.</w:t>
      </w:r>
    </w:p>
    <w:p>
      <w:pPr>
        <w:pStyle w:val="Heading2"/>
      </w:pPr>
      <w:r>
        <w:rPr>
          <w:rFonts w:ascii="Cormorant Garamond" w:cs="Cormorant Garamond" w:eastAsia="Cormorant Garamond" w:hAnsi="Cormorant Garamond"/>
          <w:color w:val="0F4C75"/>
        </w:rPr>
        <w:t xml:space="preserve">Credit &amp; Funding Readiness — Dual Output</w:t>
      </w:r>
    </w:p>
    <w:p>
      <w:pPr>
        <w:spacing w:after="160" w:before="0" w:line="300"/>
        <w:jc w:val="left"/>
      </w:pPr>
      <w:r>
        <w:rPr>
          <w:rFonts w:ascii="Nunito Sans" w:cs="Nunito Sans" w:eastAsia="Nunito Sans" w:hAnsi="Nunito Sans"/>
          <w:b/>
          <w:bCs/>
          <w:color w:val="111820"/>
          <w:sz w:val="21"/>
          <w:szCs w:val="21"/>
        </w:rPr>
        <w:t xml:space="preserve">How it works: </w:t>
      </w:r>
      <w:r>
        <w:rPr>
          <w:rFonts w:ascii="Nunito Sans" w:cs="Nunito Sans" w:eastAsia="Nunito Sans" w:hAnsi="Nunito Sans"/>
          <w:b w:val="false"/>
          <w:bCs w:val="false"/>
          <w:i w:val="false"/>
          <w:iCs w:val="false"/>
          <w:color w:val="666666"/>
          <w:sz w:val="21"/>
          <w:szCs w:val="21"/>
        </w:rPr>
        <w:t xml:space="preserve">The Funding Readiness Tester (#117) and the Credit QA Bot (#137) both produce readiness assessments that feed into two channels simultaneously.</w:t>
      </w:r>
    </w:p>
    <w:p>
      <w:pPr>
        <w:spacing w:after="160" w:before="0" w:line="300"/>
        <w:jc w:val="left"/>
      </w:pPr>
      <w:r>
        <w:rPr>
          <w:rFonts w:ascii="Nunito Sans" w:cs="Nunito Sans" w:eastAsia="Nunito Sans" w:hAnsi="Nunito Sans"/>
          <w:b/>
          <w:bCs/>
          <w:color w:val="111820"/>
          <w:sz w:val="21"/>
          <w:szCs w:val="21"/>
        </w:rPr>
        <w:t xml:space="preserve">Member View (Gamified): </w:t>
      </w:r>
      <w:r>
        <w:rPr>
          <w:rFonts w:ascii="Nunito Sans" w:cs="Nunito Sans" w:eastAsia="Nunito Sans" w:hAnsi="Nunito Sans"/>
          <w:b w:val="false"/>
          <w:bCs w:val="false"/>
          <w:i w:val="false"/>
          <w:iCs w:val="false"/>
          <w:color w:val="666666"/>
          <w:sz w:val="21"/>
          <w:szCs w:val="21"/>
        </w:rPr>
        <w:t xml:space="preserve">On the member side, readiness scores appear as quests in the gamification engine. 'Reach 85% Funding Readiness' becomes a trackable quest with XP rewards at 25%, 50%, 75%, and 100% milestones. The member sees their progress as a visual bar with clear next steps. Completing readiness unlocks the ability to submit funding applications — it is a gate, but it feels like an achievement.</w:t>
      </w:r>
    </w:p>
    <w:p>
      <w:pPr>
        <w:spacing w:after="160" w:before="0" w:line="300"/>
        <w:jc w:val="left"/>
      </w:pPr>
      <w:r>
        <w:rPr>
          <w:rFonts w:ascii="Nunito Sans" w:cs="Nunito Sans" w:eastAsia="Nunito Sans" w:hAnsi="Nunito Sans"/>
          <w:b/>
          <w:bCs/>
          <w:color w:val="111820"/>
          <w:sz w:val="21"/>
          <w:szCs w:val="21"/>
        </w:rPr>
        <w:t xml:space="preserve">Staff View (Analytical): </w:t>
      </w:r>
      <w:r>
        <w:rPr>
          <w:rFonts w:ascii="Nunito Sans" w:cs="Nunito Sans" w:eastAsia="Nunito Sans" w:hAnsi="Nunito Sans"/>
          <w:b w:val="false"/>
          <w:bCs w:val="false"/>
          <w:i w:val="false"/>
          <w:iCs w:val="false"/>
          <w:color w:val="666666"/>
          <w:sz w:val="21"/>
          <w:szCs w:val="21"/>
        </w:rPr>
        <w:t xml:space="preserve">On the staff side, the same readiness data appears in the Ops Command Center (#104) as a pipeline view. Staff see: member name, readiness percentage, blocking items, days in current status, and recommended advisor actions. Staff can mark members as 'ready for outreach' or 'needs intervention,' which triggers the appropriate bot response. This data also flows into the daily ops and sales digests.</w:t>
      </w:r>
    </w:p>
    <w:p>
      <w:pPr>
        <w:pStyle w:val="Heading2"/>
      </w:pPr>
      <w:r>
        <w:rPr>
          <w:rFonts w:ascii="Cormorant Garamond" w:cs="Cormorant Garamond" w:eastAsia="Cormorant Garamond" w:hAnsi="Cormorant Garamond"/>
          <w:color w:val="0F4C75"/>
        </w:rPr>
        <w:t xml:space="preserve">Milestone-Gated Access Model</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Playbook Access Bot (#128) and Dispute Upload Bot (#114) both use milestone-gated access. Documents and content are staged but not accessible until the member reaches the required milestone. This creates a pull dynamic rather than push — the member works toward unlocking their next resource, which is a core Bernays consent engineering principle: the member's own effort creates the conditions for the next value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Content Type</w:t>
            </w:r>
          </w:p>
        </w:tc>
        <w:tc>
          <w:tcPr>
            <w:tcW w:type="dxa" w:w="4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Gate Condition</w:t>
            </w:r>
          </w:p>
        </w:tc>
        <w:tc>
          <w:tcPr>
            <w:tcW w:type="dxa" w:w="27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tcPr>
          <w:p>
            <w:pPr>
              <w:jc w:val="left"/>
            </w:pPr>
            <w:r>
              <w:rPr>
                <w:rFonts w:ascii="Nunito Sans" w:cs="Nunito Sans" w:eastAsia="Nunito Sans" w:hAnsi="Nunito Sans"/>
                <w:b/>
                <w:bCs/>
                <w:color w:val="FFFFFF"/>
                <w:sz w:val="17"/>
                <w:szCs w:val="17"/>
              </w:rPr>
              <w:t xml:space="preserve">Unlock 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Letter (download)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Credit report uploaded &lt;30 days + dispute items confirmed + prep checklist done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Dispute Approval Bot #113 stamps 'approved'</w:t>
            </w:r>
          </w:p>
        </w:tc>
      </w:tr>
      <w:tr>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Playbook Chapter (next)</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Previous chapter completed + quiz passed (if applicable)</w:t>
            </w:r>
          </w:p>
        </w:tc>
        <w:tc>
          <w:tcPr>
            <w:tcW w:type="dxa" w:w="2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Playbook Access Bot #128 unlocks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Application (submit)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Readiness score ≥ threshold per program + all documents uploaded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Funding Readiness Tester #117 clears</w:t>
            </w:r>
          </w:p>
        </w:tc>
      </w:tr>
      <w:tr>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PassKit Card (upgrade)</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New tier reached via XP accumulation</w:t>
            </w:r>
          </w:p>
        </w:tc>
        <w:tc>
          <w:tcPr>
            <w:tcW w:type="dxa" w:w="2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Tier Progression Coach #7 triggers PassKit Draft Bot #127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Invoice (download)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Service confirmed + T&amp;C acknowledged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Sales Order Bot #123 generates → Invoice Generator #121 creates</w:t>
            </w:r>
          </w:p>
        </w:tc>
      </w:tr>
      <w:tr>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Member Success Plan</w:t>
            </w:r>
          </w:p>
        </w:tc>
        <w:tc>
          <w:tcPr>
            <w:tcW w:type="dxa" w:w="4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Enrollment complete + Goal Alignment Bot analysis done</w:t>
            </w:r>
          </w:p>
        </w:tc>
        <w:tc>
          <w:tcPr>
            <w:tcW w:type="dxa" w:w="2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tcPr>
          <w:p>
            <w:pPr>
              <w:jc w:val="left"/>
            </w:pPr>
            <w:r>
              <w:rPr>
                <w:rFonts w:ascii="Nunito Sans" w:cs="Nunito Sans" w:eastAsia="Nunito Sans" w:hAnsi="Nunito Sans"/>
                <w:b w:val="false"/>
                <w:bCs w:val="false"/>
                <w:color w:val="111820"/>
                <w:sz w:val="17"/>
                <w:szCs w:val="17"/>
              </w:rPr>
              <w:t xml:space="preserve">Goal Alignment Bot #130 publishes to BitDocs</w:t>
            </w:r>
          </w:p>
        </w:tc>
      </w:tr>
    </w:tbl>
    <w:p>
      <w:r>
        <w:br w:type="page"/>
      </w:r>
    </w:p>
    <w:p>
      <w:pPr>
        <w:pStyle w:val="Heading1"/>
      </w:pPr>
      <w:r>
        <w:rPr>
          <w:rFonts w:ascii="Cormorant Garamond" w:cs="Cormorant Garamond" w:eastAsia="Cormorant Garamond" w:hAnsi="Cormorant Garamond"/>
          <w:color w:val="111820"/>
        </w:rPr>
        <w:t xml:space="preserve">9. What This Means — Summary</w:t>
      </w:r>
    </w:p>
    <w:p>
      <w:pPr>
        <w:pBdr>
          <w:bottom w:val="single" w:color="C9920A" w:sz="4" w:space="1"/>
        </w:pBdr>
        <w:spacing w:after="100" w:before="100"/>
      </w:pP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This v6 architecture adds 30 new bots and formalizes the quality, governance, and document management layers that were missing. Every department now has a Manager and QA bot. Incomplete tasks get caught by the Triage Bot and resubmitted with instructions. Credit disputes flow through a proper legal document pipeline. Financial documents are sequentially numbered and template-based. Members get PassKit digital cards and BitDocs-hosted playbooks that unlock as they progress. And every readiness assessment serves double duty — gamified for the member, analytical for the staff.</w:t>
      </w:r>
    </w:p>
    <w:p>
      <w:pPr>
        <w:spacing w:after="160" w:before="0" w:line="300"/>
        <w:jc w:val="left"/>
      </w:pPr>
      <w:r>
        <w:rPr>
          <w:rFonts w:ascii="Nunito Sans" w:cs="Nunito Sans" w:eastAsia="Nunito Sans" w:hAnsi="Nunito Sans"/>
          <w:b w:val="false"/>
          <w:bCs w:val="false"/>
          <w:i w:val="false"/>
          <w:iCs w:val="false"/>
          <w:color w:val="666666"/>
          <w:sz w:val="21"/>
          <w:szCs w:val="21"/>
        </w:rPr>
        <w:t xml:space="preserve">The total system is now 140 bots across 16 departments plus the enrollment sub-department, with 6 QA layers (Triage, Cross-Department Review, and 4 department-level QA bots with more to follow), 8 Manager bots, and full BitDocs integration for document management and playbook hosting.</w:t>
      </w:r>
    </w:p>
    <w:p>
      <w:pPr>
        <w:spacing w:after="160" w:before="0" w:line="300"/>
        <w:jc w:val="left"/>
      </w:pPr>
      <w:r>
        <w:rPr>
          <w:rFonts w:ascii="Nunito Sans" w:cs="Nunito Sans" w:eastAsia="Nunito Sans" w:hAnsi="Nunito Sans"/>
          <w:b/>
          <w:bCs/>
          <w:i w:val="false"/>
          <w:iCs w:val="false"/>
          <w:color w:val="111820"/>
          <w:sz w:val="24"/>
          <w:szCs w:val="24"/>
        </w:rPr>
        <w:t xml:space="preserve">Engineering consent, not just delivering services.</w:t>
      </w:r>
    </w:p>
    <w:p>
      <w:pPr>
        <w:spacing w:after="0" w:before="300"/>
      </w:pPr>
    </w:p>
    <w:p>
      <w:pPr>
        <w:pBdr>
          <w:bottom w:val="single" w:color="C9920A" w:sz="4" w:space="1"/>
        </w:pBdr>
        <w:spacing w:after="100" w:before="100"/>
      </w:pPr>
    </w:p>
    <w:p>
      <w:pPr>
        <w:spacing w:after="160" w:before="0" w:line="300"/>
        <w:jc w:val="center"/>
      </w:pPr>
      <w:r>
        <w:rPr>
          <w:rFonts w:ascii="Nunito Sans" w:cs="Nunito Sans" w:eastAsia="Nunito Sans" w:hAnsi="Nunito Sans"/>
          <w:b w:val="false"/>
          <w:bCs w:val="false"/>
          <w:i/>
          <w:iCs/>
          <w:color w:val="C9920A"/>
          <w:sz w:val="21"/>
          <w:szCs w:val="21"/>
        </w:rPr>
        <w:t xml:space="preserve">HIRECAR, LLC dba HIRECREDIT — Expanded Architecture v6</w:t>
      </w:r>
    </w:p>
    <w:p>
      <w:pPr>
        <w:spacing w:after="160" w:before="0" w:line="300"/>
        <w:jc w:val="center"/>
      </w:pPr>
      <w:r>
        <w:rPr>
          <w:rFonts w:ascii="Nunito Sans" w:cs="Nunito Sans" w:eastAsia="Nunito Sans" w:hAnsi="Nunito Sans"/>
          <w:b w:val="false"/>
          <w:bCs w:val="false"/>
          <w:i/>
          <w:iCs/>
          <w:color w:val="666666"/>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Nunito Sans" w:cs="Nunito Sans" w:eastAsia="Nunito Sans" w:hAnsi="Nunito Sans"/>
        <w:color w:val="666666"/>
        <w:sz w:val="16"/>
        <w:szCs w:val="16"/>
      </w:rPr>
      <w:t xml:space="preserve">HIRECAR, LLC dba HIRECREDIT</w:t>
    </w:r>
    <w:r>
      <w:rPr>
        <w:rFonts w:ascii="Nunito Sans" w:cs="Nunito Sans" w:eastAsia="Nunito Sans" w:hAnsi="Nunito Sans"/>
        <w:color w:val="666666"/>
        <w:sz w:val="16"/>
        <w:szCs w:val="16"/>
      </w:rPr>
      <w:t xml:space="preserve">	Page </w:t>
    </w:r>
    <w:r>
      <w:rPr>
        <w:rFonts w:ascii="Nunito Sans" w:cs="Nunito Sans" w:eastAsia="Nunito Sans" w:hAnsi="Nunito San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4"/>
      </w:pBdr>
      <w:tabs>
        <w:tab w:val="right" w:pos="9026"/>
      </w:tabs>
    </w:pPr>
    <w:r>
      <w:rPr>
        <w:rFonts w:ascii="Cormorant Garamond" w:cs="Cormorant Garamond" w:eastAsia="Cormorant Garamond" w:hAnsi="Cormorant Garamond"/>
        <w:b/>
        <w:bCs/>
        <w:color w:val="C9920A"/>
        <w:sz w:val="18"/>
        <w:szCs w:val="18"/>
      </w:rPr>
      <w:t xml:space="preserve">HIRECAR Expanded Bot Architecture v6</w:t>
    </w:r>
    <w:r>
      <w:rPr>
        <w:rFonts w:ascii="Nunito Sans" w:cs="Nunito Sans" w:eastAsia="Nunito Sans" w:hAnsi="Nunito Sans"/>
        <w:i/>
        <w:iCs/>
        <w:color w:val="666666"/>
        <w:sz w:val="16"/>
        <w:szCs w:val="16"/>
      </w:rPr>
      <w:t xml:space="preserve">	Confidential — March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rmorant Garamond" w:cs="Cormorant Garamond" w:eastAsia="Cormorant Garamond" w:hAnsi="Cormorant Garamond"/>
      <w:b/>
      <w:bCs/>
      <w:color w:val="111820"/>
      <w:sz w:val="36"/>
      <w:szCs w:val="36"/>
    </w:rPr>
  </w:style>
  <w:style w:type="paragraph" w:styleId="Heading2">
    <w:name w:val="Heading 2"/>
    <w:basedOn w:val="Normal"/>
    <w:next w:val="Normal"/>
    <w:qFormat/>
    <w:pPr>
      <w:spacing w:after="120" w:before="240"/>
      <w:outlineLvl w:val="1"/>
    </w:pPr>
    <w:rPr>
      <w:rFonts w:ascii="Cormorant Garamond" w:cs="Cormorant Garamond" w:eastAsia="Cormorant Garamond" w:hAnsi="Cormorant Garamond"/>
      <w:b/>
      <w:bCs/>
      <w:color w:val="0F4C75"/>
      <w:sz w:val="28"/>
      <w:szCs w:val="28"/>
    </w:rPr>
  </w:style>
  <w:style w:type="paragraph" w:styleId="Heading3">
    <w:name w:val="Heading 3"/>
    <w:basedOn w:val="Normal"/>
    <w:next w:val="Normal"/>
    <w:qFormat/>
    <w:pPr>
      <w:spacing w:after="100" w:before="200"/>
      <w:outlineLvl w:val="2"/>
    </w:pPr>
    <w:rPr>
      <w:rFonts w:ascii="Nunito Sans" w:cs="Nunito Sans" w:eastAsia="Nunito Sans" w:hAnsi="Nunito Sans"/>
      <w:b/>
      <w:bCs/>
      <w:color w:val="C99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2026-03-03T22:35:06.109Z</dcterms:created>
  <dcterms:modified xsi:type="dcterms:W3CDTF">2026-03-03T22:35:06.110Z</dcterms:modified>
</cp:coreProperties>
</file>

<file path=docProps/custom.xml><?xml version="1.0" encoding="utf-8"?>
<Properties xmlns="http://schemas.openxmlformats.org/officeDocument/2006/custom-properties" xmlns:vt="http://schemas.openxmlformats.org/officeDocument/2006/docPropsVTypes"/>
</file>