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80"/>
        <w:jc w:val="center"/>
      </w:pPr>
      <w:r>
        <w:rPr>
          <w:rFonts w:ascii="Cormorant Garamond" w:cs="Cormorant Garamond" w:eastAsia="Cormorant Garamond" w:hAnsi="Cormorant Garamond"/>
          <w:b/>
          <w:bCs/>
          <w:color w:val="111820"/>
          <w:sz w:val="72"/>
          <w:szCs w:val="72"/>
        </w:rPr>
        <w:t xml:space="preserve">HIRECAR</w:t>
      </w:r>
    </w:p>
    <w:p>
      <w:pPr>
        <w:spacing w:after="40"/>
        <w:jc w:val="center"/>
      </w:pPr>
      <w:r>
        <w:rPr>
          <w:rFonts w:ascii="Cormorant Garamond" w:cs="Cormorant Garamond" w:eastAsia="Cormorant Garamond" w:hAnsi="Cormorant Garamond"/>
          <w:color w:val="C9920A"/>
          <w:spacing w:val="200"/>
          <w:sz w:val="36"/>
          <w:szCs w:val="36"/>
        </w:rPr>
        <w:t xml:space="preserve">MARKE TWATCH</w:t>
      </w:r>
    </w:p>
    <w:p>
      <w:pPr>
        <w:spacing w:after="300"/>
        <w:jc w:val="center"/>
      </w:pPr>
      <w:r>
        <w:rPr>
          <w:rFonts w:ascii="Nunito Sans" w:cs="Nunito Sans" w:eastAsia="Nunito Sans" w:hAnsi="Nunito Sans"/>
          <w:i/>
          <w:iCs/>
          <w:color w:val="666666"/>
          <w:sz w:val="20"/>
          <w:szCs w:val="20"/>
        </w:rPr>
        <w:t xml:space="preserve">Consent-Engineered Automotive Solutions</w:t>
      </w:r>
    </w:p>
    <w:p>
      <w:pPr>
        <w:pBdr>
          <w:bottom w:val="single" w:color="C9920A" w:sz="4" w:space="1"/>
        </w:pBdr>
        <w:spacing w:after="200" w:before="200"/>
      </w:pPr>
    </w:p>
    <w:p>
      <w:pPr>
        <w:spacing w:after="0" w:before="200"/>
      </w:pPr>
    </w:p>
    <w:p>
      <w:pPr>
        <w:spacing w:after="200" w:before="0" w:line="320"/>
        <w:jc w:val="left"/>
      </w:pPr>
      <w:r>
        <w:rPr>
          <w:rFonts w:ascii="Nunito Sans" w:cs="Nunito Sans" w:eastAsia="Nunito Sans" w:hAnsi="Nunito Sans"/>
          <w:b/>
          <w:bCs/>
          <w:i w:val="false"/>
          <w:iCs w:val="false"/>
          <w:color w:val="111820"/>
          <w:sz w:val="22"/>
          <w:szCs w:val="22"/>
        </w:rPr>
        <w:t xml:space="preserve">March 3, 2026</w:t>
      </w:r>
    </w:p>
    <w:p>
      <w:pPr>
        <w:spacing w:after="0" w:before="100"/>
      </w:pPr>
    </w:p>
    <w:p>
      <w:pPr>
        <w:spacing w:after="200" w:before="0" w:line="320"/>
        <w:jc w:val="left"/>
      </w:pPr>
      <w:r>
        <w:rPr>
          <w:rFonts w:ascii="Nunito Sans" w:cs="Nunito Sans" w:eastAsia="Nunito Sans" w:hAnsi="Nunito Sans"/>
          <w:b/>
          <w:bCs/>
          <w:i w:val="false"/>
          <w:iCs w:val="false"/>
          <w:color w:val="111820"/>
          <w:sz w:val="22"/>
          <w:szCs w:val="22"/>
        </w:rPr>
        <w:t xml:space="preserve">To: HIRECAR Executive Leadership &amp; Operations Team</w:t>
      </w:r>
    </w:p>
    <w:p>
      <w:pPr>
        <w:spacing w:after="200" w:before="0" w:line="320"/>
        <w:jc w:val="left"/>
      </w:pPr>
      <w:r>
        <w:rPr>
          <w:rFonts w:ascii="Nunito Sans" w:cs="Nunito Sans" w:eastAsia="Nunito Sans" w:hAnsi="Nunito Sans"/>
          <w:b w:val="false"/>
          <w:bCs w:val="false"/>
          <w:i w:val="false"/>
          <w:iCs w:val="false"/>
          <w:color w:val="111820"/>
          <w:sz w:val="22"/>
          <w:szCs w:val="22"/>
        </w:rPr>
        <w:t xml:space="preserve">From: Systems Architecture &amp; Infrastructure Audit</w:t>
      </w:r>
    </w:p>
    <w:p>
      <w:pPr>
        <w:spacing w:after="200" w:before="0" w:line="320"/>
        <w:jc w:val="left"/>
      </w:pPr>
      <w:r>
        <w:rPr>
          <w:rFonts w:ascii="Nunito Sans" w:cs="Nunito Sans" w:eastAsia="Nunito Sans" w:hAnsi="Nunito Sans"/>
          <w:b/>
          <w:bCs/>
          <w:i w:val="false"/>
          <w:iCs w:val="false"/>
          <w:color w:val="111820"/>
          <w:sz w:val="22"/>
          <w:szCs w:val="22"/>
        </w:rPr>
        <w:t xml:space="preserve">Re: Complete Infrastructure Findings, Gap Analysis, and Execution Recommendations</w:t>
      </w:r>
    </w:p>
    <w:p>
      <w:pPr>
        <w:spacing w:after="0" w:before="100"/>
      </w:pPr>
    </w:p>
    <w:p>
      <w:pPr>
        <w:pBdr>
          <w:bottom w:val="single" w:color="C9920A" w:sz="4" w:space="1"/>
        </w:pBdr>
        <w:spacing w:after="200" w:before="200"/>
      </w:pPr>
    </w:p>
    <w:p>
      <w:pPr>
        <w:spacing w:after="0" w:before="100"/>
      </w:pPr>
    </w:p>
    <w:p>
      <w:pPr>
        <w:spacing w:after="200" w:before="0" w:line="320"/>
        <w:jc w:val="left"/>
      </w:pPr>
      <w:r>
        <w:rPr>
          <w:rFonts w:ascii="Nunito Sans" w:cs="Nunito Sans" w:eastAsia="Nunito Sans" w:hAnsi="Nunito Sans"/>
          <w:b w:val="false"/>
          <w:bCs w:val="false"/>
          <w:i w:val="false"/>
          <w:iCs w:val="false"/>
          <w:color w:val="666666"/>
          <w:sz w:val="22"/>
          <w:szCs w:val="22"/>
        </w:rPr>
        <w:t xml:space="preserve">This letter presents the complete findings of our comprehensive audit of the HIRECAR ecosystem — its bot architecture, operational workflows, technology infrastructure, and readiness for public launch. What follows is written in plain language so that every member of the team, whether technical or not, can understand exactly where we stand, what needs to be fixed, and how we plan to fix it.</w:t>
      </w:r>
    </w:p>
    <w:p>
      <w:pPr>
        <w:spacing w:after="200" w:before="0" w:line="320"/>
        <w:jc w:val="left"/>
      </w:pPr>
      <w:r>
        <w:rPr>
          <w:rFonts w:ascii="Nunito Sans" w:cs="Nunito Sans" w:eastAsia="Nunito Sans" w:hAnsi="Nunito Sans"/>
          <w:b w:val="false"/>
          <w:bCs w:val="false"/>
          <w:i w:val="false"/>
          <w:iCs w:val="false"/>
          <w:color w:val="666666"/>
          <w:sz w:val="22"/>
          <w:szCs w:val="22"/>
        </w:rPr>
        <w:t xml:space="preserve">The short version is this: HIRECAR has an extraordinarily ambitious and well-documented blueprint. The governance workflows document defines one hundred bots across fifteen departments, a five-phase client journey with gate conditions, six scoring systems, four membership tiers, and a gamification engine. The vision is clear and the documentation is thorough. However, between that documentation and a fully operational system, there are meaningful gaps — some critical — that must be addressed before we can confidently serve paying members.</w:t>
      </w:r>
    </w:p>
    <w:p>
      <w:r>
        <w:br w:type="page"/>
      </w:r>
    </w:p>
    <w:p>
      <w:pPr>
        <w:pStyle w:val="Heading1"/>
      </w:pPr>
      <w:r>
        <w:rPr>
          <w:rFonts w:ascii="Cormorant Garamond" w:cs="Cormorant Garamond" w:eastAsia="Cormorant Garamond" w:hAnsi="Cormorant Garamond"/>
          <w:color w:val="111820"/>
        </w:rPr>
        <w:t xml:space="preserve">I. The Ecosystem at a Glance</w:t>
      </w:r>
    </w:p>
    <w:p>
      <w:pPr>
        <w:pBdr>
          <w:bottom w:val="single" w:color="C9920A" w:sz="4" w:space="1"/>
        </w:pBdr>
        <w:spacing w:after="200" w:before="200"/>
      </w:pPr>
    </w:p>
    <w:p>
      <w:pPr>
        <w:spacing w:after="200" w:before="0" w:line="320"/>
        <w:jc w:val="left"/>
      </w:pPr>
      <w:r>
        <w:rPr>
          <w:rFonts w:ascii="Nunito Sans" w:cs="Nunito Sans" w:eastAsia="Nunito Sans" w:hAnsi="Nunito Sans"/>
          <w:b w:val="false"/>
          <w:bCs w:val="false"/>
          <w:i w:val="false"/>
          <w:iCs w:val="false"/>
          <w:color w:val="666666"/>
          <w:sz w:val="22"/>
          <w:szCs w:val="22"/>
        </w:rPr>
        <w:t xml:space="preserve">HIRECAR is not a simple website or a single product. It is a consent-engineered automotive ecosystem designed to serve rideshare operators in Los Angeles and San Francisco across every dimension of their business — from post-collision recovery and credit rebuilding to fleet funding, insurance navigation, roadside assistance, and ongoing compliance. The system is inspired by Edward Bernays' principles of consent engineering: rather than pushing services onto people, we create conditions where the right service appears at the right moment because the member's own journey has brought them there.</w:t>
      </w:r>
    </w:p>
    <w:p>
      <w:pPr>
        <w:spacing w:after="200" w:before="0" w:line="320"/>
        <w:jc w:val="left"/>
      </w:pPr>
      <w:r>
        <w:rPr>
          <w:rFonts w:ascii="Nunito Sans" w:cs="Nunito Sans" w:eastAsia="Nunito Sans" w:hAnsi="Nunito Sans"/>
          <w:b w:val="false"/>
          <w:bCs w:val="false"/>
          <w:i w:val="false"/>
          <w:iCs w:val="false"/>
          <w:color w:val="666666"/>
          <w:sz w:val="22"/>
          <w:szCs w:val="22"/>
        </w:rPr>
        <w:t xml:space="preserve">The architecture spans one hundred bots organized into fifteen departments. Each bot follows a defined lifecycle: it sits dormant until its trigger condition is met, then activates through a five-step interaction pattern — greet, guide, act, reward, and suggest the next step. Forty-two of these bots are event-driven, meaning they activate when something happens like a document upload or a phase change. Twenty-eight are time-driven, running on daily, weekly, monthly, or quarterly schedules. Sixteen are on-demand, activated when a member navigates to a specific page or clicks a button. Ten are alert-driven, responding to anomalies or deadlines. Four operate on hybrid triggers.</w:t>
      </w:r>
    </w:p>
    <w:p>
      <w:pPr>
        <w:spacing w:after="200" w:before="0" w:line="320"/>
        <w:jc w:val="left"/>
      </w:pPr>
      <w:r>
        <w:rPr>
          <w:rFonts w:ascii="Nunito Sans" w:cs="Nunito Sans" w:eastAsia="Nunito Sans" w:hAnsi="Nunito Sans"/>
          <w:b w:val="false"/>
          <w:bCs w:val="false"/>
          <w:i w:val="false"/>
          <w:iCs w:val="false"/>
          <w:color w:val="666666"/>
          <w:sz w:val="22"/>
          <w:szCs w:val="22"/>
        </w:rPr>
        <w:t xml:space="preserve">Members progress through five phases: Intake, Recovery, Rebuilding, Operating, and Scaling. Each phase has specific gate conditions that must be met before advancement. For example, to move from Intake to Recovery, a member must have completed their profile, uploaded required documents, and had their initial consultation. Six scoring systems — HBI, VDI, BRE, CRI, FPI, and MSI — each on a zero-to-one-hundred scale, feed into a weighted composite that determines readiness. A four-tier membership system — Standard, Operator, First Class, and Elite Operator — provides gamified progression with experience points, badges, quests, and streaks.</w:t>
      </w:r>
    </w:p>
    <w:p>
      <w:pPr>
        <w:spacing w:after="200" w:before="0" w:line="320"/>
        <w:jc w:val="left"/>
      </w:pPr>
      <w:r>
        <w:rPr>
          <w:rFonts w:ascii="Nunito Sans" w:cs="Nunito Sans" w:eastAsia="Nunito Sans" w:hAnsi="Nunito Sans"/>
          <w:b w:val="false"/>
          <w:bCs w:val="false"/>
          <w:i w:val="false"/>
          <w:iCs w:val="false"/>
          <w:color w:val="666666"/>
          <w:sz w:val="22"/>
          <w:szCs w:val="22"/>
        </w:rPr>
        <w:t xml:space="preserve">This is the system we are building toward. Now let me walk you through what is actually in place, what is missing, and what we need to do about it.</w:t>
      </w:r>
    </w:p>
    <w:p>
      <w:r>
        <w:br w:type="page"/>
      </w:r>
    </w:p>
    <w:p>
      <w:pPr>
        <w:pStyle w:val="Heading1"/>
      </w:pPr>
      <w:r>
        <w:rPr>
          <w:rFonts w:ascii="Cormorant Garamond" w:cs="Cormorant Garamond" w:eastAsia="Cormorant Garamond" w:hAnsi="Cormorant Garamond"/>
          <w:color w:val="111820"/>
        </w:rPr>
        <w:t xml:space="preserve">II. The Critical Handoff Gaps</w:t>
      </w:r>
    </w:p>
    <w:p>
      <w:pPr>
        <w:pBdr>
          <w:bottom w:val="single" w:color="C9920A" w:sz="4" w:space="1"/>
        </w:pBdr>
        <w:spacing w:after="200" w:before="200"/>
      </w:pPr>
    </w:p>
    <w:p>
      <w:pPr>
        <w:spacing w:after="200" w:before="0" w:line="320"/>
        <w:jc w:val="left"/>
      </w:pPr>
      <w:r>
        <w:rPr>
          <w:rFonts w:ascii="Nunito Sans" w:cs="Nunito Sans" w:eastAsia="Nunito Sans" w:hAnsi="Nunito Sans"/>
          <w:b w:val="false"/>
          <w:bCs w:val="false"/>
          <w:i w:val="false"/>
          <w:iCs w:val="false"/>
          <w:color w:val="666666"/>
          <w:sz w:val="22"/>
          <w:szCs w:val="22"/>
        </w:rPr>
        <w:t xml:space="preserve">A handoff gap is what happens when one bot finishes its job but the next bot in the chain does not know it needs to start. Think of it like a relay race where the first runner completes their leg but nobody is there to take the baton. The member falls into a dead zone — they have been helped partway but have no clear next step.</w:t>
      </w:r>
    </w:p>
    <w:p>
      <w:pPr>
        <w:spacing w:after="200" w:before="0" w:line="320"/>
        <w:jc w:val="left"/>
      </w:pPr>
      <w:r>
        <w:rPr>
          <w:rFonts w:ascii="Nunito Sans" w:cs="Nunito Sans" w:eastAsia="Nunito Sans" w:hAnsi="Nunito Sans"/>
          <w:b w:val="false"/>
          <w:bCs w:val="false"/>
          <w:i w:val="false"/>
          <w:iCs w:val="false"/>
          <w:color w:val="666666"/>
          <w:sz w:val="22"/>
          <w:szCs w:val="22"/>
        </w:rPr>
        <w:t xml:space="preserve">We identified thirteen handoff gaps across the system. Two of them are critical, meaning they will directly prevent us from generating revenue or onboarding members. Four are high priority, meaning they will cause serious friction or lost opportunities. The remaining seven are medium or low priority — important to fix, but not launch-blocking.</w:t>
      </w:r>
    </w:p>
    <w:p>
      <w:pPr>
        <w:spacing w:after="0" w:before="100"/>
      </w:pPr>
    </w:p>
    <w:p>
      <w:pPr>
        <w:pStyle w:val="Heading2"/>
      </w:pPr>
      <w:r>
        <w:rPr>
          <w:rFonts w:ascii="Cormorant Garamond" w:cs="Cormorant Garamond" w:eastAsia="Cormorant Garamond" w:hAnsi="Cormorant Garamond"/>
          <w:color w:val="111820"/>
        </w:rPr>
        <w:t xml:space="preserve">The Two Critical Gaps</w:t>
      </w:r>
    </w:p>
    <w:p>
      <w:pPr>
        <w:spacing w:after="200" w:before="0" w:line="320"/>
        <w:jc w:val="left"/>
      </w:pPr>
      <w:r>
        <w:rPr>
          <w:rFonts w:ascii="Nunito Sans" w:cs="Nunito Sans" w:eastAsia="Nunito Sans" w:hAnsi="Nunito Sans"/>
          <w:b/>
          <w:bCs/>
          <w:color w:val="111820"/>
          <w:sz w:val="22"/>
          <w:szCs w:val="22"/>
        </w:rPr>
        <w:t xml:space="preserve">Gap One — Lead Nurture to Enrollment. </w:t>
      </w:r>
      <w:r>
        <w:rPr>
          <w:rFonts w:ascii="Nunito Sans" w:cs="Nunito Sans" w:eastAsia="Nunito Sans" w:hAnsi="Nunito Sans"/>
          <w:b w:val="false"/>
          <w:bCs w:val="false"/>
          <w:i w:val="false"/>
          <w:iCs w:val="false"/>
          <w:color w:val="666666"/>
          <w:sz w:val="22"/>
          <w:szCs w:val="22"/>
        </w:rPr>
        <w:t xml:space="preserve">The first critical gap sits between the Lead Nurture Sequences bot, which is bot number seventy-three in the Marketing department, and the Welcome Journey bot, which is bot number one in Membership Services. Here is the problem: when someone comes to the HIRECAR website and fills out a lead form, the Lead Scoring Engine scores them and the Lead Nurture Sequences bot begins sending them automated follow-up content. But when that prospect is ready to become a member — when they have been warmed up and are ready to enroll — there is no automated handoff to the Welcome Journey bot. The enrollment process simply does not exist as a connected workflow. A human would need to manually recognize that the lead is ready, somehow trigger the enrollment, and hope that context about the lead's interests and scoring carries over. In practice, leads will go cold.</w:t>
      </w:r>
    </w:p>
    <w:p>
      <w:pPr>
        <w:spacing w:after="200" w:before="0" w:line="320"/>
        <w:jc w:val="left"/>
      </w:pPr>
      <w:r>
        <w:rPr>
          <w:rFonts w:ascii="Nunito Sans" w:cs="Nunito Sans" w:eastAsia="Nunito Sans" w:hAnsi="Nunito Sans"/>
          <w:b w:val="false"/>
          <w:bCs w:val="false"/>
          <w:i w:val="false"/>
          <w:iCs w:val="false"/>
          <w:color w:val="666666"/>
          <w:sz w:val="22"/>
          <w:szCs w:val="22"/>
        </w:rPr>
        <w:t xml:space="preserve">This is why we are proposing a new Enrollment Bot, designated as bot number one hundred and one. This bot will sit between marketing and membership, watching for signals that a lead is ready — things like email engagement above a certain threshold, direct enrollment requests, or manual sales team qualification — and then seamlessly hand that person off to the Welcome Journey with all their context intact. No data loss, no repeated questions, no cold starts.</w:t>
      </w:r>
    </w:p>
    <w:p>
      <w:pPr>
        <w:spacing w:after="200" w:before="0" w:line="320"/>
        <w:jc w:val="left"/>
      </w:pPr>
      <w:r>
        <w:rPr>
          <w:rFonts w:ascii="Nunito Sans" w:cs="Nunito Sans" w:eastAsia="Nunito Sans" w:hAnsi="Nunito Sans"/>
          <w:b/>
          <w:bCs/>
          <w:color w:val="111820"/>
          <w:sz w:val="22"/>
          <w:szCs w:val="22"/>
        </w:rPr>
        <w:t xml:space="preserve">Gap Two — Invoice to Service Activation. </w:t>
      </w:r>
      <w:r>
        <w:rPr>
          <w:rFonts w:ascii="Nunito Sans" w:cs="Nunito Sans" w:eastAsia="Nunito Sans" w:hAnsi="Nunito Sans"/>
          <w:b w:val="false"/>
          <w:bCs w:val="false"/>
          <w:i w:val="false"/>
          <w:iCs w:val="false"/>
          <w:color w:val="666666"/>
          <w:sz w:val="22"/>
          <w:szCs w:val="22"/>
        </w:rPr>
        <w:t xml:space="preserve">The second critical gap sits between the Invoice Walkthrough bot, number sixty-three in Accounting, and the actual activation of services. When a member agrees to a service and the Invoice Walkthrough bot walks them through the billing, there is currently no system that confirms payment was received and then tells the relevant service department to begin work. The invoice is created, but nothing happens after that. The member pays, and then waits. The service team does not know to start.</w:t>
      </w:r>
    </w:p>
    <w:p>
      <w:pPr>
        <w:spacing w:after="200" w:before="0" w:line="320"/>
        <w:jc w:val="left"/>
      </w:pPr>
      <w:r>
        <w:rPr>
          <w:rFonts w:ascii="Nunito Sans" w:cs="Nunito Sans" w:eastAsia="Nunito Sans" w:hAnsi="Nunito Sans"/>
          <w:b w:val="false"/>
          <w:bCs w:val="false"/>
          <w:i w:val="false"/>
          <w:iCs w:val="false"/>
          <w:color w:val="666666"/>
          <w:sz w:val="22"/>
          <w:szCs w:val="22"/>
        </w:rPr>
        <w:t xml:space="preserve">This requires two new bots working together. First, a Payment Confirmation bot, number one hundred and three, that monitors payment gateways — Stripe, PayPal, and CashApp — and confirms when payment clears. Second, a Service-to-Billing Bridge bot, number one hundred and six, that takes that confirmation and routes it to the correct service department with the full context of what was purchased and what needs to be delivered. Without these bots, there is no connection between a member paying for something and actually receiving it.</w:t>
      </w:r>
    </w:p>
    <w:p>
      <w:pPr>
        <w:spacing w:after="0" w:before="100"/>
      </w:pPr>
    </w:p>
    <w:p>
      <w:pPr>
        <w:pStyle w:val="Heading2"/>
      </w:pPr>
      <w:r>
        <w:rPr>
          <w:rFonts w:ascii="Cormorant Garamond" w:cs="Cormorant Garamond" w:eastAsia="Cormorant Garamond" w:hAnsi="Cormorant Garamond"/>
          <w:color w:val="111820"/>
        </w:rPr>
        <w:t xml:space="preserve">The Four High-Priority Gaps</w:t>
      </w:r>
    </w:p>
    <w:p>
      <w:pPr>
        <w:spacing w:after="200" w:before="0" w:line="320"/>
        <w:jc w:val="left"/>
      </w:pPr>
      <w:r>
        <w:rPr>
          <w:rFonts w:ascii="Nunito Sans" w:cs="Nunito Sans" w:eastAsia="Nunito Sans" w:hAnsi="Nunito Sans"/>
          <w:b/>
          <w:bCs/>
          <w:color w:val="111820"/>
          <w:sz w:val="22"/>
          <w:szCs w:val="22"/>
        </w:rPr>
        <w:t xml:space="preserve">Gap Three — Bot Outputs to Staff Queue. </w:t>
      </w:r>
      <w:r>
        <w:rPr>
          <w:rFonts w:ascii="Nunito Sans" w:cs="Nunito Sans" w:eastAsia="Nunito Sans" w:hAnsi="Nunito Sans"/>
          <w:b w:val="false"/>
          <w:bCs w:val="false"/>
          <w:i w:val="false"/>
          <w:iCs w:val="false"/>
          <w:color w:val="666666"/>
          <w:sz w:val="22"/>
          <w:szCs w:val="22"/>
        </w:rPr>
        <w:t xml:space="preserve">The third gap is about visibility. Right now, when bots complete tasks or generate outputs — reports, recommendations, alerts — those outputs stay inside the bot system. The operations team and the sales team have no way to see what the bots are doing, who needs follow-up, what tasks are due, or which members need attention. We are calling this the Bot Outputs to Staff Queue gap. Without solving it, you have an army of bots doing work that nobody on the human side can see or act on.</w:t>
      </w:r>
    </w:p>
    <w:p>
      <w:pPr>
        <w:spacing w:after="200" w:before="0" w:line="320"/>
        <w:jc w:val="left"/>
      </w:pPr>
      <w:r>
        <w:rPr>
          <w:rFonts w:ascii="Nunito Sans" w:cs="Nunito Sans" w:eastAsia="Nunito Sans" w:hAnsi="Nunito Sans"/>
          <w:b w:val="false"/>
          <w:bCs w:val="false"/>
          <w:i w:val="false"/>
          <w:iCs w:val="false"/>
          <w:color w:val="666666"/>
          <w:sz w:val="22"/>
          <w:szCs w:val="22"/>
        </w:rPr>
        <w:t xml:space="preserve">The solution is the Ops Command Center bot, number one hundred and four, combined with a task output system that pushes updates through Slack channels and email digests. We recommend two Slack channels — one for operations and one for sales — plus three email digests: a daily operations summary, a daily sales summary, and a weekly executive report. This gives every level of the organization real-time and batch visibility into what the bots are producing.</w:t>
      </w:r>
    </w:p>
    <w:p>
      <w:pPr>
        <w:spacing w:after="200" w:before="0" w:line="320"/>
        <w:jc w:val="left"/>
      </w:pPr>
      <w:r>
        <w:rPr>
          <w:rFonts w:ascii="Nunito Sans" w:cs="Nunito Sans" w:eastAsia="Nunito Sans" w:hAnsi="Nunito Sans"/>
          <w:b/>
          <w:bCs/>
          <w:color w:val="111820"/>
          <w:sz w:val="22"/>
          <w:szCs w:val="22"/>
        </w:rPr>
        <w:t xml:space="preserve">Gap Four — Intake to Phase Routing. </w:t>
      </w:r>
      <w:r>
        <w:rPr>
          <w:rFonts w:ascii="Nunito Sans" w:cs="Nunito Sans" w:eastAsia="Nunito Sans" w:hAnsi="Nunito Sans"/>
          <w:b w:val="false"/>
          <w:bCs w:val="false"/>
          <w:i w:val="false"/>
          <w:iCs w:val="false"/>
          <w:color w:val="666666"/>
          <w:sz w:val="22"/>
          <w:szCs w:val="22"/>
        </w:rPr>
        <w:t xml:space="preserve">The fourth gap affects new members at the very start of their journey. When someone enrolls, the Welcome Journey bot greets them and begins onboarding, but there is no intelligent routing into the correct phase. The system does not automatically assess whether this person needs to start in Intake, or whether their situation warrants jumping directly to Recovery or Rebuilding. A collision victim who needs immediate PIFR services should not go through the same generic intake as someone looking for fleet funding. We need a Situation Qualifier bot, number one hundred and five, that performs a quick assessment and routes the member into the right phase and department from day one.</w:t>
      </w:r>
    </w:p>
    <w:p>
      <w:pPr>
        <w:spacing w:after="200" w:before="0" w:line="320"/>
        <w:jc w:val="left"/>
      </w:pPr>
      <w:r>
        <w:rPr>
          <w:rFonts w:ascii="Nunito Sans" w:cs="Nunito Sans" w:eastAsia="Nunito Sans" w:hAnsi="Nunito Sans"/>
          <w:b/>
          <w:bCs/>
          <w:color w:val="111820"/>
          <w:sz w:val="22"/>
          <w:szCs w:val="22"/>
        </w:rPr>
        <w:t xml:space="preserve">Gap Five — Service Complete to Billing. </w:t>
      </w:r>
      <w:r>
        <w:rPr>
          <w:rFonts w:ascii="Nunito Sans" w:cs="Nunito Sans" w:eastAsia="Nunito Sans" w:hAnsi="Nunito Sans"/>
          <w:b w:val="false"/>
          <w:bCs w:val="false"/>
          <w:i w:val="false"/>
          <w:iCs w:val="false"/>
          <w:color w:val="666666"/>
          <w:sz w:val="22"/>
          <w:szCs w:val="22"/>
        </w:rPr>
        <w:t xml:space="preserve">The fifth gap emerges when a service is completed. The department that performed the service — whether it was credit repair, collision recovery, or roadside assistance — marks the job as done. But the Accounting department often does not get notified in a structured way. There is no automated trigger that says, 'This service is complete, here is what was done, and here is what the member should be billed.' The connection between service delivery and billing is manual.</w:t>
      </w:r>
    </w:p>
    <w:p>
      <w:pPr>
        <w:spacing w:after="200" w:before="0" w:line="320"/>
        <w:jc w:val="left"/>
      </w:pPr>
      <w:r>
        <w:rPr>
          <w:rFonts w:ascii="Nunito Sans" w:cs="Nunito Sans" w:eastAsia="Nunito Sans" w:hAnsi="Nunito Sans"/>
          <w:b/>
          <w:bCs/>
          <w:color w:val="111820"/>
          <w:sz w:val="22"/>
          <w:szCs w:val="22"/>
        </w:rPr>
        <w:t xml:space="preserve">Gap Six — Referral to Lead Scoring. </w:t>
      </w:r>
      <w:r>
        <w:rPr>
          <w:rFonts w:ascii="Nunito Sans" w:cs="Nunito Sans" w:eastAsia="Nunito Sans" w:hAnsi="Nunito Sans"/>
          <w:b w:val="false"/>
          <w:bCs w:val="false"/>
          <w:i w:val="false"/>
          <w:iCs w:val="false"/>
          <w:color w:val="666666"/>
          <w:sz w:val="22"/>
          <w:szCs w:val="22"/>
        </w:rPr>
        <w:t xml:space="preserve">The sixth gap is in our referral pipeline. The Referral Match Bot, number seventy-six, identifies members who should receive referral opportunities. But when a referral comes in — when someone says 'my friend told me about HIRECAR' — that referral does not flow into the Lead Scoring Engine with the referral context attached. The referring member does not automatically get credit, and the referred person does not get a warm, personalized experience that acknowledges how they found us.</w:t>
      </w:r>
    </w:p>
    <w:p>
      <w:r>
        <w:br w:type="page"/>
      </w:r>
    </w:p>
    <w:p>
      <w:pPr>
        <w:pStyle w:val="Heading1"/>
      </w:pPr>
      <w:r>
        <w:rPr>
          <w:rFonts w:ascii="Cormorant Garamond" w:cs="Cormorant Garamond" w:eastAsia="Cormorant Garamond" w:hAnsi="Cormorant Garamond"/>
          <w:color w:val="111820"/>
        </w:rPr>
        <w:t xml:space="preserve">III. Operational Gaps — From Documentation to Fulfillment</w:t>
      </w:r>
    </w:p>
    <w:p>
      <w:pPr>
        <w:pBdr>
          <w:bottom w:val="single" w:color="C9920A" w:sz="4" w:space="1"/>
        </w:pBdr>
        <w:spacing w:after="200" w:before="200"/>
      </w:pPr>
    </w:p>
    <w:p>
      <w:pPr>
        <w:spacing w:after="200" w:before="0" w:line="320"/>
        <w:jc w:val="left"/>
      </w:pPr>
      <w:r>
        <w:rPr>
          <w:rFonts w:ascii="Nunito Sans" w:cs="Nunito Sans" w:eastAsia="Nunito Sans" w:hAnsi="Nunito Sans"/>
          <w:b w:val="false"/>
          <w:bCs w:val="false"/>
          <w:i w:val="false"/>
          <w:iCs w:val="false"/>
          <w:color w:val="666666"/>
          <w:sz w:val="22"/>
          <w:szCs w:val="22"/>
        </w:rPr>
        <w:t xml:space="preserve">Beyond the bot handoff gaps, we identified ten stages in the operational pipeline where documentation does not yet translate into a working system. These are not design problems — the design is solid. These are implementation problems, where the documented workflow has not yet been built, connected, or tested.</w:t>
      </w:r>
    </w:p>
    <w:p>
      <w:pPr>
        <w:spacing w:after="200" w:before="0" w:line="320"/>
        <w:jc w:val="left"/>
      </w:pPr>
      <w:r>
        <w:rPr>
          <w:rFonts w:ascii="Nunito Sans" w:cs="Nunito Sans" w:eastAsia="Nunito Sans" w:hAnsi="Nunito Sans"/>
          <w:b/>
          <w:bCs/>
          <w:color w:val="111820"/>
          <w:sz w:val="22"/>
          <w:szCs w:val="22"/>
        </w:rPr>
        <w:t xml:space="preserve">Stage 1 — Member Enrollment Pipeline. </w:t>
      </w:r>
      <w:r>
        <w:rPr>
          <w:rFonts w:ascii="Nunito Sans" w:cs="Nunito Sans" w:eastAsia="Nunito Sans" w:hAnsi="Nunito Sans"/>
          <w:b w:val="false"/>
          <w:bCs w:val="false"/>
          <w:i w:val="false"/>
          <w:iCs w:val="false"/>
          <w:color w:val="666666"/>
          <w:sz w:val="22"/>
          <w:szCs w:val="22"/>
        </w:rPr>
        <w:t xml:space="preserve">First, member enrollment. The workflow describes a seamless journey from lead capture through qualification to enrollment to onboarding. In reality, we have no enrollment form connected to a database, no automated welcome email sequence, and no way to track where a new member is in the onboarding process.</w:t>
      </w:r>
    </w:p>
    <w:p>
      <w:pPr>
        <w:spacing w:after="200" w:before="0" w:line="320"/>
        <w:jc w:val="left"/>
      </w:pPr>
      <w:r>
        <w:rPr>
          <w:rFonts w:ascii="Nunito Sans" w:cs="Nunito Sans" w:eastAsia="Nunito Sans" w:hAnsi="Nunito Sans"/>
          <w:b/>
          <w:bCs/>
          <w:color w:val="111820"/>
          <w:sz w:val="22"/>
          <w:szCs w:val="22"/>
        </w:rPr>
        <w:t xml:space="preserve">Stage 2 — Payment Processing. </w:t>
      </w:r>
      <w:r>
        <w:rPr>
          <w:rFonts w:ascii="Nunito Sans" w:cs="Nunito Sans" w:eastAsia="Nunito Sans" w:hAnsi="Nunito Sans"/>
          <w:b w:val="false"/>
          <w:bCs w:val="false"/>
          <w:i w:val="false"/>
          <w:iCs w:val="false"/>
          <w:color w:val="666666"/>
          <w:sz w:val="22"/>
          <w:szCs w:val="22"/>
        </w:rPr>
        <w:t xml:space="preserve">Second, payment processing. The documentation references Stripe, PayPal, and CashApp as payment methods. Stripe is not yet set up. PayPal and CashApp are active but are not connected to any automated billing, invoicing, or confirmation workflow. When someone pays, a human has to manually verify and manually trigger the next step.</w:t>
      </w:r>
    </w:p>
    <w:p>
      <w:pPr>
        <w:spacing w:after="200" w:before="0" w:line="320"/>
        <w:jc w:val="left"/>
      </w:pPr>
      <w:r>
        <w:rPr>
          <w:rFonts w:ascii="Nunito Sans" w:cs="Nunito Sans" w:eastAsia="Nunito Sans" w:hAnsi="Nunito Sans"/>
          <w:b/>
          <w:bCs/>
          <w:color w:val="111820"/>
          <w:sz w:val="22"/>
          <w:szCs w:val="22"/>
        </w:rPr>
        <w:t xml:space="preserve">Stage 3 — Service Fulfillment Tracking. </w:t>
      </w:r>
      <w:r>
        <w:rPr>
          <w:rFonts w:ascii="Nunito Sans" w:cs="Nunito Sans" w:eastAsia="Nunito Sans" w:hAnsi="Nunito Sans"/>
          <w:b w:val="false"/>
          <w:bCs w:val="false"/>
          <w:i w:val="false"/>
          <w:iCs w:val="false"/>
          <w:color w:val="666666"/>
          <w:sz w:val="22"/>
          <w:szCs w:val="22"/>
        </w:rPr>
        <w:t xml:space="preserve">Third, service fulfillment tracking. When a service is assigned to a supplier or internal team, there is no system to track whether it was actually completed, whether it met SLA requirements, or whether the member was satisfied. The SLA Enforcer bot and the Fulfillment Monitor bot are documented but not yet operational.</w:t>
      </w:r>
    </w:p>
    <w:p>
      <w:pPr>
        <w:spacing w:after="200" w:before="0" w:line="320"/>
        <w:jc w:val="left"/>
      </w:pPr>
      <w:r>
        <w:rPr>
          <w:rFonts w:ascii="Nunito Sans" w:cs="Nunito Sans" w:eastAsia="Nunito Sans" w:hAnsi="Nunito Sans"/>
          <w:b/>
          <w:bCs/>
          <w:color w:val="111820"/>
          <w:sz w:val="22"/>
          <w:szCs w:val="22"/>
        </w:rPr>
        <w:t xml:space="preserve">Stage 4 — Scoring Engine. </w:t>
      </w:r>
      <w:r>
        <w:rPr>
          <w:rFonts w:ascii="Nunito Sans" w:cs="Nunito Sans" w:eastAsia="Nunito Sans" w:hAnsi="Nunito Sans"/>
          <w:b w:val="false"/>
          <w:bCs w:val="false"/>
          <w:i w:val="false"/>
          <w:iCs w:val="false"/>
          <w:color w:val="666666"/>
          <w:sz w:val="22"/>
          <w:szCs w:val="22"/>
        </w:rPr>
        <w:t xml:space="preserve">Fourth, the scoring systems. All six scoring systems are defined with clear formulas and weight distributions. None of them are implemented. There is no database table storing member scores, no calculation engine running on schedule, and no dashboard displaying them to members or staff.</w:t>
      </w:r>
    </w:p>
    <w:p>
      <w:pPr>
        <w:spacing w:after="200" w:before="0" w:line="320"/>
        <w:jc w:val="left"/>
      </w:pPr>
      <w:r>
        <w:rPr>
          <w:rFonts w:ascii="Nunito Sans" w:cs="Nunito Sans" w:eastAsia="Nunito Sans" w:hAnsi="Nunito Sans"/>
          <w:b/>
          <w:bCs/>
          <w:color w:val="111820"/>
          <w:sz w:val="22"/>
          <w:szCs w:val="22"/>
        </w:rPr>
        <w:t xml:space="preserve">Stage 5 — Document Management. </w:t>
      </w:r>
      <w:r>
        <w:rPr>
          <w:rFonts w:ascii="Nunito Sans" w:cs="Nunito Sans" w:eastAsia="Nunito Sans" w:hAnsi="Nunito Sans"/>
          <w:b w:val="false"/>
          <w:bCs w:val="false"/>
          <w:i w:val="false"/>
          <w:iCs w:val="false"/>
          <w:color w:val="666666"/>
          <w:sz w:val="22"/>
          <w:szCs w:val="22"/>
        </w:rPr>
        <w:t xml:space="preserve">Fifth, the document vault. Members are expected to upload insurance cards, vehicle registrations, driver's licenses, and other documents. The Document Vault Quest bot gamifies this process. But the vault itself — the secure storage, the upload interface, the verification workflow — does not exist yet.</w:t>
      </w:r>
    </w:p>
    <w:p>
      <w:pPr>
        <w:spacing w:after="200" w:before="0" w:line="320"/>
        <w:jc w:val="left"/>
      </w:pPr>
      <w:r>
        <w:rPr>
          <w:rFonts w:ascii="Nunito Sans" w:cs="Nunito Sans" w:eastAsia="Nunito Sans" w:hAnsi="Nunito Sans"/>
          <w:b/>
          <w:bCs/>
          <w:color w:val="111820"/>
          <w:sz w:val="22"/>
          <w:szCs w:val="22"/>
        </w:rPr>
        <w:t xml:space="preserve">Stage 6 — Gamification Engine. </w:t>
      </w:r>
      <w:r>
        <w:rPr>
          <w:rFonts w:ascii="Nunito Sans" w:cs="Nunito Sans" w:eastAsia="Nunito Sans" w:hAnsi="Nunito Sans"/>
          <w:b w:val="false"/>
          <w:bCs w:val="false"/>
          <w:i w:val="false"/>
          <w:iCs w:val="false"/>
          <w:color w:val="666666"/>
          <w:sz w:val="22"/>
          <w:szCs w:val="22"/>
        </w:rPr>
        <w:t xml:space="preserve">Sixth, the gamification engine. Experience points, badges, quests, and streaks are all documented with specific values and trigger conditions. None of it is implemented. A member who completes their profile should earn fifty XP and the 'Identity Verified' badge, but there is currently no system to track, award, or display these.</w:t>
      </w:r>
    </w:p>
    <w:p>
      <w:pPr>
        <w:spacing w:after="200" w:before="0" w:line="320"/>
        <w:jc w:val="left"/>
      </w:pPr>
      <w:r>
        <w:rPr>
          <w:rFonts w:ascii="Nunito Sans" w:cs="Nunito Sans" w:eastAsia="Nunito Sans" w:hAnsi="Nunito Sans"/>
          <w:b/>
          <w:bCs/>
          <w:color w:val="111820"/>
          <w:sz w:val="22"/>
          <w:szCs w:val="22"/>
        </w:rPr>
        <w:t xml:space="preserve">Stage 7 — Cross-Department Handoffs. </w:t>
      </w:r>
      <w:r>
        <w:rPr>
          <w:rFonts w:ascii="Nunito Sans" w:cs="Nunito Sans" w:eastAsia="Nunito Sans" w:hAnsi="Nunito Sans"/>
          <w:b w:val="false"/>
          <w:bCs w:val="false"/>
          <w:i w:val="false"/>
          <w:iCs w:val="false"/>
          <w:color w:val="666666"/>
          <w:sz w:val="22"/>
          <w:szCs w:val="22"/>
        </w:rPr>
        <w:t xml:space="preserve">Seventh, cross-department handoffs. Section nineteen of the governance document lays out a detailed handoff protocol — context packaging, member consent, data continuity, and audit logging. This protocol exists only on paper. There is no handoff service routing data between departments.</w:t>
      </w:r>
    </w:p>
    <w:p>
      <w:pPr>
        <w:spacing w:after="200" w:before="0" w:line="320"/>
        <w:jc w:val="left"/>
      </w:pPr>
      <w:r>
        <w:rPr>
          <w:rFonts w:ascii="Nunito Sans" w:cs="Nunito Sans" w:eastAsia="Nunito Sans" w:hAnsi="Nunito Sans"/>
          <w:b/>
          <w:bCs/>
          <w:color w:val="111820"/>
          <w:sz w:val="22"/>
          <w:szCs w:val="22"/>
        </w:rPr>
        <w:t xml:space="preserve">Stage 8 — Reporting Pipeline. </w:t>
      </w:r>
      <w:r>
        <w:rPr>
          <w:rFonts w:ascii="Nunito Sans" w:cs="Nunito Sans" w:eastAsia="Nunito Sans" w:hAnsi="Nunito Sans"/>
          <w:b w:val="false"/>
          <w:bCs w:val="false"/>
          <w:i w:val="false"/>
          <w:iCs w:val="false"/>
          <w:color w:val="666666"/>
          <w:sz w:val="22"/>
          <w:szCs w:val="22"/>
        </w:rPr>
        <w:t xml:space="preserve">Eighth, reporting and analytics. The MW Intelligence department has four bots dedicated to generating reports, analyzing trends, detecting anomalies, and running predictive models. These require data pipelines that do not yet exist. Without data flowing in, the intelligence bots have nothing to analyze.</w:t>
      </w:r>
    </w:p>
    <w:p>
      <w:pPr>
        <w:spacing w:after="200" w:before="0" w:line="320"/>
        <w:jc w:val="left"/>
      </w:pPr>
      <w:r>
        <w:rPr>
          <w:rFonts w:ascii="Nunito Sans" w:cs="Nunito Sans" w:eastAsia="Nunito Sans" w:hAnsi="Nunito Sans"/>
          <w:b/>
          <w:bCs/>
          <w:color w:val="111820"/>
          <w:sz w:val="22"/>
          <w:szCs w:val="22"/>
        </w:rPr>
        <w:t xml:space="preserve">Stage 9 — Member Portal. </w:t>
      </w:r>
      <w:r>
        <w:rPr>
          <w:rFonts w:ascii="Nunito Sans" w:cs="Nunito Sans" w:eastAsia="Nunito Sans" w:hAnsi="Nunito Sans"/>
          <w:b w:val="false"/>
          <w:bCs w:val="false"/>
          <w:i w:val="false"/>
          <w:iCs w:val="false"/>
          <w:color w:val="666666"/>
          <w:sz w:val="22"/>
          <w:szCs w:val="22"/>
        </w:rPr>
        <w:t xml:space="preserve">Ninth, the member portal. The documented portal includes a personalized dashboard with scores, active services, journey progress, upcoming appointments, and tier status. The current Wix site does not support any of this. Building the portal is a prerequisite for most member-facing bots to function.</w:t>
      </w:r>
    </w:p>
    <w:p>
      <w:pPr>
        <w:spacing w:after="200" w:before="0" w:line="320"/>
        <w:jc w:val="left"/>
      </w:pPr>
      <w:r>
        <w:rPr>
          <w:rFonts w:ascii="Nunito Sans" w:cs="Nunito Sans" w:eastAsia="Nunito Sans" w:hAnsi="Nunito Sans"/>
          <w:b/>
          <w:bCs/>
          <w:color w:val="111820"/>
          <w:sz w:val="22"/>
          <w:szCs w:val="22"/>
        </w:rPr>
        <w:t xml:space="preserve">Stage 10 — Staff Tools and Internal Dashboard. </w:t>
      </w:r>
      <w:r>
        <w:rPr>
          <w:rFonts w:ascii="Nunito Sans" w:cs="Nunito Sans" w:eastAsia="Nunito Sans" w:hAnsi="Nunito Sans"/>
          <w:b w:val="false"/>
          <w:bCs w:val="false"/>
          <w:i w:val="false"/>
          <w:iCs w:val="false"/>
          <w:color w:val="666666"/>
          <w:sz w:val="22"/>
          <w:szCs w:val="22"/>
        </w:rPr>
        <w:t xml:space="preserve">Tenth, staff tooling. Eight bots are classified as staff tools — things like the Sales Script Generator, the Cost Optimizer, and the Rate Negotiator Assistant. These need an internal interface that is completely separate from the member-facing site. This does not exist yet.</w:t>
      </w:r>
    </w:p>
    <w:p>
      <w:r>
        <w:br w:type="page"/>
      </w:r>
    </w:p>
    <w:p>
      <w:pPr>
        <w:pStyle w:val="Heading1"/>
      </w:pPr>
      <w:r>
        <w:rPr>
          <w:rFonts w:ascii="Cormorant Garamond" w:cs="Cormorant Garamond" w:eastAsia="Cormorant Garamond" w:hAnsi="Cormorant Garamond"/>
          <w:color w:val="111820"/>
        </w:rPr>
        <w:t xml:space="preserve">IV. Infrastructure Recommendations</w:t>
      </w:r>
    </w:p>
    <w:p>
      <w:pPr>
        <w:pBdr>
          <w:bottom w:val="single" w:color="C9920A" w:sz="4" w:space="1"/>
        </w:pBdr>
        <w:spacing w:after="200" w:before="200"/>
      </w:pPr>
    </w:p>
    <w:p>
      <w:pPr>
        <w:pStyle w:val="Heading2"/>
      </w:pPr>
      <w:r>
        <w:rPr>
          <w:rFonts w:ascii="Cormorant Garamond" w:cs="Cormorant Garamond" w:eastAsia="Cormorant Garamond" w:hAnsi="Cormorant Garamond"/>
          <w:color w:val="111820"/>
        </w:rPr>
        <w:t xml:space="preserve">Hosting and Domain</w:t>
      </w:r>
    </w:p>
    <w:p>
      <w:pPr>
        <w:spacing w:after="200" w:before="0" w:line="320"/>
        <w:jc w:val="left"/>
      </w:pPr>
      <w:r>
        <w:rPr>
          <w:rFonts w:ascii="Nunito Sans" w:cs="Nunito Sans" w:eastAsia="Nunito Sans" w:hAnsi="Nunito Sans"/>
          <w:b w:val="false"/>
          <w:bCs w:val="false"/>
          <w:i w:val="false"/>
          <w:iCs w:val="false"/>
          <w:color w:val="666666"/>
          <w:sz w:val="22"/>
          <w:szCs w:val="22"/>
        </w:rPr>
        <w:t xml:space="preserve">The HIRECAR domain, hirecar.la, is registered with GoDaddy. The website is currently on Wix, but we are recommending a migration away from Wix for several reasons. Wix limits our ability to build the custom member dashboard, does not support the kind of dynamic functionality our bots require, and charges monthly fees for capabilities we can get for free elsewhere.</w:t>
      </w:r>
    </w:p>
    <w:p>
      <w:pPr>
        <w:spacing w:after="200" w:before="0" w:line="320"/>
        <w:jc w:val="left"/>
      </w:pPr>
      <w:r>
        <w:rPr>
          <w:rFonts w:ascii="Nunito Sans" w:cs="Nunito Sans" w:eastAsia="Nunito Sans" w:hAnsi="Nunito Sans"/>
          <w:b w:val="false"/>
          <w:bCs w:val="false"/>
          <w:i w:val="false"/>
          <w:iCs w:val="false"/>
          <w:color w:val="666666"/>
          <w:sz w:val="22"/>
          <w:szCs w:val="22"/>
        </w:rPr>
        <w:t xml:space="preserve">Our recommendation is a two-platform approach at zero cost. The public-facing website — the marketing site, the landing pages, the service descriptions — should be hosted on Cloudflare Pages. It is completely free, deploys directly from GitHub, provides a global CDN for fast loading, and includes DDoS protection. The member dashboard — the logged-in experience with scores, services, and bot interactions — should be hosted on Vercel, which is also free for our usage level and supports the dynamic server-side rendering we need.</w:t>
      </w:r>
    </w:p>
    <w:p>
      <w:pPr>
        <w:spacing w:after="200" w:before="0" w:line="320"/>
        <w:jc w:val="left"/>
      </w:pPr>
      <w:r>
        <w:rPr>
          <w:rFonts w:ascii="Nunito Sans" w:cs="Nunito Sans" w:eastAsia="Nunito Sans" w:hAnsi="Nunito Sans"/>
          <w:b w:val="false"/>
          <w:bCs w:val="false"/>
          <w:i w:val="false"/>
          <w:iCs w:val="false"/>
          <w:color w:val="666666"/>
          <w:sz w:val="22"/>
          <w:szCs w:val="22"/>
        </w:rPr>
        <w:t xml:space="preserve">The domain stays on GoDaddy. We simply update the DNS nameservers to point to Cloudflare. The migration can happen without any downtime and without transferring the domain registration.</w:t>
      </w:r>
    </w:p>
    <w:p>
      <w:pPr>
        <w:pStyle w:val="Heading2"/>
      </w:pPr>
      <w:r>
        <w:rPr>
          <w:rFonts w:ascii="Cormorant Garamond" w:cs="Cormorant Garamond" w:eastAsia="Cormorant Garamond" w:hAnsi="Cormorant Garamond"/>
          <w:color w:val="111820"/>
        </w:rPr>
        <w:t xml:space="preserve">Email Architecture</w:t>
      </w:r>
    </w:p>
    <w:p>
      <w:pPr>
        <w:spacing w:after="200" w:before="0" w:line="320"/>
        <w:jc w:val="left"/>
      </w:pPr>
      <w:r>
        <w:rPr>
          <w:rFonts w:ascii="Nunito Sans" w:cs="Nunito Sans" w:eastAsia="Nunito Sans" w:hAnsi="Nunito Sans"/>
          <w:b w:val="false"/>
          <w:bCs w:val="false"/>
          <w:i w:val="false"/>
          <w:iCs w:val="false"/>
          <w:color w:val="666666"/>
          <w:sz w:val="22"/>
          <w:szCs w:val="22"/>
        </w:rPr>
        <w:t xml:space="preserve">To support bot automations, member communications, and internal operations, we need five email addresses on the hirecar.la domain. The first is members@hirecar.la for all member-facing automated communications — welcome emails, service confirmations, journey updates, and score reports. The second is ops@hirecar.la for internal operations — bot task outputs, fulfillment alerts, and staff notifications. The third is sales@hirecar.la for lead nurturing, follow-up sequences, and referral notifications. The fourth is noreply@hirecar.la for transactional emails that do not need replies — payment receipts, password resets, and system notifications. The fifth is support@hirecar.la for the Support Concierge bot and human support escalation.</w:t>
      </w:r>
    </w:p>
    <w:p>
      <w:pPr>
        <w:spacing w:after="200" w:before="0" w:line="320"/>
        <w:jc w:val="left"/>
      </w:pPr>
      <w:r>
        <w:rPr>
          <w:rFonts w:ascii="Nunito Sans" w:cs="Nunito Sans" w:eastAsia="Nunito Sans" w:hAnsi="Nunito Sans"/>
          <w:b w:val="false"/>
          <w:bCs w:val="false"/>
          <w:i w:val="false"/>
          <w:iCs w:val="false"/>
          <w:color w:val="666666"/>
          <w:sz w:val="22"/>
          <w:szCs w:val="22"/>
        </w:rPr>
        <w:t xml:space="preserve">We recommend starting with Zoho Mail for the receiving side — it is free for up to five users on a custom domain — and SendGrid for the sending side, which gives us one hundred emails per day on the free tier. As volume grows, we can upgrade SendGrid or switch to a platform like Postmark or Amazon SES.</w:t>
      </w:r>
    </w:p>
    <w:p>
      <w:pPr>
        <w:pStyle w:val="Heading2"/>
      </w:pPr>
      <w:r>
        <w:rPr>
          <w:rFonts w:ascii="Cormorant Garamond" w:cs="Cormorant Garamond" w:eastAsia="Cormorant Garamond" w:hAnsi="Cormorant Garamond"/>
          <w:color w:val="111820"/>
        </w:rPr>
        <w:t xml:space="preserve">Task Output System</w:t>
      </w:r>
    </w:p>
    <w:p>
      <w:pPr>
        <w:spacing w:after="200" w:before="0" w:line="320"/>
        <w:jc w:val="left"/>
      </w:pPr>
      <w:r>
        <w:rPr>
          <w:rFonts w:ascii="Nunito Sans" w:cs="Nunito Sans" w:eastAsia="Nunito Sans" w:hAnsi="Nunito Sans"/>
          <w:b w:val="false"/>
          <w:bCs w:val="false"/>
          <w:i w:val="false"/>
          <w:iCs w:val="false"/>
          <w:color w:val="666666"/>
          <w:sz w:val="22"/>
          <w:szCs w:val="22"/>
        </w:rPr>
        <w:t xml:space="preserve">The operations and sales teams need visibility into what the bots are producing. We are recommending a six-channel task output system. Two Slack channels provide real-time updates: a hirecar-ops channel for operations alerts, fulfillment updates, SLA warnings, and new enrollment notifications; and a hirecar-sales channel for new leads, hot prospects, follow-up reminders, and referral alerts. Three email digests provide batch summaries: a daily operations digest sent at seven AM, a daily sales digest sent at eight AM, and a weekly executive digest sent Monday mornings. Finally, a Staff Command Center dashboard — part of the internal tools we need to build — provides a searchable, filterable view of all bot outputs, tasks, and member activity.</w:t>
      </w:r>
    </w:p>
    <w:p>
      <w:r>
        <w:br w:type="page"/>
      </w:r>
    </w:p>
    <w:p>
      <w:pPr>
        <w:pStyle w:val="Heading1"/>
      </w:pPr>
      <w:r>
        <w:rPr>
          <w:rFonts w:ascii="Cormorant Garamond" w:cs="Cormorant Garamond" w:eastAsia="Cormorant Garamond" w:hAnsi="Cormorant Garamond"/>
          <w:color w:val="111820"/>
        </w:rPr>
        <w:t xml:space="preserve">V. Payment Processing and Revenue Readiness</w:t>
      </w:r>
    </w:p>
    <w:p>
      <w:pPr>
        <w:pBdr>
          <w:bottom w:val="single" w:color="C9920A" w:sz="4" w:space="1"/>
        </w:pBdr>
        <w:spacing w:after="200" w:before="200"/>
      </w:pPr>
    </w:p>
    <w:p>
      <w:pPr>
        <w:spacing w:after="200" w:before="0" w:line="320"/>
        <w:jc w:val="left"/>
      </w:pPr>
      <w:r>
        <w:rPr>
          <w:rFonts w:ascii="Nunito Sans" w:cs="Nunito Sans" w:eastAsia="Nunito Sans" w:hAnsi="Nunito Sans"/>
          <w:b w:val="false"/>
          <w:bCs w:val="false"/>
          <w:i w:val="false"/>
          <w:iCs w:val="false"/>
          <w:color w:val="666666"/>
          <w:sz w:val="22"/>
          <w:szCs w:val="22"/>
        </w:rPr>
        <w:t xml:space="preserve">Generating revenue requires three things: a way for members to pay, a way for the system to confirm payment, and a way for the system to trigger service delivery after payment. We currently have two of the three payment gateways active — PayPal and CashApp — but none of them are connected to automated workflows.</w:t>
      </w:r>
    </w:p>
    <w:p>
      <w:pPr>
        <w:spacing w:after="200" w:before="0" w:line="320"/>
        <w:jc w:val="left"/>
      </w:pPr>
      <w:r>
        <w:rPr>
          <w:rFonts w:ascii="Nunito Sans" w:cs="Nunito Sans" w:eastAsia="Nunito Sans" w:hAnsi="Nunito Sans"/>
          <w:b w:val="false"/>
          <w:bCs w:val="false"/>
          <w:i w:val="false"/>
          <w:iCs w:val="false"/>
          <w:color w:val="666666"/>
          <w:sz w:val="22"/>
          <w:szCs w:val="22"/>
        </w:rPr>
        <w:t xml:space="preserve">Stripe needs to be set up as the primary payment processor. It is the industry standard for subscription billing, one-time payments, and invoicing. Stripe provides webhooks that automatically notify our system when a payment succeeds, fails, or is disputed. This is what the Payment Confirmation bot, number one hundred and three, will monitor.</w:t>
      </w:r>
    </w:p>
    <w:p>
      <w:pPr>
        <w:spacing w:after="200" w:before="0" w:line="320"/>
        <w:jc w:val="left"/>
      </w:pPr>
      <w:r>
        <w:rPr>
          <w:rFonts w:ascii="Nunito Sans" w:cs="Nunito Sans" w:eastAsia="Nunito Sans" w:hAnsi="Nunito Sans"/>
          <w:b w:val="false"/>
          <w:bCs w:val="false"/>
          <w:i w:val="false"/>
          <w:iCs w:val="false"/>
          <w:color w:val="666666"/>
          <w:sz w:val="22"/>
          <w:szCs w:val="22"/>
        </w:rPr>
        <w:t xml:space="preserve">For PayPal and CashApp, we need to build lightweight confirmation workflows. PayPal offers Instant Payment Notifications that we can process through Make.com. CashApp is more manual — we may need to use email receipts or API polling to detect payments. The long-term goal is to consolidate on Stripe, but for launch, all three need to work.</w:t>
      </w:r>
    </w:p>
    <w:p>
      <w:pPr>
        <w:spacing w:after="200" w:before="0" w:line="320"/>
        <w:jc w:val="left"/>
      </w:pPr>
      <w:r>
        <w:rPr>
          <w:rFonts w:ascii="Nunito Sans" w:cs="Nunito Sans" w:eastAsia="Nunito Sans" w:hAnsi="Nunito Sans"/>
          <w:b w:val="false"/>
          <w:bCs w:val="false"/>
          <w:i w:val="false"/>
          <w:iCs w:val="false"/>
          <w:color w:val="666666"/>
          <w:sz w:val="22"/>
          <w:szCs w:val="22"/>
        </w:rPr>
        <w:t xml:space="preserve">The Payment Confirmation bot connects to the Service-to-Billing Bridge bot, which connects to each department's service delivery workflow. This chain — payment received, confirmation generated, service triggered — is the revenue backbone of HIRECAR. Until it is built, we cannot reliably take money and deliver services.</w:t>
      </w:r>
    </w:p>
    <w:p>
      <w:r>
        <w:br w:type="page"/>
      </w:r>
    </w:p>
    <w:p>
      <w:pPr>
        <w:pStyle w:val="Heading1"/>
      </w:pPr>
      <w:r>
        <w:rPr>
          <w:rFonts w:ascii="Cormorant Garamond" w:cs="Cormorant Garamond" w:eastAsia="Cormorant Garamond" w:hAnsi="Cormorant Garamond"/>
          <w:color w:val="111820"/>
        </w:rPr>
        <w:t xml:space="preserve">VI. Bernays' Engineering of Consent — Applied to HIRECAR</w:t>
      </w:r>
    </w:p>
    <w:p>
      <w:pPr>
        <w:pBdr>
          <w:bottom w:val="single" w:color="C9920A" w:sz="4" w:space="1"/>
        </w:pBdr>
        <w:spacing w:after="200" w:before="200"/>
      </w:pPr>
    </w:p>
    <w:p>
      <w:pPr>
        <w:spacing w:after="200" w:before="0" w:line="320"/>
        <w:jc w:val="left"/>
      </w:pPr>
      <w:r>
        <w:rPr>
          <w:rFonts w:ascii="Nunito Sans" w:cs="Nunito Sans" w:eastAsia="Nunito Sans" w:hAnsi="Nunito Sans"/>
          <w:b w:val="false"/>
          <w:bCs w:val="false"/>
          <w:i w:val="false"/>
          <w:iCs w:val="false"/>
          <w:color w:val="666666"/>
          <w:sz w:val="22"/>
          <w:szCs w:val="22"/>
        </w:rPr>
        <w:t xml:space="preserve">Edward Bernays outlined a framework for influencing public behavior through structured communication rather than coercion. He argued that before any campaign can succeed, four prerequisites must be in place: adequate resources, sound knowledge of the subject, clearly stated objectives, and thorough research into the public you intend to reach. HIRECAR meets all four. Our resources are lean but strategic. Our knowledge of the rideshare operator's pain points — from collision recovery to credit rebuilding — is deep and documented. Our objectives are clearly defined through the five-phase journey and six scoring systems. And our public research comes from direct experience serving the LA and SF markets.</w:t>
      </w:r>
    </w:p>
    <w:p>
      <w:pPr>
        <w:spacing w:after="200" w:before="0" w:line="320"/>
        <w:jc w:val="left"/>
      </w:pPr>
      <w:r>
        <w:rPr>
          <w:rFonts w:ascii="Nunito Sans" w:cs="Nunito Sans" w:eastAsia="Nunito Sans" w:hAnsi="Nunito Sans"/>
          <w:b w:val="false"/>
          <w:bCs w:val="false"/>
          <w:i w:val="false"/>
          <w:iCs w:val="false"/>
          <w:color w:val="666666"/>
          <w:sz w:val="22"/>
          <w:szCs w:val="22"/>
        </w:rPr>
        <w:t xml:space="preserve">Bernays described a three-layer communication strategy: themes, which are the overarching ideas people associate with your brand; strategy, which is how you sequence and target your messages; and approach, which is the specific content and channels you use. For HIRECAR, our themes are empowerment through knowledge, recovery with dignity, and financial independence. Our strategy is the consent-driven journey itself — rather than selling services, we create conditions where the member's own progress naturally leads them to the next service they need. Our approach is the bot ecosystem, which delivers the right message at the right moment through the right channel.</w:t>
      </w:r>
    </w:p>
    <w:p>
      <w:pPr>
        <w:spacing w:after="200" w:before="0" w:line="320"/>
        <w:jc w:val="left"/>
      </w:pPr>
      <w:r>
        <w:rPr>
          <w:rFonts w:ascii="Nunito Sans" w:cs="Nunito Sans" w:eastAsia="Nunito Sans" w:hAnsi="Nunito Sans"/>
          <w:b w:val="false"/>
          <w:bCs w:val="false"/>
          <w:i w:val="false"/>
          <w:iCs w:val="false"/>
          <w:color w:val="666666"/>
          <w:sz w:val="22"/>
          <w:szCs w:val="22"/>
        </w:rPr>
        <w:t xml:space="preserve">The most powerful concept from Bernays for our purposes is the chain reaction. He described how a single, well-placed event or message can trigger a cascading sequence of public attention and action. In HIRECAR, every bot trigger is a potential chain reaction point. When a member uploads their first document, it triggers the Document Vault Quest, which awards XP, which may trigger the Tier Progression Coach, which may reveal new services, which may trigger the Service Discovery Engine. One action leads to five. This is consent engineering in practice — the member chose to upload a document, and the system responded with value at every turn.</w:t>
      </w:r>
    </w:p>
    <w:p>
      <w:r>
        <w:br w:type="page"/>
      </w:r>
    </w:p>
    <w:p>
      <w:pPr>
        <w:pStyle w:val="Heading1"/>
      </w:pPr>
      <w:r>
        <w:rPr>
          <w:rFonts w:ascii="Cormorant Garamond" w:cs="Cormorant Garamond" w:eastAsia="Cormorant Garamond" w:hAnsi="Cormorant Garamond"/>
          <w:color w:val="111820"/>
        </w:rPr>
        <w:t xml:space="preserve">VII. New Bots and Governance Structure</w:t>
      </w:r>
    </w:p>
    <w:p>
      <w:pPr>
        <w:pBdr>
          <w:bottom w:val="single" w:color="C9920A" w:sz="4" w:space="1"/>
        </w:pBdr>
        <w:spacing w:after="200" w:before="200"/>
      </w:pPr>
    </w:p>
    <w:p>
      <w:pPr>
        <w:spacing w:after="200" w:before="0" w:line="320"/>
        <w:jc w:val="left"/>
      </w:pPr>
      <w:r>
        <w:rPr>
          <w:rFonts w:ascii="Nunito Sans" w:cs="Nunito Sans" w:eastAsia="Nunito Sans" w:hAnsi="Nunito Sans"/>
          <w:b w:val="false"/>
          <w:bCs w:val="false"/>
          <w:i w:val="false"/>
          <w:iCs w:val="false"/>
          <w:color w:val="666666"/>
          <w:sz w:val="22"/>
          <w:szCs w:val="22"/>
        </w:rPr>
        <w:t xml:space="preserve">To fill the gaps identified in this audit, we are proposing ten new bots, bringing the total from one hundred to one hundred and ten. Each new bot addresses a specific gap, and together they form a governance layer that the original architecture was missing.</w:t>
      </w:r>
    </w:p>
    <w:p>
      <w:pPr>
        <w:spacing w:after="200" w:before="0" w:line="320"/>
        <w:jc w:val="left"/>
      </w:pPr>
      <w:r>
        <w:rPr>
          <w:rFonts w:ascii="Nunito Sans" w:cs="Nunito Sans" w:eastAsia="Nunito Sans" w:hAnsi="Nunito Sans"/>
          <w:b/>
          <w:bCs/>
          <w:color w:val="111820"/>
          <w:sz w:val="22"/>
          <w:szCs w:val="22"/>
        </w:rPr>
        <w:t xml:space="preserve">Bot #0 — Chief of Staff. </w:t>
      </w:r>
      <w:r>
        <w:rPr>
          <w:rFonts w:ascii="Nunito Sans" w:cs="Nunito Sans" w:eastAsia="Nunito Sans" w:hAnsi="Nunito Sans"/>
          <w:b w:val="false"/>
          <w:bCs w:val="false"/>
          <w:i w:val="false"/>
          <w:iCs w:val="false"/>
          <w:color w:val="666666"/>
          <w:sz w:val="22"/>
          <w:szCs w:val="22"/>
        </w:rPr>
        <w:t xml:space="preserve">At the top of the hierarchy sits bot number zero, the Chief of Staff. This is the central orchestration bot that oversees all other bots, resolves conflicts when multiple bots want to engage the same member simultaneously, and ensures that the overall system is working in concert. The Chief of Staff does not interact with members directly — it is a system bot that coordinates the work of the other one hundred and nine bots.</w:t>
      </w:r>
    </w:p>
    <w:p>
      <w:pPr>
        <w:spacing w:after="200" w:before="0" w:line="320"/>
        <w:jc w:val="left"/>
      </w:pPr>
      <w:r>
        <w:rPr>
          <w:rFonts w:ascii="Nunito Sans" w:cs="Nunito Sans" w:eastAsia="Nunito Sans" w:hAnsi="Nunito Sans"/>
          <w:b/>
          <w:bCs/>
          <w:color w:val="111820"/>
          <w:sz w:val="22"/>
          <w:szCs w:val="22"/>
        </w:rPr>
        <w:t xml:space="preserve">Bot #102 — Director Governance. </w:t>
      </w:r>
      <w:r>
        <w:rPr>
          <w:rFonts w:ascii="Nunito Sans" w:cs="Nunito Sans" w:eastAsia="Nunito Sans" w:hAnsi="Nunito Sans"/>
          <w:b w:val="false"/>
          <w:bCs w:val="false"/>
          <w:i w:val="false"/>
          <w:iCs w:val="false"/>
          <w:color w:val="666666"/>
          <w:sz w:val="22"/>
          <w:szCs w:val="22"/>
        </w:rPr>
        <w:t xml:space="preserve">Bot number one hundred and two is the Director Governance Bot. While the Chief of Staff handles operational coordination, the Director Governance Bot handles strategic alignment. It ensures that every bot's outputs align with HIRECAR's company mission, values, and current business goals. If a bot is generating content or recommendations that drift from the company's positioning, the Director Governance Bot flags it for review.</w:t>
      </w:r>
    </w:p>
    <w:p>
      <w:pPr>
        <w:spacing w:after="200" w:before="0" w:line="320"/>
        <w:jc w:val="left"/>
      </w:pPr>
      <w:r>
        <w:rPr>
          <w:rFonts w:ascii="Nunito Sans" w:cs="Nunito Sans" w:eastAsia="Nunito Sans" w:hAnsi="Nunito Sans"/>
          <w:b/>
          <w:bCs/>
          <w:color w:val="111820"/>
          <w:sz w:val="22"/>
          <w:szCs w:val="22"/>
        </w:rPr>
        <w:t xml:space="preserve">Bots #101 and #103–#109. </w:t>
      </w:r>
      <w:r>
        <w:rPr>
          <w:rFonts w:ascii="Nunito Sans" w:cs="Nunito Sans" w:eastAsia="Nunito Sans" w:hAnsi="Nunito Sans"/>
          <w:b w:val="false"/>
          <w:bCs w:val="false"/>
          <w:i w:val="false"/>
          <w:iCs w:val="false"/>
          <w:color w:val="666666"/>
          <w:sz w:val="22"/>
          <w:szCs w:val="22"/>
        </w:rPr>
        <w:t xml:space="preserve">Bot one hundred and one is the Enrollment Bot, bridging the gap between marketing leads and active members. Bots one hundred and three through one hundred and nine fill the remaining infrastructure gaps: payment confirmation, operations command center, situation qualification for new member routing, service-to-billing bridging, collections escalation, retention and offboarding, and communication preference management.</w:t>
      </w:r>
    </w:p>
    <w:p>
      <w:pPr>
        <w:spacing w:after="200" w:before="0" w:line="320"/>
        <w:jc w:val="left"/>
      </w:pPr>
      <w:r>
        <w:rPr>
          <w:rFonts w:ascii="Nunito Sans" w:cs="Nunito Sans" w:eastAsia="Nunito Sans" w:hAnsi="Nunito Sans"/>
          <w:b w:val="false"/>
          <w:bCs w:val="false"/>
          <w:i w:val="false"/>
          <w:iCs w:val="false"/>
          <w:color w:val="666666"/>
          <w:sz w:val="22"/>
          <w:szCs w:val="22"/>
        </w:rPr>
        <w:t xml:space="preserve">The full command hierarchy flows from Director Governance at the top, to Chief of Staff in the middle, to the Enrollment Bot and all department bots at the operational layer, with the seven infrastructure bots supporting the connections between them.</w:t>
      </w:r>
    </w:p>
    <w:p>
      <w:r>
        <w:br w:type="page"/>
      </w:r>
    </w:p>
    <w:p>
      <w:pPr>
        <w:pStyle w:val="Heading1"/>
      </w:pPr>
      <w:r>
        <w:rPr>
          <w:rFonts w:ascii="Cormorant Garamond" w:cs="Cormorant Garamond" w:eastAsia="Cormorant Garamond" w:hAnsi="Cormorant Garamond"/>
          <w:color w:val="111820"/>
        </w:rPr>
        <w:t xml:space="preserve">VIII. Make.com and Automation Constraints</w:t>
      </w:r>
    </w:p>
    <w:p>
      <w:pPr>
        <w:pBdr>
          <w:bottom w:val="single" w:color="C9920A" w:sz="4" w:space="1"/>
        </w:pBdr>
        <w:spacing w:after="200" w:before="200"/>
      </w:pPr>
    </w:p>
    <w:p>
      <w:pPr>
        <w:spacing w:after="200" w:before="0" w:line="320"/>
        <w:jc w:val="left"/>
      </w:pPr>
      <w:r>
        <w:rPr>
          <w:rFonts w:ascii="Nunito Sans" w:cs="Nunito Sans" w:eastAsia="Nunito Sans" w:hAnsi="Nunito Sans"/>
          <w:b w:val="false"/>
          <w:bCs w:val="false"/>
          <w:i w:val="false"/>
          <w:iCs w:val="false"/>
          <w:color w:val="666666"/>
          <w:sz w:val="22"/>
          <w:szCs w:val="22"/>
        </w:rPr>
        <w:t xml:space="preserve">Our current Make.com account is on the Free plan, which gives us a maximum of two scenarios and one thousand operations per month. A scenario is an automated workflow — for example, 'when a new lead form is submitted, score the lead, add them to the CRM, and start the nurture sequence' would be one scenario. An operation is a single step within that scenario — each action, each data transformation, each API call counts as one operation.</w:t>
      </w:r>
    </w:p>
    <w:p>
      <w:pPr>
        <w:spacing w:after="200" w:before="0" w:line="320"/>
        <w:jc w:val="left"/>
      </w:pPr>
      <w:r>
        <w:rPr>
          <w:rFonts w:ascii="Nunito Sans" w:cs="Nunito Sans" w:eastAsia="Nunito Sans" w:hAnsi="Nunito Sans"/>
          <w:b w:val="false"/>
          <w:bCs w:val="false"/>
          <w:i w:val="false"/>
          <w:iCs w:val="false"/>
          <w:color w:val="666666"/>
          <w:sz w:val="22"/>
          <w:szCs w:val="22"/>
        </w:rPr>
        <w:t xml:space="preserve">With only two scenarios, we need to be extremely strategic. We recommend using the first scenario for the lead capture pipeline — this connects the website form to lead scoring, CRM entry, and the Enrollment Bot. The second scenario should handle payment confirmation — monitoring Stripe and PayPal webhooks and triggering service activation.</w:t>
      </w:r>
    </w:p>
    <w:p>
      <w:pPr>
        <w:spacing w:after="200" w:before="0" w:line="320"/>
        <w:jc w:val="left"/>
      </w:pPr>
      <w:r>
        <w:rPr>
          <w:rFonts w:ascii="Nunito Sans" w:cs="Nunito Sans" w:eastAsia="Nunito Sans" w:hAnsi="Nunito Sans"/>
          <w:b w:val="false"/>
          <w:bCs w:val="false"/>
          <w:i w:val="false"/>
          <w:iCs w:val="false"/>
          <w:color w:val="666666"/>
          <w:sz w:val="22"/>
          <w:szCs w:val="22"/>
        </w:rPr>
        <w:t xml:space="preserve">At one thousand operations per month, we can handle approximately thirty to fifty new leads and twenty to thirty payments before hitting the limit. Once we start growing beyond that, we will need to upgrade to the Core plan at nine dollars per month, which provides ten thousand operations and unlimited scenarios. This is not an urgent concern for launch, but it is a scaling constraint we should plan for.</w:t>
      </w:r>
    </w:p>
    <w:p>
      <w:r>
        <w:br w:type="page"/>
      </w:r>
    </w:p>
    <w:p>
      <w:pPr>
        <w:pStyle w:val="Heading1"/>
      </w:pPr>
      <w:r>
        <w:rPr>
          <w:rFonts w:ascii="Cormorant Garamond" w:cs="Cormorant Garamond" w:eastAsia="Cormorant Garamond" w:hAnsi="Cormorant Garamond"/>
          <w:color w:val="111820"/>
        </w:rPr>
        <w:t xml:space="preserve">IX. What We Do First — The Priority Execution Order</w:t>
      </w:r>
    </w:p>
    <w:p>
      <w:pPr>
        <w:pBdr>
          <w:bottom w:val="single" w:color="C9920A" w:sz="4" w:space="1"/>
        </w:pBdr>
        <w:spacing w:after="200" w:before="200"/>
      </w:pPr>
    </w:p>
    <w:p>
      <w:pPr>
        <w:spacing w:after="200" w:before="0" w:line="320"/>
        <w:jc w:val="left"/>
      </w:pPr>
      <w:r>
        <w:rPr>
          <w:rFonts w:ascii="Nunito Sans" w:cs="Nunito Sans" w:eastAsia="Nunito Sans" w:hAnsi="Nunito Sans"/>
          <w:b w:val="false"/>
          <w:bCs w:val="false"/>
          <w:i w:val="false"/>
          <w:iCs w:val="false"/>
          <w:color w:val="666666"/>
          <w:sz w:val="22"/>
          <w:szCs w:val="22"/>
        </w:rPr>
        <w:t xml:space="preserve">Not everything needs to happen at once. Here is the sequence we recommend, organized by priority level.</w:t>
      </w:r>
    </w:p>
    <w:p>
      <w:pPr>
        <w:spacing w:after="200" w:before="0" w:line="320"/>
        <w:jc w:val="left"/>
      </w:pPr>
      <w:r>
        <w:rPr>
          <w:rFonts w:ascii="Nunito Sans" w:cs="Nunito Sans" w:eastAsia="Nunito Sans" w:hAnsi="Nunito Sans"/>
          <w:b/>
          <w:bCs/>
          <w:color w:val="111820"/>
          <w:sz w:val="22"/>
          <w:szCs w:val="22"/>
        </w:rPr>
        <w:t xml:space="preserve">Priority Zero — Foundation. </w:t>
      </w:r>
      <w:r>
        <w:rPr>
          <w:rFonts w:ascii="Nunito Sans" w:cs="Nunito Sans" w:eastAsia="Nunito Sans" w:hAnsi="Nunito Sans"/>
          <w:b w:val="false"/>
          <w:bCs w:val="false"/>
          <w:i w:val="false"/>
          <w:iCs w:val="false"/>
          <w:color w:val="666666"/>
          <w:sz w:val="22"/>
          <w:szCs w:val="22"/>
        </w:rPr>
        <w:t xml:space="preserve">Priority Zero is our foundation — the things without which nothing else works. This means setting up Stripe, configuring the member services email on Zoho, building the Enrollment Bot, and wiring the Payment Confirmation bot to our payment gateways. These four items must be completed before we can accept a single paying member.</w:t>
      </w:r>
    </w:p>
    <w:p>
      <w:pPr>
        <w:spacing w:after="200" w:before="0" w:line="320"/>
        <w:jc w:val="left"/>
      </w:pPr>
      <w:r>
        <w:rPr>
          <w:rFonts w:ascii="Nunito Sans" w:cs="Nunito Sans" w:eastAsia="Nunito Sans" w:hAnsi="Nunito Sans"/>
          <w:b/>
          <w:bCs/>
          <w:color w:val="111820"/>
          <w:sz w:val="22"/>
          <w:szCs w:val="22"/>
        </w:rPr>
        <w:t xml:space="preserve">Priority One — Visibility. </w:t>
      </w:r>
      <w:r>
        <w:rPr>
          <w:rFonts w:ascii="Nunito Sans" w:cs="Nunito Sans" w:eastAsia="Nunito Sans" w:hAnsi="Nunito Sans"/>
          <w:b w:val="false"/>
          <w:bCs w:val="false"/>
          <w:i w:val="false"/>
          <w:iCs w:val="false"/>
          <w:color w:val="666666"/>
          <w:sz w:val="22"/>
          <w:szCs w:val="22"/>
        </w:rPr>
        <w:t xml:space="preserve">Priority One is our visibility and routing layer. This includes the Ops Command Center bot with Slack channels and email digests, the Situation Qualifier bot for intelligent member routing, and the Service-to-Billing Bridge. Without these, we can enroll members and take payments, but the operations team will be flying blind and service delivery will be manual.</w:t>
      </w:r>
    </w:p>
    <w:p>
      <w:pPr>
        <w:spacing w:after="200" w:before="0" w:line="320"/>
        <w:jc w:val="left"/>
      </w:pPr>
      <w:r>
        <w:rPr>
          <w:rFonts w:ascii="Nunito Sans" w:cs="Nunito Sans" w:eastAsia="Nunito Sans" w:hAnsi="Nunito Sans"/>
          <w:b/>
          <w:bCs/>
          <w:color w:val="111820"/>
          <w:sz w:val="22"/>
          <w:szCs w:val="22"/>
        </w:rPr>
        <w:t xml:space="preserve">Priority Two — Governance. </w:t>
      </w:r>
      <w:r>
        <w:rPr>
          <w:rFonts w:ascii="Nunito Sans" w:cs="Nunito Sans" w:eastAsia="Nunito Sans" w:hAnsi="Nunito Sans"/>
          <w:b w:val="false"/>
          <w:bCs w:val="false"/>
          <w:i w:val="false"/>
          <w:iCs w:val="false"/>
          <w:color w:val="666666"/>
          <w:sz w:val="22"/>
          <w:szCs w:val="22"/>
        </w:rPr>
        <w:t xml:space="preserve">Priority Two is governance and infrastructure. Deploy the Chief of Staff bot, the Director Governance bot, and migrate the website from Wix to Cloudflare Pages plus Vercel. This gives us strategic control over the bot ecosystem and a platform we fully own.</w:t>
      </w:r>
    </w:p>
    <w:p>
      <w:pPr>
        <w:spacing w:after="200" w:before="0" w:line="320"/>
        <w:jc w:val="left"/>
      </w:pPr>
      <w:r>
        <w:rPr>
          <w:rFonts w:ascii="Nunito Sans" w:cs="Nunito Sans" w:eastAsia="Nunito Sans" w:hAnsi="Nunito Sans"/>
          <w:b/>
          <w:bCs/>
          <w:color w:val="111820"/>
          <w:sz w:val="22"/>
          <w:szCs w:val="22"/>
        </w:rPr>
        <w:t xml:space="preserve">Priority Three — Retention. </w:t>
      </w:r>
      <w:r>
        <w:rPr>
          <w:rFonts w:ascii="Nunito Sans" w:cs="Nunito Sans" w:eastAsia="Nunito Sans" w:hAnsi="Nunito Sans"/>
          <w:b w:val="false"/>
          <w:bCs w:val="false"/>
          <w:i w:val="false"/>
          <w:iCs w:val="false"/>
          <w:color w:val="666666"/>
          <w:sz w:val="22"/>
          <w:szCs w:val="22"/>
        </w:rPr>
        <w:t xml:space="preserve">Priority Three covers member retention. Build the Collections Escalation bot, the Retention and Offboarding bot, and the Communication Preference bot. These prevent member churn and ensure respectful, professional handling of difficult situations like overdue payments and cancellations.</w:t>
      </w:r>
    </w:p>
    <w:p>
      <w:pPr>
        <w:spacing w:after="200" w:before="0" w:line="320"/>
        <w:jc w:val="left"/>
      </w:pPr>
      <w:r>
        <w:rPr>
          <w:rFonts w:ascii="Nunito Sans" w:cs="Nunito Sans" w:eastAsia="Nunito Sans" w:hAnsi="Nunito Sans"/>
          <w:b/>
          <w:bCs/>
          <w:color w:val="111820"/>
          <w:sz w:val="22"/>
          <w:szCs w:val="22"/>
        </w:rPr>
        <w:t xml:space="preserve">Priority Four — Experience. </w:t>
      </w:r>
      <w:r>
        <w:rPr>
          <w:rFonts w:ascii="Nunito Sans" w:cs="Nunito Sans" w:eastAsia="Nunito Sans" w:hAnsi="Nunito Sans"/>
          <w:b w:val="false"/>
          <w:bCs w:val="false"/>
          <w:i w:val="false"/>
          <w:iCs w:val="false"/>
          <w:color w:val="666666"/>
          <w:sz w:val="22"/>
          <w:szCs w:val="22"/>
        </w:rPr>
        <w:t xml:space="preserve">Priority Four is the member experience layer. Implement the scoring engines, build the gamification system, launch the member portal with the full dashboard, and activate the cross-department handoff protocol. This is what transforms HIRECAR from a service provider into the full consent-engineered ecosystem we envision.</w:t>
      </w:r>
    </w:p>
    <w:p>
      <w:r>
        <w:br w:type="page"/>
      </w:r>
    </w:p>
    <w:p>
      <w:pPr>
        <w:pStyle w:val="Heading1"/>
      </w:pPr>
      <w:r>
        <w:rPr>
          <w:rFonts w:ascii="Cormorant Garamond" w:cs="Cormorant Garamond" w:eastAsia="Cormorant Garamond" w:hAnsi="Cormorant Garamond"/>
          <w:color w:val="111820"/>
        </w:rPr>
        <w:t xml:space="preserve">X. Closing</w:t>
      </w:r>
    </w:p>
    <w:p>
      <w:pPr>
        <w:pBdr>
          <w:bottom w:val="single" w:color="C9920A" w:sz="4" w:space="1"/>
        </w:pBdr>
        <w:spacing w:after="200" w:before="200"/>
      </w:pPr>
    </w:p>
    <w:p>
      <w:pPr>
        <w:spacing w:after="200" w:before="0" w:line="320"/>
        <w:jc w:val="left"/>
      </w:pPr>
      <w:r>
        <w:rPr>
          <w:rFonts w:ascii="Nunito Sans" w:cs="Nunito Sans" w:eastAsia="Nunito Sans" w:hAnsi="Nunito Sans"/>
          <w:b w:val="false"/>
          <w:bCs w:val="false"/>
          <w:i w:val="false"/>
          <w:iCs w:val="false"/>
          <w:color w:val="666666"/>
          <w:sz w:val="22"/>
          <w:szCs w:val="22"/>
        </w:rPr>
        <w:t xml:space="preserve">HIRECAR has built something rare: a comprehensive blueprint for a consent-engineered ecosystem that treats rideshare operators with dignity and intelligence. The governance workflows document alone — nearly fifteen hundred lines of detailed architecture — represents a level of strategic thinking that most companies never achieve. The vision is not the problem. The problem is the distance between the vision and the reality.</w:t>
      </w:r>
    </w:p>
    <w:p>
      <w:pPr>
        <w:spacing w:after="200" w:before="0" w:line="320"/>
        <w:jc w:val="left"/>
      </w:pPr>
      <w:r>
        <w:rPr>
          <w:rFonts w:ascii="Nunito Sans" w:cs="Nunito Sans" w:eastAsia="Nunito Sans" w:hAnsi="Nunito Sans"/>
          <w:b w:val="false"/>
          <w:bCs w:val="false"/>
          <w:i w:val="false"/>
          <w:iCs w:val="false"/>
          <w:color w:val="666666"/>
          <w:sz w:val="22"/>
          <w:szCs w:val="22"/>
        </w:rPr>
        <w:t xml:space="preserve">This letter has mapped that distance in detail. Thirteen handoff gaps, ten operational gaps, zero-cost infrastructure strategies, email architecture, task output systems, payment processing, and a phased execution plan. Every gap has a solution. Every solution has a priority. Every priority has a reason.</w:t>
      </w:r>
    </w:p>
    <w:p>
      <w:pPr>
        <w:spacing w:after="200" w:before="0" w:line="320"/>
        <w:jc w:val="left"/>
      </w:pPr>
      <w:r>
        <w:rPr>
          <w:rFonts w:ascii="Nunito Sans" w:cs="Nunito Sans" w:eastAsia="Nunito Sans" w:hAnsi="Nunito Sans"/>
          <w:b w:val="false"/>
          <w:bCs w:val="false"/>
          <w:i w:val="false"/>
          <w:iCs w:val="false"/>
          <w:color w:val="666666"/>
          <w:sz w:val="22"/>
          <w:szCs w:val="22"/>
        </w:rPr>
        <w:t xml:space="preserve">The path forward is clear: build the foundation first — enrollment, payments, email, and the core bots — then layer on visibility, governance, retention, and the full member experience. Each layer makes the next one possible, and each one brings us closer to the system the documentation already describes.</w:t>
      </w:r>
    </w:p>
    <w:p>
      <w:pPr>
        <w:spacing w:after="200" w:before="0" w:line="320"/>
        <w:jc w:val="left"/>
      </w:pPr>
      <w:r>
        <w:rPr>
          <w:rFonts w:ascii="Nunito Sans" w:cs="Nunito Sans" w:eastAsia="Nunito Sans" w:hAnsi="Nunito Sans"/>
          <w:b/>
          <w:bCs/>
          <w:i w:val="false"/>
          <w:iCs w:val="false"/>
          <w:color w:val="111820"/>
          <w:sz w:val="24"/>
          <w:szCs w:val="24"/>
        </w:rPr>
        <w:t xml:space="preserve">We are ready to build.</w:t>
      </w:r>
    </w:p>
    <w:p>
      <w:pPr>
        <w:spacing w:after="0" w:before="400"/>
      </w:pPr>
    </w:p>
    <w:p>
      <w:pPr>
        <w:pBdr>
          <w:bottom w:val="single" w:color="C9920A" w:sz="4" w:space="1"/>
        </w:pBdr>
        <w:spacing w:after="200" w:before="200"/>
      </w:pPr>
    </w:p>
    <w:p>
      <w:pPr>
        <w:spacing w:after="200" w:before="0" w:line="320"/>
        <w:jc w:val="center"/>
      </w:pPr>
      <w:r>
        <w:rPr>
          <w:rFonts w:ascii="Nunito Sans" w:cs="Nunito Sans" w:eastAsia="Nunito Sans" w:hAnsi="Nunito Sans"/>
          <w:b w:val="false"/>
          <w:bCs w:val="false"/>
          <w:i/>
          <w:iCs/>
          <w:color w:val="C9920A"/>
          <w:sz w:val="22"/>
          <w:szCs w:val="22"/>
        </w:rPr>
        <w:t xml:space="preserve">Prepared by the HIRECAR Systems Architecture Team</w:t>
      </w:r>
    </w:p>
    <w:p>
      <w:pPr>
        <w:spacing w:after="200" w:before="0" w:line="320"/>
        <w:jc w:val="center"/>
      </w:pPr>
      <w:r>
        <w:rPr>
          <w:rFonts w:ascii="Nunito Sans" w:cs="Nunito Sans" w:eastAsia="Nunito Sans" w:hAnsi="Nunito Sans"/>
          <w:b w:val="false"/>
          <w:bCs w:val="false"/>
          <w:i/>
          <w:iCs/>
          <w:color w:val="666666"/>
          <w:sz w:val="18"/>
          <w:szCs w:val="18"/>
        </w:rPr>
        <w:t xml:space="preserve">Confidential — For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spacing w:before="0"/>
    </w:pPr>
    <w:r>
      <w:rPr>
        <w:rFonts w:ascii="Nunito Sans" w:cs="Nunito Sans" w:eastAsia="Nunito Sans" w:hAnsi="Nunito Sans"/>
        <w:color w:val="666666"/>
        <w:sz w:val="16"/>
        <w:szCs w:val="16"/>
      </w:rPr>
      <w:t xml:space="preserve">HIRECAR Findings Report — March 3, 2026</w:t>
    </w:r>
    <w:r>
      <w:rPr>
        <w:rFonts w:ascii="Nunito Sans" w:cs="Nunito Sans" w:eastAsia="Nunito Sans" w:hAnsi="Nunito Sans"/>
        <w:color w:val="666666"/>
        <w:sz w:val="16"/>
        <w:szCs w:val="16"/>
      </w:rPr>
      <w:t xml:space="preserve">	Page </w:t>
    </w:r>
    <w:r>
      <w:rPr>
        <w:rFonts w:ascii="Nunito Sans" w:cs="Nunito Sans" w:eastAsia="Nunito Sans" w:hAnsi="Nunito Sans"/>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20A" w:sz="2" w:space="4"/>
      </w:pBdr>
      <w:tabs>
        <w:tab w:val="right" w:pos="9026"/>
      </w:tabs>
      <w:spacing w:after="0"/>
    </w:pPr>
    <w:r>
      <w:rPr>
        <w:rFonts w:ascii="Cormorant Garamond" w:cs="Cormorant Garamond" w:eastAsia="Cormorant Garamond" w:hAnsi="Cormorant Garamond"/>
        <w:b/>
        <w:bCs/>
        <w:color w:val="C9920A"/>
        <w:sz w:val="18"/>
        <w:szCs w:val="18"/>
      </w:rPr>
      <w:t xml:space="preserve">HIRECAR, LLC</w:t>
    </w:r>
    <w:r>
      <w:rPr>
        <w:rFonts w:ascii="Nunito Sans" w:cs="Nunito Sans" w:eastAsia="Nunito Sans" w:hAnsi="Nunito Sans"/>
        <w:i/>
        <w:iCs/>
        <w:color w:val="666666"/>
        <w:sz w:val="16"/>
        <w:szCs w:val="16"/>
      </w:rPr>
      <w:t xml:space="preserve">	Confidential — Internal Findings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ormorant Garamond" w:cs="Cormorant Garamond" w:eastAsia="Cormorant Garamond" w:hAnsi="Cormorant Garamond"/>
      <w:b/>
      <w:bCs/>
      <w:color w:val="111820"/>
      <w:sz w:val="36"/>
      <w:szCs w:val="36"/>
    </w:rPr>
  </w:style>
  <w:style w:type="paragraph" w:styleId="Heading2">
    <w:name w:val="Heading 2"/>
    <w:basedOn w:val="Normal"/>
    <w:next w:val="Normal"/>
    <w:qFormat/>
    <w:pPr>
      <w:spacing w:after="120" w:before="240"/>
      <w:outlineLvl w:val="1"/>
    </w:pPr>
    <w:rPr>
      <w:rFonts w:ascii="Cormorant Garamond" w:cs="Cormorant Garamond" w:eastAsia="Cormorant Garamond" w:hAnsi="Cormorant Garamond"/>
      <w:b/>
      <w:bCs/>
      <w:color w:val="0F4C7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2026-03-03T20:26:06.815Z</dcterms:created>
  <dcterms:modified xsi:type="dcterms:W3CDTF">2026-03-03T20:26:06.815Z</dcterms:modified>
</cp:coreProperties>
</file>

<file path=docProps/custom.xml><?xml version="1.0" encoding="utf-8"?>
<Properties xmlns="http://schemas.openxmlformats.org/officeDocument/2006/custom-properties" xmlns:vt="http://schemas.openxmlformats.org/officeDocument/2006/docPropsVTypes"/>
</file>