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11820"/>
          <w:sz w:val="56"/>
          <w:szCs w:val="56"/>
        </w:rPr>
        <w:t xml:space="preserve">HIRECAR</w:t>
      </w:r>
    </w:p>
    <w:p>
      <w:pPr>
        <w:spacing w:before="120"/>
        <w:jc w:val="center"/>
      </w:pPr>
      <w:r>
        <w:rPr>
          <w:rFonts w:ascii="Arial" w:cs="Arial" w:eastAsia="Arial" w:hAnsi="Arial"/>
          <w:b/>
          <w:bCs/>
          <w:color w:val="C9920A"/>
          <w:sz w:val="22"/>
          <w:szCs w:val="22"/>
        </w:rPr>
        <w:t xml:space="preserve">AUTO OPERATOR INTELLIGENCE</w:t>
      </w:r>
    </w:p>
    <w:p>
      <w:pPr>
        <w:spacing w:before="600"/>
      </w:pPr>
    </w:p>
    <w:p>
      <w:pPr>
        <w:pBdr>
          <w:top w:val="single" w:color="C9920A" w:sz="2"/>
          <w:bottom w:val="single" w:color="C9920A" w:sz="2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11820"/>
          <w:sz w:val="36"/>
          <w:szCs w:val="36"/>
        </w:rPr>
        <w:t xml:space="preserve">WS3 DEPLOYMENT BUNDLE</w:t>
      </w:r>
    </w:p>
    <w:p>
      <w:pPr>
        <w:spacing w:before="200"/>
        <w:jc w:val="center"/>
      </w:pPr>
      <w:r>
        <w:rPr>
          <w:rFonts w:ascii="Arial" w:cs="Arial" w:eastAsia="Arial" w:hAnsi="Arial"/>
          <w:color w:val="0F4C75"/>
          <w:sz w:val="28"/>
          <w:szCs w:val="28"/>
        </w:rPr>
        <w:t xml:space="preserve">Content, Playbooks &amp; BitDocs</w:t>
      </w:r>
    </w:p>
    <w:p>
      <w:pPr>
        <w:spacing w:before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Marketing Content, SEO, Landing Pages, Publishing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HC-BDL-003-A | Rev A | 2026-03-04</w:t>
      </w:r>
    </w:p>
    <w:p>
      <w:pPr>
        <w:spacing w:before="4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Classification: Internal — Operations</w:t>
      </w:r>
    </w:p>
    <w:p>
      <w:pPr>
        <w:spacing w:before="4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HIRECAR, LLC dba HIRECREDIT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32"/>
          <w:szCs w:val="32"/>
        </w:rPr>
        <w:t xml:space="preserve">WS3 Mission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Workstation 3 owns all content production: marketing copy, blog posts, landing pages, SEO content, email campaigns, the BitDocs knowledge base, video content strategy, and the Executive Publishing Package.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32"/>
          <w:szCs w:val="32"/>
        </w:rPr>
        <w:t xml:space="preserve">Deliverables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Landing pages created for key services (credit repair, fleet, insurance)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SEO content plan for hirecar.la blog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campaign templates designed in SendGrid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BitDocs knowledge base articles written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Social media content calendar 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Video content scripts for YouTube/TikTok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Executive Publishing Package (HC-EAP-001-A) distributed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Client-facing playbook templates beyond credit disputes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Findings Letter (HC-RPT-003) finalized for stakeholders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32"/>
          <w:szCs w:val="32"/>
        </w:rPr>
        <w:t xml:space="preserve">Skills Inventory (11 total)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SkillsMP Skills (5)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content-marketer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marketing strategy &amp; execution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seo-content-writer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SEO-optimized blog posts &amp; articles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content-creator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content production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frontend-landings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development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landing-page-builder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Conversion-optimized landing pages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ClawHub Skills (6)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humanizer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humanization &amp; tone adjustment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youtube-watcher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competitor/trend analysis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youtube-api-skill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API for content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blogwatcher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content monitoring &amp; inspiration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summarize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summarization for social posts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nano-pdf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generation for client documents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32"/>
          <w:szCs w:val="32"/>
        </w:rPr>
        <w:t xml:space="preserve">Supporting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360"/>
        <w:gridCol w:w="3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HIRECAR_Executive_Publishing_Package.docx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HC-EAP-001-A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Executive/board deliverables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HIRECAR_Findings_Letter.docx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HC-RPT-003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Stakeholder findings report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WS3_Content_Playbooks_BitDocs_Package.docx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HC-WPK-003-A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workspace instructions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32"/>
          <w:szCs w:val="32"/>
        </w:rPr>
        <w:t xml:space="preserve">Content Pipeline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Immediate (Week 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3 core landing pages: Credit Repair, Fleet Services, Insurance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Publish 2 blog posts: "How Credit Score Affects Your Rideshare Business" + "Fleet Financing Guide for LA Operators"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social media profiles and first 5 posts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Short-Term (Week 2-4)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BitDocs knowledge base (10 articles covering FICO, disputes, vehicle financing)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Launch email drip campaign for new enrollees (4-email sequence)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YouTube channel with 2 intro videos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Ongoing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Weekly blog post (SEO-optimized)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Daily social media post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Monthly email newsletter to all members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Quarterly Executive Publishing Package update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32"/>
          <w:szCs w:val="32"/>
        </w:rPr>
        <w:t xml:space="preserve">Execution Order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Review and finalize Executive Publishing Package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core landing pages using landing-page-builder skill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initial blog content using seo-content-writer skill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BitDocs knowledge base structure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email drip campaign templates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Plan social media content calendar (30 days)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Script first 2 video content pieces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all content to hirecar.la</w:t>
      </w:r>
    </w:p>
    <w:p>
      <w:pPr>
        <w:pBdr>
          <w:left w:val="single" w:color="C9920A" w:sz="6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WS3 depends on WS1 (site must be deployed first) and shares email templates with WS2 enrollment chain. Coordinate on SendGrid template IDs.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HIRECAR WS3 Bundle | 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118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4C7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2026-03-04T02:50:24.836Z</dcterms:created>
  <dcterms:modified xsi:type="dcterms:W3CDTF">2026-03-04T02:50:24.836Z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