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Editable convenience copy — canonical version is the corresponding PDF.</w:t>
      </w: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44"/>
        </w:rPr>
        <w:t>FlowBridge | On-chain Evidence Pack</w:t>
      </w:r>
    </w:p>
    <w:p>
      <w:pPr>
        <w:autoSpaceDN w:val="0"/>
        <w:autoSpaceDE w:val="0"/>
        <w:widowControl/>
        <w:spacing w:line="206" w:lineRule="auto" w:before="14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44"/>
        </w:rPr>
        <w:t>v1.1</w:t>
      </w:r>
    </w:p>
    <w:p>
      <w:pPr>
        <w:autoSpaceDN w:val="0"/>
        <w:autoSpaceDE w:val="0"/>
        <w:widowControl/>
        <w:spacing w:line="283" w:lineRule="auto" w:before="198" w:after="0"/>
        <w:ind w:left="130" w:right="230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SUPPORTING PRODUCT EVIDENCE — NOT PROGRAM MONITORING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Read-only snapshot 2026-10-11T16:34:49.222976+00:00; BOT Mainnet block 26336212.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No volume, users, counts, TVL, gas-activity aggregates or eligibility percentages claimed.</w:t>
      </w:r>
    </w:p>
    <w:p>
      <w:pPr>
        <w:autoSpaceDN w:val="0"/>
        <w:autoSpaceDE w:val="0"/>
        <w:widowControl/>
        <w:spacing w:line="206" w:lineRule="auto" w:before="128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30"/>
        </w:rPr>
        <w:t>VERIFIED SMART CONTRACTS &amp; ON-CHAIN INFRASTRUCTURE</w:t>
      </w:r>
    </w:p>
    <w:p>
      <w:pPr>
        <w:autoSpaceDN w:val="0"/>
        <w:autoSpaceDE w:val="0"/>
        <w:widowControl/>
        <w:spacing w:line="206" w:lineRule="auto" w:before="35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 Token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Fixed-supply FLOW token; no future mint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contracts/production/V30_2B_R1_SETTLEMENT.json;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Rewards Distributor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Funded Merkle round claims; explicit publisher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Activity Registry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Controlled canonical activity attestations.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contracts/production/V30_2B_R3_SETTLEMENT.json;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Reward Treasury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Segregated pre-funded reward inventory and obligation accounting.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1852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contracts/production/V30_2B_R4_SETTLEMENT.json;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32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Controller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Genesis/floor economics; variable rewards disabled while oracle unset.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contracts/production/V30_2B_R5_SETTLEMENT.json;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Vault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Principal custody, positions, reward claims and maturity withdrawals.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contracts/production/V30_2B_R6_SETTLEMENT.json;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V3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Current single-step / staged execution dispatcher; platform fee retained.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V4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ACTIVE PRODUCTION — Promoted atomic native BOT / BDEX V3 multi-pool execution; other route classes remain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staged.</w:t>
      </w:r>
    </w:p>
    <w:p>
      <w:pPr>
        <w:autoSpaceDN w:val="0"/>
        <w:autoSpaceDE w:val="0"/>
        <w:widowControl/>
        <w:spacing w:line="305" w:lineRule="auto" w:before="94" w:after="0"/>
        <w:ind w:left="130" w:right="331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0x79653140D84B78C19354ee984f236Ec92160fc61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https://scan.botchain.ai/address/0x79653140D84B78C19354ee984f236Ec92160fc61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promotion record; frozen runtime SHA256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a42e53b15977c57b81fa63c575b9cb39100b873c50a523b68f02df7bd8bec41d.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Lens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Read-only lens bound to current Router V4.</w:t>
      </w:r>
    </w:p>
    <w:p>
      <w:pPr>
        <w:autoSpaceDN w:val="0"/>
        <w:autoSpaceDE w:val="0"/>
        <w:widowControl/>
        <w:spacing w:line="300" w:lineRule="auto" w:before="94" w:after="2412"/>
        <w:ind w:left="130" w:right="302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0xb82038aC3d2df60f5B5fE06D6FDe3CFDd1B76BD0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https://scan.botchain.ai/address/0xb82038aC3d2df60f5B5fE06D6FDe3CFDd1B76BD0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Router V4 promotion record; live flowRouter binding 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Governance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governance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Treasury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treasury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Operations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emergency / operations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Testnet | Chain 968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https://scan.bohr.life/address/0x1b97CCbAE4D5128f8E5591ada21476609c7F2960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26502665.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Mainnet | Chain 56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1312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https://bscscan.com/address/0xA861152Ca3676bcCf7B5FDAFB9eb6A57b9d32d0e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127052551.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Testnet | Chain 97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0x535dDDA826142AC42cE288154e9595f080940aE9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https://testnet.bscscan.com/address/0x535dDDA826142AC42cE288154e9595f080940aE9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136198901.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pool discovery.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SwapRouter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7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EXTERNAL INTEGRATION — External venue accessed through FlowBridge routing, not a FlowBridge-owned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Quoter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route quoting.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Position Manager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NFT liquidity infrastructure; Mainnet liquidity writes remain disabled.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Wrapped BOT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wrapped native token.</w:t>
      </w:r>
    </w:p>
    <w:p>
      <w:pPr>
        <w:autoSpaceDN w:val="0"/>
        <w:autoSpaceDE w:val="0"/>
        <w:widowControl/>
        <w:spacing w:line="300" w:lineRule="auto" w:before="94" w:after="103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 USDT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stablecoin used by trading routes.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BDEX V3 1% FLOW/USDT pool; factory binding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intermediate native-token trading pool.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V2 venue; factory read from router.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CaryPact venue; runtime factory differs from historic configuration.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Official BOT Bridge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Official external BOT Bridge, not FlowBridge-owned.</w:t>
      </w:r>
    </w:p>
    <w:p>
      <w:pPr>
        <w:autoSpaceDN w:val="0"/>
        <w:autoSpaceDE w:val="0"/>
        <w:widowControl/>
        <w:spacing w:line="300" w:lineRule="auto" w:before="94" w:after="131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p>
      <w:pPr>
        <w:autoSpaceDN w:val="0"/>
        <w:autoSpaceDE w:val="0"/>
        <w:widowControl/>
        <w:spacing w:line="206" w:lineRule="auto" w:before="294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STAKING &amp; REWARDS — VERIFIED STATE</w:t>
      </w:r>
    </w:p>
    <w:p>
      <w:pPr>
        <w:autoSpaceDN w:val="0"/>
        <w:autoSpaceDE w:val="0"/>
        <w:widowControl/>
        <w:spacing w:line="283" w:lineRule="auto" w:before="212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Flexible and 30D completed real-mainnet claim/withdrawal evidence. 30D position #2 is closed; both receipts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rechecked successfully. Positions #4/#5/#6 are open with 100 FLOW each for 90D/180D/365D; real maturity is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still in progress, not verified.</w:t>
      </w:r>
    </w:p>
    <w:p>
      <w:pPr>
        <w:autoSpaceDN w:val="0"/>
        <w:autoSpaceDE w:val="0"/>
        <w:widowControl/>
        <w:spacing w:line="293" w:lineRule="auto" w:before="100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Unlock times: #4 2027-01-09 16:11:06 UTC; #5 2027-04-09 16:11:53 UTC; #6 2027-10-11 16:12:15 UTC.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All five products passed historical local-fork lifecycle simulations, recorded separately from real maturity. Longer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terms remain canary-only in the application. Withdraw returns principal; rewards are claimed separately,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including after closure.</w:t>
      </w:r>
    </w:p>
    <w:p>
      <w:pPr>
        <w:autoSpaceDN w:val="0"/>
        <w:autoSpaceDE w:val="0"/>
        <w:widowControl/>
        <w:spacing w:line="283" w:lineRule="auto" w:before="100" w:after="0"/>
        <w:ind w:left="130" w:right="43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Live variable price oracle remains the zero address; no oracle or configuration activation. Genesis reward-days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are shared per wallet, not reset per position. Governance / Treasury / Operations Safe thresholds read live: 2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signatures each.</w:t>
      </w:r>
    </w:p>
    <w:p>
      <w:pPr>
        <w:autoSpaceDN w:val="0"/>
        <w:autoSpaceDE w:val="0"/>
        <w:widowControl/>
        <w:spacing w:line="264" w:lineRule="auto" w:before="100" w:after="0"/>
        <w:ind w:left="130" w:right="187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Funded Merkle distributor and historical reward claims are production evidence, not BOT Chain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incentive-monitoring results.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VERIFIED HISTORICAL RECEIPTS</w:t>
      </w:r>
    </w:p>
    <w:p>
      <w:pPr>
        <w:autoSpaceDN w:val="0"/>
        <w:autoSpaceDE w:val="0"/>
        <w:widowControl/>
        <w:spacing w:line="329" w:lineRule="auto" w:before="206" w:after="652"/>
        <w:ind w:left="130" w:right="172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0x1514c6db432b5fe9f974da4d319ae3705b424c3028c52eda3ea80d835dae1570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21826909; target 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https://scan.botchain.ai/tx/0x1514c6db432b5fe9f974da4d319ae3705b424c3028c52eda3ea80d835dae1570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0x531116aba0310af070e4312660d5f737d56d97e88628e047f48e764288ab57e9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21826974; target 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https://scan.botchain.ai/tx/0x531116aba0310af070e4312660d5f737d56d97e88628e047f48e764288ab57e9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0xbcf09aa242f59f5b1ead0d592165d233880a8aadd144b771786b971ce3c0d1d4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26323903; target 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https://scan.botchain.ai/tx/0xbcf09aa242f59f5b1ead0d592165d233880a8aadd144b771786b971ce3c0d1d4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0x2d8a91b6e1ac3ae7ffe3b07ec17c1788b316db42b76e71a4ef29bb5ca4a24155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26323952; target 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https://scan.botchain.ai/tx/0x2d8a91b6e1ac3ae7ffe3b07ec17c1788b316db42b76e71a4ef29bb5ca4a24155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0x5ce8ba018be8da4c3456b3885c9df1a1b3dd16d49a57778591f55a2ff29cfbb6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25300065; target None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https://scan.botchain.ai/tx/0x5ce8ba018be8da4c3456b3885c9df1a1b3dd16d49a57778591f55a2ff29cfbb6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0x87c49a8d6778bcfe7e1f45eeae7c80c7de14fc76688515ba75c3ecf71e947f0a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25300097; target None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https://scan.botchain.ai/tx/0x87c49a8d6778bcfe7e1f45eeae7c80c7de14fc76688515ba75c3ecf71e947f0a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0xe7308c9d3477eeef93e7b3259f0e765f00191e32eed731215cd5216a50ec2a15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130" w:right="172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25300204; target 0x79653140d84b78c19354ee984f236ec92160fc61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https://scan.botchain.ai/tx/0xe7308c9d3477eeef93e7b3259f0e765f00191e32eed731215cd5216a50ec2a15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0x29ddad4e53f09440e1cf22d9b74581ca69e673da504ec83a195b9dcc90279ce0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Status success; block 25300241; target 0x79653140d84b78c19354ee984f236ec92160fc61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https://scan.botchain.ai/tx/0x29ddad4e53f09440e1cf22d9b74581ca69e673da504ec83a195b9dcc90279ce0</w:t>
      </w:r>
    </w:p>
    <w:p>
      <w:pPr>
        <w:autoSpaceDN w:val="0"/>
        <w:autoSpaceDE w:val="0"/>
        <w:widowControl/>
        <w:spacing w:line="206" w:lineRule="auto" w:before="134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DEPLOYMENT / MULTISEND SOURCES</w:t>
      </w:r>
    </w:p>
    <w:p>
      <w:pPr>
        <w:autoSpaceDN w:val="0"/>
        <w:autoSpaceDE w:val="0"/>
        <w:widowControl/>
        <w:spacing w:line="322" w:lineRule="auto" w:before="206" w:after="0"/>
        <w:ind w:left="130" w:right="43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contracts/production/V30_2B_R1_SETTLEMENT.json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contracts/production/V30_2B_R2_SETTLEMENT.json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contracts/production/V30_2B_R3_SETTLEMENT.json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contracts/production/V30_2B_R4_SETTLEMENT.json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contracts/production/V30_2B_R5_SETTLEMENT.json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contracts/production/V30_2B_R6_SETTLEMENT.json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contracts/production/multisend-v1/release/BOT_MAINNET_RELEASE.md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contracts/production/multisend-v1/release/BNB_MAINNET_RELEASE.md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contracts/production/v30-2b-staking-genesis-canary/P3B_SETTLEMENT.json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contracts/production/router-v4-native-v3-multi/README.md</w:t>
      </w:r>
    </w:p>
    <w:p>
      <w:pPr>
        <w:autoSpaceDN w:val="0"/>
        <w:autoSpaceDE w:val="0"/>
        <w:widowControl/>
        <w:spacing w:line="206" w:lineRule="auto" w:before="134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EXCLUSION POLICY</w:t>
      </w:r>
    </w:p>
    <w:p>
      <w:pPr>
        <w:autoSpaceDN w:val="0"/>
        <w:autoSpaceDE w:val="0"/>
        <w:widowControl/>
        <w:spacing w:line="293" w:lineRule="auto" w:before="212" w:after="8126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Quarantined old activity registry and superseded V30.2A contracts are excluded. Old unconfigured V4/Lens are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historical, not current execution. BOT Testnet old MultiSend is excluded only on chain 968; the same address is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current on BNB Testnet 97. No additional active FlowBridge DEX adapter discovered; the active venues are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00" w:right="810" w:bottom="200" w:left="8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Editable convenience copy — canonical version is the corresponding PDF.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