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Editable convenience copy — canonical version is the corresponding PDF.</w:t>
      </w:r>
    </w:p>
    <w:p>
      <w:pPr>
        <w:autoSpaceDN w:val="0"/>
        <w:autoSpaceDE w:val="0"/>
        <w:widowControl/>
        <w:spacing w:line="220" w:lineRule="exact" w:before="0" w:after="180"/>
        <w:ind w:left="0" w:right="0"/>
      </w:pPr>
    </w:p>
    <w:p>
      <w:pPr>
        <w:autoSpaceDN w:val="0"/>
        <w:autoSpaceDE w:val="0"/>
        <w:widowControl/>
        <w:spacing w:line="290" w:lineRule="exact" w:before="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A7A65"/>
          <w:sz w:val="26"/>
        </w:rPr>
        <w:t>FLOWBRIDGE</w:t>
      </w:r>
    </w:p>
    <w:p>
      <w:pPr>
        <w:autoSpaceDN w:val="0"/>
        <w:tabs>
          <w:tab w:pos="2224" w:val="left"/>
        </w:tabs>
        <w:autoSpaceDE w:val="0"/>
        <w:widowControl/>
        <w:spacing w:line="644" w:lineRule="exact" w:before="268" w:after="0"/>
        <w:ind w:left="918" w:right="864" w:firstLine="0"/>
        <w:jc w:val="left"/>
      </w:pPr>
      <w:r>
        <w:tab/>
      </w:r>
      <w:r>
        <w:rPr>
          <w:rFonts w:ascii="Helvetica" w:hAnsi="Helvetica" w:eastAsia="Helvetica"/>
          <w:b w:val="0"/>
          <w:i w:val="0"/>
          <w:color w:val="000000"/>
          <w:sz w:val="32"/>
        </w:rPr>
        <w:t xml:space="preserve">FlowBridge Whitepaper v1.1 </w:t>
      </w:r>
      <w:r>
        <w:br/>
      </w:r>
      <w:r>
        <w:rPr>
          <w:rFonts w:ascii="Liberation Sans" w:hAnsi="Liberation Sans" w:eastAsia="Liberation Sans"/>
          <w:b w:val="0"/>
          <w:i w:val="0"/>
          <w:color w:val="42586A"/>
          <w:sz w:val="26"/>
        </w:rPr>
        <w:t>A non-custodial AI-guided DeFi and ecosystem growth layer for BOT Chain</w:t>
      </w:r>
    </w:p>
    <w:p>
      <w:pPr>
        <w:autoSpaceDN w:val="0"/>
        <w:autoSpaceDE w:val="0"/>
        <w:widowControl/>
        <w:spacing w:line="268" w:lineRule="exact" w:before="25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A7A65"/>
          <w:sz w:val="24"/>
        </w:rPr>
        <w:t>Earn. Learn. Grow. Support BOT Chain.</w:t>
      </w:r>
    </w:p>
    <w:p>
      <w:pPr>
        <w:autoSpaceDN w:val="0"/>
        <w:autoSpaceDE w:val="0"/>
        <w:widowControl/>
        <w:spacing w:line="212" w:lineRule="exact" w:before="248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667788"/>
          <w:sz w:val="19"/>
        </w:rPr>
        <w:t>BOT Mainnet 677 | Mainnet Live | Non-custodial | EVM Deployment Track #1 Winner</w:t>
      </w:r>
    </w:p>
    <w:p>
      <w:pPr>
        <w:autoSpaceDN w:val="0"/>
        <w:autoSpaceDE w:val="0"/>
        <w:widowControl/>
        <w:spacing w:line="240" w:lineRule="auto" w:before="23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46520" cy="3509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50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68" w:lineRule="exact" w:before="5568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667788"/>
          <w:sz w:val="15"/>
        </w:rPr>
        <w:t>FlowBridge Whitepaper v1.0 | 29 Sep 2026</w:t>
      </w:r>
    </w:p>
    <w:p>
      <w:pPr>
        <w:sectPr>
          <w:pgSz w:w="12240" w:h="15840"/>
          <w:pgMar w:top="400" w:right="864" w:bottom="360" w:left="88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6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2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Abstract</w:t>
      </w:r>
    </w:p>
    <w:p>
      <w:pPr>
        <w:autoSpaceDN w:val="0"/>
        <w:autoSpaceDE w:val="0"/>
        <w:widowControl/>
        <w:spacing w:line="238" w:lineRule="exact" w:before="22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FlowBridge is a mainnet-live application that reduces the complexity of participating in the BOT Chain ecosystem. It brings trading,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bridging, staking, rewards, batch asset movement, ecosystem discovery and guided education into one non-custodial experience. </w:t>
      </w:r>
    </w:p>
    <w:p>
      <w:pPr>
        <w:autoSpaceDN w:val="0"/>
        <w:autoSpaceDE w:val="0"/>
        <w:widowControl/>
        <w:spacing w:line="238" w:lineRule="exact" w:before="0" w:after="0"/>
        <w:ind w:left="2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FlowBridge is designed around a simple principle: software may guide and verify, but the user wallet remains the authority for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economic transactions.</w:t>
      </w:r>
    </w:p>
    <w:p>
      <w:pPr>
        <w:autoSpaceDN w:val="0"/>
        <w:autoSpaceDE w:val="0"/>
        <w:widowControl/>
        <w:spacing w:line="238" w:lineRule="exact" w:before="200" w:after="0"/>
        <w:ind w:left="2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The project uses deployed smart contracts and canonical on-chain evidence to separate user principal, reward inventory,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governance authority and application guidance. FlowBridge won 1st Place in the EVM Deployment Track of BOT Chain Builder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Challenge #1 and is now positioned to scale from technical validation to broader ecosystem adoption.</w:t>
      </w:r>
    </w:p>
    <w:p>
      <w:pPr>
        <w:autoSpaceDN w:val="0"/>
        <w:autoSpaceDE w:val="0"/>
        <w:widowControl/>
        <w:spacing w:line="366" w:lineRule="exact" w:before="512" w:after="0"/>
        <w:ind w:left="2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1. Vision</w:t>
      </w:r>
    </w:p>
    <w:p>
      <w:pPr>
        <w:autoSpaceDN w:val="0"/>
        <w:autoSpaceDE w:val="0"/>
        <w:widowControl/>
        <w:spacing w:line="238" w:lineRule="exact" w:before="22" w:after="232"/>
        <w:ind w:left="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Web3 users often encounter a fragmented journey: find a token, locate the correct DEX, understand the route, bridge assets, verify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network settings, stake, claim rewards, and determine which actions are actually final. FlowBridge turns this fragmented flow into a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guided path while retaining the open, wallet-controlled nature of on-chain execution.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76"/>
      </w:tblGrid>
      <w:tr>
        <w:trPr>
          <w:trHeight w:hRule="exact" w:val="250"/>
        </w:trPr>
        <w:tc>
          <w:tcPr>
            <w:tcW w:type="dxa" w:w="10454"/>
            <w:tcBorders/>
            <w:shd w:fill="e9ff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A7A65"/>
                <w:sz w:val="20"/>
              </w:rPr>
              <w:t>Core message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4.000000000000057" w:type="dxa"/>
      </w:tblPr>
      <w:tblGrid>
        <w:gridCol w:w="5238"/>
        <w:gridCol w:w="5238"/>
      </w:tblGrid>
      <w:tr>
        <w:trPr>
          <w:trHeight w:hRule="exact" w:val="1890"/>
        </w:trPr>
        <w:tc>
          <w:tcPr>
            <w:tcW w:type="dxa" w:w="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872" w:after="0"/>
              <w:ind w:left="16" w:right="12" w:firstLine="0"/>
              <w:jc w:val="both"/>
            </w:pP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</w:p>
        </w:tc>
        <w:tc>
          <w:tcPr>
            <w:tcW w:type="dxa" w:w="9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2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Earn. Learn. Grow. Support BOT Chain.</w:t>
            </w:r>
          </w:p>
          <w:p>
            <w:pPr>
              <w:autoSpaceDN w:val="0"/>
              <w:autoSpaceDE w:val="0"/>
              <w:widowControl/>
              <w:spacing w:line="200" w:lineRule="exact" w:before="676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Earn: access transparent staking and verified campaign rewards without fabricated yields.</w:t>
            </w:r>
          </w:p>
          <w:p>
            <w:pPr>
              <w:autoSpaceDN w:val="0"/>
              <w:autoSpaceDE w:val="0"/>
              <w:widowControl/>
              <w:spacing w:line="200" w:lineRule="exact" w:before="38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Learn: understand what an action does, what it costs, what can fail and what happens next.</w:t>
            </w:r>
          </w:p>
          <w:p>
            <w:pPr>
              <w:autoSpaceDN w:val="0"/>
              <w:autoSpaceDE w:val="0"/>
              <w:widowControl/>
              <w:spacing w:line="200" w:lineRule="exact" w:before="40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Grow: discover new BOT Chain routes, projects and participation opportunities.</w:t>
            </w:r>
          </w:p>
          <w:p>
            <w:pPr>
              <w:autoSpaceDN w:val="0"/>
              <w:autoSpaceDE w:val="0"/>
              <w:widowControl/>
              <w:spacing w:line="200" w:lineRule="exact" w:before="38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Support BOT Chain: increase meaningful on-chain usage, liquidity, application discovery and long-term participation.</w:t>
            </w:r>
          </w:p>
        </w:tc>
      </w:tr>
    </w:tbl>
    <w:p>
      <w:pPr>
        <w:autoSpaceDN w:val="0"/>
        <w:autoSpaceDE w:val="0"/>
        <w:widowControl/>
        <w:spacing w:line="366" w:lineRule="exact" w:before="434" w:after="0"/>
        <w:ind w:left="2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2. Why BOT Chain</w:t>
      </w:r>
    </w:p>
    <w:p>
      <w:pPr>
        <w:autoSpaceDN w:val="0"/>
        <w:autoSpaceDE w:val="0"/>
        <w:widowControl/>
        <w:spacing w:line="238" w:lineRule="exact" w:before="22" w:after="0"/>
        <w:ind w:left="2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BOT Chain is an EVM-compatible Layer 1 designed for high-frequency applications, AI agents, DePIN and decentralized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applications. FlowBridge uses the familiar EVM model while building product-specific safety and usability layers around BOT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Mainnet 677.</w:t>
      </w:r>
    </w:p>
    <w:p>
      <w:pPr>
        <w:autoSpaceDN w:val="0"/>
        <w:tabs>
          <w:tab w:pos="362" w:val="left"/>
        </w:tabs>
        <w:autoSpaceDE w:val="0"/>
        <w:widowControl/>
        <w:spacing w:line="222" w:lineRule="exact" w:before="234" w:after="0"/>
        <w:ind w:left="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BOT is the network gas token, so genuine application usage directly consumes BOT gas.</w:t>
      </w:r>
    </w:p>
    <w:p>
      <w:pPr>
        <w:autoSpaceDN w:val="0"/>
        <w:tabs>
          <w:tab w:pos="362" w:val="left"/>
        </w:tabs>
        <w:autoSpaceDE w:val="0"/>
        <w:widowControl/>
        <w:spacing w:line="224" w:lineRule="exact" w:before="16" w:after="0"/>
        <w:ind w:left="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BDEX provides native decentralized exchange infrastructure for FLOW liquidity and trading.</w:t>
      </w:r>
    </w:p>
    <w:p>
      <w:pPr>
        <w:autoSpaceDN w:val="0"/>
        <w:tabs>
          <w:tab w:pos="362" w:val="left"/>
        </w:tabs>
        <w:autoSpaceDE w:val="0"/>
        <w:widowControl/>
        <w:spacing w:line="220" w:lineRule="exact" w:before="18" w:after="0"/>
        <w:ind w:left="2" w:right="288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The official BOT Bridge remains the production bridge path where FlowBridge uses direct user-wallet interaction instead of 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hidden custody.</w:t>
      </w:r>
    </w:p>
    <w:p>
      <w:pPr>
        <w:autoSpaceDN w:val="0"/>
        <w:tabs>
          <w:tab w:pos="362" w:val="left"/>
        </w:tabs>
        <w:autoSpaceDE w:val="0"/>
        <w:widowControl/>
        <w:spacing w:line="224" w:lineRule="exact" w:before="34" w:after="0"/>
        <w:ind w:left="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BOT Chain ecosystem programs provide a path from deployed application to liquidity, user growth and official distribution.</w:t>
      </w:r>
    </w:p>
    <w:p>
      <w:pPr>
        <w:autoSpaceDN w:val="0"/>
        <w:autoSpaceDE w:val="0"/>
        <w:widowControl/>
        <w:spacing w:line="168" w:lineRule="exact" w:before="4972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667788"/>
          <w:sz w:val="15"/>
        </w:rPr>
        <w:t>FlowBridge Whitepaper v1.0 | 29 Sep 2026</w:t>
      </w:r>
    </w:p>
    <w:p>
      <w:pPr>
        <w:sectPr>
          <w:pgSz w:w="12240" w:h="15840"/>
          <w:pgMar w:top="396" w:right="870" w:bottom="360" w:left="8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6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0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3. Product System</w:t>
      </w:r>
    </w:p>
    <w:p>
      <w:pPr>
        <w:autoSpaceDN w:val="0"/>
        <w:autoSpaceDE w:val="0"/>
        <w:widowControl/>
        <w:spacing w:line="240" w:lineRule="auto" w:before="5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2" w:lineRule="exact" w:before="270" w:after="0"/>
        <w:ind w:left="0" w:right="144" w:firstLine="0"/>
        <w:jc w:val="left"/>
      </w:pPr>
      <w:r>
        <w:rPr>
          <w:rFonts w:ascii="Carlito" w:hAnsi="Carlito" w:eastAsia="Carlito"/>
          <w:b/>
          <w:i w:val="0"/>
          <w:color w:val="0A7A65"/>
          <w:sz w:val="23"/>
        </w:rPr>
        <w:t xml:space="preserve">3.1 Trade and Buy </w:t>
      </w:r>
      <w:r>
        <w:br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FlowBridge discovers live BOT Chain liquidity, obtains route-specific quotes and lets the user review expected output, minimum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received, price impact and protection mode before signing. FLOW/USDT BDEX V3 liquidity is live. Route discovery supports the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direct 1% pool and valid protected multi-hop routes when they provide the better canonical execution path.</w:t>
      </w:r>
    </w:p>
    <w:p>
      <w:pPr>
        <w:autoSpaceDN w:val="0"/>
        <w:tabs>
          <w:tab w:pos="360" w:val="left"/>
        </w:tabs>
        <w:autoSpaceDE w:val="0"/>
        <w:widowControl/>
        <w:spacing w:line="238" w:lineRule="exact" w:before="220" w:after="0"/>
        <w:ind w:left="0" w:right="144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Circuit breaker states distinguish warming, temporary reference unavailability and actual abnormal-price risk.</w:t>
      </w: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Transient RPC/reference failures self-heal and cannot permanently lock the route.</w:t>
      </w:r>
    </w:p>
    <w:p>
      <w:pPr>
        <w:autoSpaceDN w:val="0"/>
        <w:tabs>
          <w:tab w:pos="360" w:val="left"/>
        </w:tabs>
        <w:autoSpaceDE w:val="0"/>
        <w:widowControl/>
        <w:spacing w:line="238" w:lineRule="exact" w:before="2" w:after="0"/>
        <w:ind w:left="0" w:right="216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Connect-wallet behavior is connect-only; token approvals and swaps are separate explicit actions.</w:t>
      </w: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Price protection is evaluated on route-effective execution price, not merely the first hop.</w:t>
      </w:r>
    </w:p>
    <w:p>
      <w:pPr>
        <w:autoSpaceDN w:val="0"/>
        <w:autoSpaceDE w:val="0"/>
        <w:widowControl/>
        <w:spacing w:line="242" w:lineRule="exact" w:before="252" w:after="0"/>
        <w:ind w:left="0" w:right="0" w:firstLine="0"/>
        <w:jc w:val="left"/>
      </w:pPr>
      <w:r>
        <w:rPr>
          <w:rFonts w:ascii="Carlito" w:hAnsi="Carlito" w:eastAsia="Carlito"/>
          <w:b/>
          <w:i w:val="0"/>
          <w:color w:val="0A7A65"/>
          <w:sz w:val="23"/>
        </w:rPr>
        <w:t xml:space="preserve">3.2 Cross-Chain Bridge </w:t>
      </w:r>
      <w:r>
        <w:br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The production bridge model sends the user wallet directly to the official BOT Bridge. FlowBridge prepares the route and explains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the steps, but it does not custody the user asset or silently sign bridge transactions. This separation reduces adapter risk and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keeps the canonical bridge settlement path visible to the user.</w:t>
      </w:r>
    </w:p>
    <w:p>
      <w:pPr>
        <w:autoSpaceDN w:val="0"/>
        <w:autoSpaceDE w:val="0"/>
        <w:widowControl/>
        <w:spacing w:line="240" w:lineRule="exact" w:before="272" w:after="0"/>
        <w:ind w:left="0" w:right="144" w:firstLine="0"/>
        <w:jc w:val="left"/>
      </w:pPr>
      <w:r>
        <w:rPr>
          <w:rFonts w:ascii="Carlito" w:hAnsi="Carlito" w:eastAsia="Carlito"/>
          <w:b/>
          <w:i w:val="0"/>
          <w:color w:val="0A7A65"/>
          <w:sz w:val="23"/>
        </w:rPr>
        <w:t xml:space="preserve">3.3 MultiSend </w:t>
      </w:r>
      <w:r>
        <w:br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MultiSend extends FlowBridge from single transfers to operational asset movement: one-to-many distribution, many-to-one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consolidation and advanced many-to-many workflows across supported networks. Safety tests cover invalid addresses, bad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amounts, approvals, reverting recipients, reentrancy and non-standard token behavior. QR and CSV workflows improve usability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without granting signing authority to the application.</w:t>
      </w:r>
    </w:p>
    <w:p>
      <w:pPr>
        <w:autoSpaceDN w:val="0"/>
        <w:autoSpaceDE w:val="0"/>
        <w:widowControl/>
        <w:spacing w:line="242" w:lineRule="exact" w:before="270" w:after="0"/>
        <w:ind w:left="0" w:right="0" w:firstLine="0"/>
        <w:jc w:val="left"/>
      </w:pPr>
      <w:r>
        <w:rPr>
          <w:rFonts w:ascii="Carlito" w:hAnsi="Carlito" w:eastAsia="Carlito"/>
          <w:b/>
          <w:i w:val="0"/>
          <w:color w:val="0A7A65"/>
          <w:sz w:val="23"/>
        </w:rPr>
        <w:t xml:space="preserve">3.4 Rewards </w:t>
      </w:r>
      <w:r>
        <w:br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FlowBridge rewards use a funded, finite, evidence-backed model. Mainnet rewards are distributed through a Merkle/epoch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Distributor. A user receives FLOW only when a specific campaign publishes a verified entitlement for that wallet. FLOW Points and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Campaign PTS remain distinct accounting systems and are never silently converted into FLOW.</w:t>
      </w:r>
    </w:p>
    <w:p>
      <w:pPr>
        <w:autoSpaceDN w:val="0"/>
        <w:autoSpaceDE w:val="0"/>
        <w:widowControl/>
        <w:spacing w:line="248" w:lineRule="exact" w:before="264" w:after="0"/>
        <w:ind w:left="0" w:right="0" w:firstLine="0"/>
        <w:jc w:val="left"/>
      </w:pPr>
      <w:r>
        <w:rPr>
          <w:rFonts w:ascii="Carlito" w:hAnsi="Carlito" w:eastAsia="Carlito"/>
          <w:b/>
          <w:i w:val="0"/>
          <w:color w:val="0A7A65"/>
          <w:sz w:val="23"/>
        </w:rPr>
        <w:t xml:space="preserve">3.5 Staking </w:t>
      </w:r>
      <w:r>
        <w:br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Staking separates user principal from reward inventory. The mainnet system contains a Reward Treasury, Controller and Vault V2. </w:t>
      </w:r>
    </w:p>
    <w:p>
      <w:pPr>
        <w:autoSpaceDN w:val="0"/>
        <w:autoSpaceDE w:val="0"/>
        <w:widowControl/>
        <w:spacing w:line="238" w:lineRule="exact" w:before="0" w:after="0"/>
        <w:ind w:left="0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Genesis/floor staking products are live under funded capacity and per-wallet quote checks. Flexible, 30D, 90D, 180D and 365D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products exist; longer products transition from the Genesis window to their reserved floor when the standard variable layer is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unavailable.</w:t>
      </w:r>
    </w:p>
    <w:p>
      <w:pPr>
        <w:autoSpaceDN w:val="0"/>
        <w:autoSpaceDE w:val="0"/>
        <w:widowControl/>
        <w:spacing w:line="168" w:lineRule="exact" w:before="436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667788"/>
          <w:sz w:val="15"/>
        </w:rPr>
        <w:t>FlowBridge Whitepaper v1.0 | 29 Sep 2026</w:t>
      </w:r>
    </w:p>
    <w:p>
      <w:pPr>
        <w:sectPr>
          <w:pgSz w:w="12240" w:h="15840"/>
          <w:pgMar w:top="396" w:right="894" w:bottom="360" w:left="8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6"/>
        <w:ind w:left="0" w:right="0"/>
      </w:pPr>
    </w:p>
    <w:p>
      <w:pPr>
        <w:autoSpaceDN w:val="0"/>
        <w:tabs>
          <w:tab w:pos="576" w:val="left"/>
        </w:tabs>
        <w:autoSpaceDE w:val="0"/>
        <w:widowControl/>
        <w:spacing w:line="234" w:lineRule="exact" w:before="0" w:after="0"/>
        <w:ind w:left="216" w:right="4032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Genesis applies for at most 90 reward-days or until a shorter product matures.</w:t>
      </w: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Locked floor obligations are reserved at position entry before the user commits.</w:t>
      </w: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Flexible has no guaranteed standard floor.</w:t>
      </w:r>
    </w:p>
    <w:p>
      <w:pPr>
        <w:autoSpaceDN w:val="0"/>
        <w:tabs>
          <w:tab w:pos="576" w:val="left"/>
        </w:tabs>
        <w:autoSpaceDE w:val="0"/>
        <w:widowControl/>
        <w:spacing w:line="222" w:lineRule="exact" w:before="16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Principal and reward inventory are never commingled.</w:t>
      </w:r>
    </w:p>
    <w:p>
      <w:pPr>
        <w:autoSpaceDN w:val="0"/>
        <w:tabs>
          <w:tab w:pos="576" w:val="left"/>
        </w:tabs>
        <w:autoSpaceDE w:val="0"/>
        <w:widowControl/>
        <w:spacing w:line="224" w:lineRule="exact" w:before="16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Dynamic standard bonus remains disabled while the production oracle is unset.</w:t>
      </w:r>
    </w:p>
    <w:p>
      <w:pPr>
        <w:autoSpaceDN w:val="0"/>
        <w:autoSpaceDE w:val="0"/>
        <w:widowControl/>
        <w:spacing w:line="242" w:lineRule="exact" w:before="252" w:after="0"/>
        <w:ind w:left="216" w:right="288" w:firstLine="0"/>
        <w:jc w:val="left"/>
      </w:pPr>
      <w:r>
        <w:rPr>
          <w:rFonts w:ascii="Carlito" w:hAnsi="Carlito" w:eastAsia="Carlito"/>
          <w:b/>
          <w:i w:val="0"/>
          <w:color w:val="0A7A65"/>
          <w:sz w:val="23"/>
        </w:rPr>
        <w:t xml:space="preserve">3.6 Flow AI and Guided Journeys </w:t>
      </w:r>
      <w:r>
        <w:br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Flow AI is an advisory and orchestration layer. It can explain state, surface opportunities, prepare user-readable actions and guide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onboarding. It cannot hold private keys, sign transactions, alter staking economics, move treasury funds or invent an on-chain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result. Economic execution always returns to an explicit wallet confirmation.</w:t>
      </w:r>
    </w:p>
    <w:p>
      <w:pPr>
        <w:autoSpaceDN w:val="0"/>
        <w:autoSpaceDE w:val="0"/>
        <w:widowControl/>
        <w:spacing w:line="366" w:lineRule="exact" w:before="512" w:after="54"/>
        <w:ind w:left="216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4. Production Architecture and Trust Boundaries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5.99999999999994" w:type="dxa"/>
      </w:tblPr>
      <w:tblGrid>
        <w:gridCol w:w="3653"/>
        <w:gridCol w:w="3653"/>
        <w:gridCol w:w="3653"/>
      </w:tblGrid>
      <w:tr>
        <w:trPr>
          <w:trHeight w:hRule="exact" w:val="19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Responsibility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Authority Boundary</w:t>
            </w:r>
          </w:p>
        </w:tc>
      </w:tr>
      <w:tr>
        <w:trPr>
          <w:trHeight w:hRule="exact" w:val="19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User wallet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Owns assets and signs state changes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Final economic authority</w:t>
            </w:r>
          </w:p>
        </w:tc>
      </w:tr>
      <w:tr>
        <w:trPr>
          <w:trHeight w:hRule="exact" w:val="19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FlowBridge UI / Flow AI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Discovery, education, preparation, simulation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No custody; no signing</w:t>
            </w:r>
          </w:p>
        </w:tc>
      </w:tr>
      <w:tr>
        <w:trPr>
          <w:trHeight w:hRule="exact" w:val="37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Evidence / state layer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4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Canonical network, balances, quotes,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receipts, eligibility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Read / verify; fail closed</w:t>
            </w:r>
          </w:p>
        </w:tc>
      </w:tr>
      <w:tr>
        <w:trPr>
          <w:trHeight w:hRule="exact" w:val="19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Deployed contracts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Rewards, staking, activity, routing candidates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Role-gated on-chain state</w:t>
            </w:r>
          </w:p>
        </w:tc>
      </w:tr>
      <w:tr>
        <w:trPr>
          <w:trHeight w:hRule="exact" w:val="19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Governance Safes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Treasury, governance, operations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2-of-3 multisig authorities</w:t>
            </w:r>
          </w:p>
        </w:tc>
      </w:tr>
      <w:tr>
        <w:trPr>
          <w:trHeight w:hRule="exact" w:val="192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BOT Chain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Final settlement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Canonical mainnet 677</w:t>
            </w:r>
          </w:p>
        </w:tc>
      </w:tr>
    </w:tbl>
    <w:p>
      <w:pPr>
        <w:autoSpaceDN w:val="0"/>
        <w:autoSpaceDE w:val="0"/>
        <w:widowControl/>
        <w:spacing w:line="330" w:lineRule="exact" w:before="762" w:after="0"/>
        <w:ind w:left="16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5. Mainnet Contract Stack - updated 11 Oct 2026</w:t>
      </w:r>
    </w:p>
    <w:p>
      <w:pPr>
        <w:autoSpaceDN w:val="0"/>
        <w:autoSpaceDE w:val="0"/>
        <w:widowControl/>
        <w:spacing w:line="274" w:lineRule="exact" w:before="134" w:after="0"/>
        <w:ind w:left="16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>See the current public-safe deployment appendix at the end of this document.</w:t>
      </w:r>
    </w:p>
    <w:p>
      <w:pPr>
        <w:autoSpaceDN w:val="0"/>
        <w:autoSpaceDE w:val="0"/>
        <w:widowControl/>
        <w:spacing w:line="366" w:lineRule="exact" w:before="3400" w:after="0"/>
        <w:ind w:left="216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6. FLOW Token Economics</w:t>
      </w:r>
    </w:p>
    <w:p>
      <w:pPr>
        <w:autoSpaceDN w:val="0"/>
        <w:autoSpaceDE w:val="0"/>
        <w:widowControl/>
        <w:spacing w:line="238" w:lineRule="exact" w:before="22" w:after="234"/>
        <w:ind w:left="216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FLOW has a fixed genesis supply of 1,000,000,000 tokens with 18 decimals. The deployed token has no future mint authority. The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approved v1.1 allocation is designed to fund ecosystem participation while keeping user rewards, staking, liquidity and long-term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reserves distinct.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5.99999999999994" w:type="dxa"/>
      </w:tblPr>
      <w:tblGrid>
        <w:gridCol w:w="3653"/>
        <w:gridCol w:w="3653"/>
        <w:gridCol w:w="3653"/>
      </w:tblGrid>
      <w:tr>
        <w:trPr>
          <w:trHeight w:hRule="exact" w:val="192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Allocation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Share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FLOW</w:t>
            </w:r>
          </w:p>
        </w:tc>
      </w:tr>
      <w:tr>
        <w:trPr>
          <w:trHeight w:hRule="exact" w:val="19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Community &amp; Ecosystem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50%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500,000,000</w:t>
            </w:r>
          </w:p>
        </w:tc>
      </w:tr>
      <w:tr>
        <w:trPr>
          <w:trHeight w:hRule="exact" w:val="19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Team &amp; Core Contributors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15%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150,000,000</w:t>
            </w:r>
          </w:p>
        </w:tc>
      </w:tr>
      <w:tr>
        <w:trPr>
          <w:trHeight w:hRule="exact" w:val="19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Protocol Treasury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15%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150,000,000</w:t>
            </w:r>
          </w:p>
        </w:tc>
      </w:tr>
      <w:tr>
        <w:trPr>
          <w:trHeight w:hRule="exact" w:val="19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Liquidity &amp; Market Infrastructure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10%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100,000,000</w:t>
            </w:r>
          </w:p>
        </w:tc>
      </w:tr>
      <w:tr>
        <w:trPr>
          <w:trHeight w:hRule="exact" w:val="192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Strategic Ecosystem Partners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5%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50,000,000</w:t>
            </w:r>
          </w:p>
        </w:tc>
      </w:tr>
      <w:tr>
        <w:trPr>
          <w:trHeight w:hRule="exact" w:val="19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Security &amp; Contingency Reserve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5%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50,000,000</w:t>
            </w:r>
          </w:p>
        </w:tc>
      </w:tr>
    </w:tbl>
    <w:p>
      <w:pPr>
        <w:autoSpaceDN w:val="0"/>
        <w:autoSpaceDE w:val="0"/>
        <w:widowControl/>
        <w:spacing w:line="238" w:lineRule="exact" w:before="408" w:after="0"/>
        <w:ind w:left="216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Community/Ecosystem internal planning includes user rewards, partner campaign matching, long-term staking, </w:t>
      </w:r>
      <w:r>
        <w:br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referral/community/developer programs, Genesis recognition and a future ecosystem reserve. FLOW Points are not a 1:1 token </w:t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claim.</w:t>
      </w:r>
    </w:p>
    <w:p>
      <w:pPr>
        <w:autoSpaceDN w:val="0"/>
        <w:autoSpaceDE w:val="0"/>
        <w:widowControl/>
        <w:spacing w:line="168" w:lineRule="exact" w:before="556" w:after="0"/>
        <w:ind w:left="0" w:right="4092" w:firstLine="0"/>
        <w:jc w:val="right"/>
      </w:pPr>
      <w:r>
        <w:rPr>
          <w:rFonts w:ascii="Liberation Sans" w:hAnsi="Liberation Sans" w:eastAsia="Liberation Sans"/>
          <w:b w:val="0"/>
          <w:i w:val="0"/>
          <w:color w:val="667788"/>
          <w:sz w:val="15"/>
        </w:rPr>
        <w:t>FlowBridge Whitepaper v1.0 | 29 Sep 2026</w:t>
      </w:r>
    </w:p>
    <w:p>
      <w:pPr>
        <w:sectPr>
          <w:pgSz w:w="12240" w:h="15840"/>
          <w:pgMar w:top="398" w:right="600" w:bottom="360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6"/>
        <w:ind w:left="0" w:right="0"/>
      </w:pPr>
    </w:p>
    <w:p>
      <w:pPr>
        <w:autoSpaceDN w:val="0"/>
        <w:autoSpaceDE w:val="0"/>
        <w:widowControl/>
        <w:spacing w:line="366" w:lineRule="exact" w:before="0" w:after="52"/>
        <w:ind w:left="12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7. Staking Economics and Solvency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.999999999999886" w:type="dxa"/>
      </w:tblPr>
      <w:tblGrid>
        <w:gridCol w:w="2623"/>
        <w:gridCol w:w="2623"/>
        <w:gridCol w:w="2623"/>
        <w:gridCol w:w="2623"/>
      </w:tblGrid>
      <w:tr>
        <w:trPr>
          <w:trHeight w:hRule="exact" w:val="172"/>
        </w:trPr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4"/>
              </w:rPr>
              <w:t>Product</w:t>
            </w:r>
          </w:p>
        </w:tc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4"/>
              </w:rPr>
              <w:t>Genesis max APR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4"/>
              </w:rPr>
              <w:t>Standard floor / target / cap</w:t>
            </w:r>
          </w:p>
        </w:tc>
        <w:tc>
          <w:tcPr>
            <w:tcW w:type="dxa" w:w="2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" w:after="0"/>
              <w:ind w:left="10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4"/>
              </w:rPr>
              <w:t>Current production behavior</w:t>
            </w:r>
          </w:p>
        </w:tc>
      </w:tr>
      <w:tr>
        <w:trPr>
          <w:trHeight w:hRule="exact" w:val="170"/>
        </w:trPr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Flexible</w:t>
            </w:r>
          </w:p>
        </w:tc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18%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0% / 10% / 12%</w:t>
            </w:r>
          </w:p>
        </w:tc>
        <w:tc>
          <w:tcPr>
            <w:tcW w:type="dxa" w:w="2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10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Genesis only; no guaranteed floor</w:t>
            </w:r>
          </w:p>
        </w:tc>
      </w:tr>
      <w:tr>
        <w:trPr>
          <w:trHeight w:hRule="exact" w:val="334"/>
        </w:trPr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30D</w:t>
            </w:r>
          </w:p>
        </w:tc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27%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6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8% / 14% / 18%</w:t>
            </w:r>
          </w:p>
        </w:tc>
        <w:tc>
          <w:tcPr>
            <w:tcW w:type="dxa" w:w="2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" w:after="0"/>
              <w:ind w:left="100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 xml:space="preserve">Genesis-covered when eligible; floor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reserved</w:t>
            </w:r>
          </w:p>
        </w:tc>
      </w:tr>
      <w:tr>
        <w:trPr>
          <w:trHeight w:hRule="exact" w:val="172"/>
        </w:trPr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90D</w:t>
            </w:r>
          </w:p>
        </w:tc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36%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6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10% / 18% / 24%</w:t>
            </w:r>
          </w:p>
        </w:tc>
        <w:tc>
          <w:tcPr>
            <w:tcW w:type="dxa" w:w="2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Genesis + reserved floor as applicable</w:t>
            </w:r>
          </w:p>
        </w:tc>
      </w:tr>
      <w:tr>
        <w:trPr>
          <w:trHeight w:hRule="exact" w:val="332"/>
        </w:trPr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180D</w:t>
            </w:r>
          </w:p>
        </w:tc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48%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2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12% / 24% / 32%</w:t>
            </w:r>
          </w:p>
        </w:tc>
        <w:tc>
          <w:tcPr>
            <w:tcW w:type="dxa" w:w="2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100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 xml:space="preserve">Genesis first 90 days, then reserved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floor while dynamic layer off</w:t>
            </w:r>
          </w:p>
        </w:tc>
      </w:tr>
      <w:tr>
        <w:trPr>
          <w:trHeight w:hRule="exact" w:val="332"/>
        </w:trPr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365D</w:t>
            </w:r>
          </w:p>
        </w:tc>
        <w:tc>
          <w:tcPr>
            <w:tcW w:type="dxa" w:w="26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60%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84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15% / 30% / 40%</w:t>
            </w:r>
          </w:p>
        </w:tc>
        <w:tc>
          <w:tcPr>
            <w:tcW w:type="dxa" w:w="2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100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 xml:space="preserve">Genesis first 90 days, then reserved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4"/>
              </w:rPr>
              <w:t>floor while dynamic layer off</w:t>
            </w:r>
          </w:p>
        </w:tc>
      </w:tr>
    </w:tbl>
    <w:p>
      <w:pPr>
        <w:autoSpaceDN w:val="0"/>
        <w:autoSpaceDE w:val="0"/>
        <w:widowControl/>
        <w:spacing w:line="3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5247"/>
        <w:gridCol w:w="5247"/>
      </w:tblGrid>
      <w:tr>
        <w:trPr>
          <w:trHeight w:hRule="exact" w:val="1298"/>
        </w:trPr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" w:after="0"/>
              <w:ind w:left="16" w:right="132" w:firstLine="0"/>
              <w:jc w:val="both"/>
            </w:pP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283746"/>
                <w:sz w:val="18"/>
              </w:rPr>
              <w:t></w:t>
            </w:r>
          </w:p>
        </w:tc>
        <w:tc>
          <w:tcPr>
            <w:tcW w:type="dxa" w:w="10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4" w:after="0"/>
              <w:ind w:left="15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Long-term staking reserve: 75M FLOW.</w:t>
            </w:r>
          </w:p>
          <w:p>
            <w:pPr>
              <w:autoSpaceDN w:val="0"/>
              <w:autoSpaceDE w:val="0"/>
              <w:widowControl/>
              <w:spacing w:line="200" w:lineRule="exact" w:before="38" w:after="0"/>
              <w:ind w:left="15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Year-1 staking ceiling: 3M FLOW total, including Genesis &lt;=1M and Standard &lt;=2M.</w:t>
            </w:r>
          </w:p>
          <w:p>
            <w:pPr>
              <w:autoSpaceDN w:val="0"/>
              <w:autoSpaceDE w:val="0"/>
              <w:widowControl/>
              <w:spacing w:line="200" w:lineRule="exact" w:before="40" w:after="0"/>
              <w:ind w:left="15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Approved maxFlowPerEpoch: 50,000 FLOW per 7 days.</w:t>
            </w:r>
          </w:p>
          <w:p>
            <w:pPr>
              <w:autoSpaceDN w:val="0"/>
              <w:autoSpaceDE w:val="0"/>
              <w:widowControl/>
              <w:spacing w:line="200" w:lineRule="exact" w:before="38" w:after="0"/>
              <w:ind w:left="15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Initial staking reward treasury inventory: 10M FLOW. Inventory does not raise Year-1 release ceilings.</w:t>
            </w:r>
          </w:p>
          <w:p>
            <w:pPr>
              <w:autoSpaceDN w:val="0"/>
              <w:autoSpaceDE w:val="0"/>
              <w:widowControl/>
              <w:spacing w:line="200" w:lineRule="exact" w:before="40" w:after="0"/>
              <w:ind w:left="15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8"/>
              </w:rPr>
              <w:t>Dynamic standard rewards remain disabled until a production-safe FLOW price reference is explicitly approved and activated.</w:t>
            </w:r>
          </w:p>
        </w:tc>
      </w:tr>
    </w:tbl>
    <w:p>
      <w:pPr>
        <w:autoSpaceDN w:val="0"/>
        <w:autoSpaceDE w:val="0"/>
        <w:widowControl/>
        <w:spacing w:line="366" w:lineRule="exact" w:before="434" w:after="0"/>
        <w:ind w:left="12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8. DEX Liquidity, Price Protection and Future Oracle</w:t>
      </w:r>
    </w:p>
    <w:p>
      <w:pPr>
        <w:autoSpaceDN w:val="0"/>
        <w:autoSpaceDE w:val="0"/>
        <w:widowControl/>
        <w:spacing w:line="200" w:lineRule="exact" w:before="60" w:after="0"/>
        <w:ind w:left="1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A FLOW/USDT BDEX V3 1% pair is live. FlowBridge treats trading liquidity and staking-oracle security as separate concerns. The </w:t>
      </w:r>
    </w:p>
    <w:p>
      <w:pPr>
        <w:autoSpaceDN w:val="0"/>
        <w:autoSpaceDE w:val="0"/>
        <w:widowControl/>
        <w:spacing w:line="200" w:lineRule="exact" w:before="38" w:after="0"/>
        <w:ind w:left="1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pool can support normal swaps while still being classified as bootstrap-only for oracle purposes.</w:t>
      </w:r>
    </w:p>
    <w:p>
      <w:pPr>
        <w:autoSpaceDN w:val="0"/>
        <w:tabs>
          <w:tab w:pos="372" w:val="left"/>
        </w:tabs>
        <w:autoSpaceDE w:val="0"/>
        <w:widowControl/>
        <w:spacing w:line="224" w:lineRule="exact" w:before="234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Normal FLOW/USDT swap protection uses bounded slippage and price-impact checks.</w:t>
      </w:r>
    </w:p>
    <w:p>
      <w:pPr>
        <w:autoSpaceDN w:val="0"/>
        <w:tabs>
          <w:tab w:pos="372" w:val="left"/>
        </w:tabs>
        <w:autoSpaceDE w:val="0"/>
        <w:widowControl/>
        <w:spacing w:line="222" w:lineRule="exact" w:before="1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A &gt;=30% abnormal deviation is a FlowBridge route-preparation circuit-breaker condition; FlowBridge does not widen slippage </w:t>
      </w:r>
    </w:p>
    <w:p>
      <w:pPr>
        <w:autoSpaceDN w:val="0"/>
        <w:autoSpaceDE w:val="0"/>
        <w:widowControl/>
        <w:spacing w:line="200" w:lineRule="exact" w:before="20" w:after="0"/>
        <w:ind w:left="37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to tolerate a collapse.</w:t>
      </w:r>
    </w:p>
    <w:p>
      <w:pPr>
        <w:autoSpaceDN w:val="0"/>
        <w:tabs>
          <w:tab w:pos="372" w:val="left"/>
        </w:tabs>
        <w:autoSpaceDE w:val="0"/>
        <w:widowControl/>
        <w:spacing w:line="224" w:lineRule="exact" w:before="34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Temporary reference failures are retryable and self-healing.</w:t>
      </w:r>
    </w:p>
    <w:p>
      <w:pPr>
        <w:autoSpaceDN w:val="0"/>
        <w:tabs>
          <w:tab w:pos="372" w:val="left"/>
        </w:tabs>
        <w:autoSpaceDE w:val="0"/>
        <w:widowControl/>
        <w:spacing w:line="222" w:lineRule="exact" w:before="1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Observation capacity has been increased to 128 so genuine TWAP history can accumulate.</w:t>
      </w:r>
    </w:p>
    <w:p>
      <w:pPr>
        <w:autoSpaceDN w:val="0"/>
        <w:tabs>
          <w:tab w:pos="372" w:val="left"/>
        </w:tabs>
        <w:autoSpaceDE w:val="0"/>
        <w:widowControl/>
        <w:spacing w:line="224" w:lineRule="exact" w:before="1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The staking oracle remains address(0) until sufficient real history, liquidity resistance, freshness and deviation policies all pass </w:t>
      </w:r>
    </w:p>
    <w:p>
      <w:pPr>
        <w:autoSpaceDN w:val="0"/>
        <w:autoSpaceDE w:val="0"/>
        <w:widowControl/>
        <w:spacing w:line="200" w:lineRule="exact" w:before="20" w:after="0"/>
        <w:ind w:left="37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explicit owner review.</w:t>
      </w:r>
    </w:p>
    <w:p>
      <w:pPr>
        <w:autoSpaceDN w:val="0"/>
        <w:autoSpaceDE w:val="0"/>
        <w:widowControl/>
        <w:spacing w:line="366" w:lineRule="exact" w:before="512" w:after="56"/>
        <w:ind w:left="12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9. Security Model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.999999999999886" w:type="dxa"/>
      </w:tblPr>
      <w:tblGrid>
        <w:gridCol w:w="5247"/>
        <w:gridCol w:w="5247"/>
      </w:tblGrid>
      <w:tr>
        <w:trPr>
          <w:trHeight w:hRule="exact" w:val="192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Design</w:t>
            </w:r>
          </w:p>
        </w:tc>
      </w:tr>
      <w:tr>
        <w:trPr>
          <w:trHeight w:hRule="exact" w:val="194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Non-custodial execution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User wallet signs every state-changing action.</w:t>
            </w:r>
          </w:p>
        </w:tc>
      </w:tr>
      <w:tr>
        <w:trPr>
          <w:trHeight w:hRule="exact" w:val="378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Exact approvals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Use exact/bounded approvals for canaries and reviewed flows; avoid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unnecessary unlimited approvals.</w:t>
            </w:r>
          </w:p>
        </w:tc>
      </w:tr>
      <w:tr>
        <w:trPr>
          <w:trHeight w:hRule="exact" w:val="378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Terms-change protection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Fresh independent on-chain quote immediately before locked staking;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drift forces re-review.</w:t>
            </w:r>
          </w:p>
        </w:tc>
      </w:tr>
      <w:tr>
        <w:trPr>
          <w:trHeight w:hRule="exact" w:val="380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Wallet binding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Single-use server challenge signed by the wallet; canonical bound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wallet enforced.</w:t>
            </w:r>
          </w:p>
        </w:tc>
      </w:tr>
      <w:tr>
        <w:trPr>
          <w:trHeight w:hRule="exact" w:val="376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Role separation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144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Governance, Treasury, Operations and specialized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publishers/attesters are separated.</w:t>
            </w:r>
          </w:p>
        </w:tc>
      </w:tr>
      <w:tr>
        <w:trPr>
          <w:trHeight w:hRule="exact" w:val="380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Principal protection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Staking principal is separate from reward inventory and cannot be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treated as free rewards.</w:t>
            </w:r>
          </w:p>
        </w:tc>
      </w:tr>
      <w:tr>
        <w:trPr>
          <w:trHeight w:hRule="exact" w:val="378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6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Oracle fail closed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0" w:after="0"/>
              <w:ind w:left="10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No dynamic standard rate when the price reference is absent or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unsafe.</w:t>
            </w:r>
          </w:p>
        </w:tc>
      </w:tr>
      <w:tr>
        <w:trPr>
          <w:trHeight w:hRule="exact" w:val="376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Evidence settlement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0" w:after="0"/>
              <w:ind w:left="10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Receipt success plus live post-state is required before FlowBridge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treats an economic action as settled.</w:t>
            </w:r>
          </w:p>
        </w:tc>
      </w:tr>
    </w:tbl>
    <w:p>
      <w:pPr>
        <w:autoSpaceDN w:val="0"/>
        <w:autoSpaceDE w:val="0"/>
        <w:widowControl/>
        <w:spacing w:line="366" w:lineRule="exact" w:before="720" w:after="0"/>
        <w:ind w:left="12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10. Governance</w:t>
      </w:r>
    </w:p>
    <w:p>
      <w:pPr>
        <w:autoSpaceDN w:val="0"/>
        <w:tabs>
          <w:tab w:pos="372" w:val="left"/>
        </w:tabs>
        <w:autoSpaceDE w:val="0"/>
        <w:widowControl/>
        <w:spacing w:line="222" w:lineRule="exact" w:before="5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Treasury Safe: 0xeFc13d1A1dC30BA2DA0Bb005ba5A783c6b229Ea4.</w:t>
      </w:r>
    </w:p>
    <w:p>
      <w:pPr>
        <w:autoSpaceDN w:val="0"/>
        <w:tabs>
          <w:tab w:pos="372" w:val="left"/>
        </w:tabs>
        <w:autoSpaceDE w:val="0"/>
        <w:widowControl/>
        <w:spacing w:line="224" w:lineRule="exact" w:before="1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Governance Safe: 0x88A4CC1F5771523baeB83DaEea07D323a3ce9507, 2-of-3.</w:t>
      </w:r>
    </w:p>
    <w:p>
      <w:pPr>
        <w:autoSpaceDN w:val="0"/>
        <w:tabs>
          <w:tab w:pos="372" w:val="left"/>
        </w:tabs>
        <w:autoSpaceDE w:val="0"/>
        <w:widowControl/>
        <w:spacing w:line="222" w:lineRule="exact" w:before="1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Operations Safe: 0x1Ce0b1DF5d2055f6e92122D8cB7669609C2359eF, 2-of-3.</w:t>
      </w:r>
    </w:p>
    <w:p>
      <w:pPr>
        <w:autoSpaceDN w:val="0"/>
        <w:tabs>
          <w:tab w:pos="372" w:val="left"/>
        </w:tabs>
        <w:autoSpaceDE w:val="0"/>
        <w:widowControl/>
        <w:spacing w:line="224" w:lineRule="exact" w:before="1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No AI or ordinary application service receives final treasury/governance authority.</w:t>
      </w:r>
    </w:p>
    <w:p>
      <w:pPr>
        <w:autoSpaceDN w:val="0"/>
        <w:autoSpaceDE w:val="0"/>
        <w:widowControl/>
        <w:spacing w:line="222" w:lineRule="exact" w:before="16" w:after="0"/>
        <w:ind w:left="12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</w:p>
    <w:p>
      <w:pPr>
        <w:autoSpaceDN w:val="0"/>
        <w:autoSpaceDE w:val="0"/>
        <w:widowControl/>
        <w:spacing w:line="168" w:lineRule="exact" w:before="1078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667788"/>
          <w:sz w:val="15"/>
        </w:rPr>
        <w:t>FlowBridge Whitepaper v1.0 | 29 Sep 2026</w:t>
      </w:r>
    </w:p>
    <w:p>
      <w:pPr>
        <w:sectPr>
          <w:pgSz w:w="12240" w:h="15840"/>
          <w:pgMar w:top="396" w:right="862" w:bottom="360" w:left="88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6"/>
        <w:ind w:left="0" w:right="0"/>
      </w:pPr>
    </w:p>
    <w:p>
      <w:pPr>
        <w:autoSpaceDN w:val="0"/>
        <w:autoSpaceDE w:val="0"/>
        <w:widowControl/>
        <w:spacing w:line="366" w:lineRule="exact" w:before="0" w:after="52"/>
        <w:ind w:left="216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11. Ecosystem Contribution to BOT Chain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5.99999999999994" w:type="dxa"/>
      </w:tblPr>
      <w:tblGrid>
        <w:gridCol w:w="5480"/>
        <w:gridCol w:w="5480"/>
      </w:tblGrid>
      <w:tr>
        <w:trPr>
          <w:trHeight w:hRule="exact" w:val="196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Mechanism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6"/>
              </w:rPr>
              <w:t>How FlowBridge Supports BOT Chain</w:t>
            </w:r>
          </w:p>
        </w:tc>
      </w:tr>
      <w:tr>
        <w:trPr>
          <w:trHeight w:hRule="exact" w:val="376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Gas usage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Real user swaps, staking, rewards and transfers settle on BOT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Mainnet and consume BOT gas.</w:t>
            </w:r>
          </w:p>
        </w:tc>
      </w:tr>
      <w:tr>
        <w:trPr>
          <w:trHeight w:hRule="exact" w:val="378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Liquidity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0" w:after="0"/>
              <w:ind w:left="10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FLOW markets deepen native BDEX activity and make ecosystem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assets easier to access.</w:t>
            </w:r>
          </w:p>
        </w:tc>
      </w:tr>
      <w:tr>
        <w:trPr>
          <w:trHeight w:hRule="exact" w:val="378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0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Retention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" w:after="0"/>
              <w:ind w:left="10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Staking, rewards, missions and education give users reasons to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remain active after a first swap/bridge.</w:t>
            </w:r>
          </w:p>
        </w:tc>
      </w:tr>
      <w:tr>
        <w:trPr>
          <w:trHeight w:hRule="exact" w:val="378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Discovery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FlowBridge can surface verified BOT Chain projects, routes and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participation opportunities.</w:t>
            </w:r>
          </w:p>
        </w:tc>
      </w:tr>
      <w:tr>
        <w:trPr>
          <w:trHeight w:hRule="exact" w:val="380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0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Developer proof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" w:after="0"/>
              <w:ind w:left="106" w:right="72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 xml:space="preserve">Verified production contracts and security gates demonstrate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deployable EVM use cases on BOT Chain.</w:t>
            </w:r>
          </w:p>
        </w:tc>
      </w:tr>
      <w:tr>
        <w:trPr>
          <w:trHeight w:hRule="exact" w:val="376"/>
        </w:trPr>
        <w:tc>
          <w:tcPr>
            <w:tcW w:type="dxa" w:w="5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Data integrity</w:t>
            </w:r>
          </w:p>
        </w:tc>
        <w:tc>
          <w:tcPr>
            <w:tcW w:type="dxa" w:w="5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10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Program metrics and reward eligibility are based on canonical on-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6"/>
              </w:rPr>
              <w:t>chain evidence rather than marketing estimates.</w:t>
            </w:r>
          </w:p>
        </w:tc>
      </w:tr>
    </w:tbl>
    <w:p>
      <w:pPr>
        <w:autoSpaceDN w:val="0"/>
        <w:autoSpaceDE w:val="0"/>
        <w:widowControl/>
        <w:spacing w:line="366" w:lineRule="exact" w:before="4444" w:after="52"/>
        <w:ind w:left="216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13. Roadmap - Use the Deployed Stack First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5.99999999999994" w:type="dxa"/>
      </w:tblPr>
      <w:tblGrid>
        <w:gridCol w:w="3653"/>
        <w:gridCol w:w="3653"/>
        <w:gridCol w:w="3653"/>
      </w:tblGrid>
      <w:tr>
        <w:trPr>
          <w:trHeight w:hRule="exact" w:val="182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Horizon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Workstream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6131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New Contract Required?</w:t>
            </w:r>
          </w:p>
        </w:tc>
      </w:tr>
      <w:tr>
        <w:trPr>
          <w:trHeight w:hRule="exact" w:val="96"/>
        </w:trPr>
        <w:tc>
          <w:tcPr>
            <w:tcW w:type="dxa" w:w="348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Immediate</w:t>
            </w:r>
          </w:p>
        </w:tc>
        <w:tc>
          <w:tcPr>
            <w:tcW w:type="dxa" w:w="348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48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No</w:t>
            </w:r>
          </w:p>
        </w:tc>
      </w:tr>
      <w:tr>
        <w:trPr>
          <w:trHeight w:hRule="exact" w:val="262"/>
        </w:trPr>
        <w:tc>
          <w:tcPr>
            <w:tcW w:type="dxa" w:w="365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484"/>
            <w:tcBorders>
              <w:start w:sz="4.0" w:val="single" w:color="#000000"/>
              <w:top w:sz="16.0" w:val="single" w:color="#FFFFFF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6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public docs / contract registry / support metrics.</w:t>
            </w:r>
          </w:p>
        </w:tc>
        <w:tc>
          <w:tcPr>
            <w:tcW w:type="dxa" w:w="365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35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90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Immediate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10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 xml:space="preserve">Continue FLOW/USDT TWAP observation and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range/liquidity security analysis.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90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No</w:t>
            </w:r>
          </w:p>
        </w:tc>
      </w:tr>
      <w:tr>
        <w:trPr>
          <w:trHeight w:hRule="exact" w:val="35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9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Near term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0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 xml:space="preserve">Activate dynamic standard staking only if oracle,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budget, roles and security gates pass.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94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No - existing R4/R5/R6</w:t>
            </w:r>
          </w:p>
        </w:tc>
      </w:tr>
      <w:tr>
        <w:trPr>
          <w:trHeight w:hRule="exact" w:val="184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Near term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Expand finite verified rewards campaigns.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No - existing Distributor</w:t>
            </w:r>
          </w:p>
        </w:tc>
      </w:tr>
      <w:tr>
        <w:trPr>
          <w:trHeight w:hRule="exact" w:val="35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Near term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2" w:after="0"/>
              <w:ind w:left="10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 xml:space="preserve">Evidence-backed Activity Registry attestations if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approved.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No - existing Registry</w:t>
            </w:r>
          </w:p>
        </w:tc>
      </w:tr>
      <w:tr>
        <w:trPr>
          <w:trHeight w:hRule="exact" w:val="35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Near term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2" w:after="0"/>
              <w:ind w:left="104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 xml:space="preserve">Improve MultiSend, ecosystem discovery and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guided journeys.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No</w:t>
            </w:r>
          </w:p>
        </w:tc>
      </w:tr>
      <w:tr>
        <w:trPr>
          <w:trHeight w:hRule="exact" w:val="180"/>
        </w:trPr>
        <w:tc>
          <w:tcPr>
            <w:tcW w:type="dxa" w:w="348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Later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48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92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No - already deployed</w:t>
            </w:r>
          </w:p>
        </w:tc>
      </w:tr>
      <w:tr>
        <w:trPr>
          <w:trHeight w:hRule="exact" w:val="178"/>
        </w:trPr>
        <w:tc>
          <w:tcPr>
            <w:tcW w:type="dxa" w:w="365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484"/>
            <w:tcBorders>
              <w:start w:sz="4.0" w:val="single" w:color="#000000"/>
              <w:top w:sz="16.0" w:val="single" w:color="#FFFFFF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5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356"/>
        </w:trPr>
        <w:tc>
          <w:tcPr>
            <w:tcW w:type="dxa" w:w="34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8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Later</w:t>
            </w:r>
          </w:p>
        </w:tc>
        <w:tc>
          <w:tcPr>
            <w:tcW w:type="dxa" w:w="3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10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 xml:space="preserve">Additional chains / new protocol modules only </w:t>
            </w: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after a separate security and business decision.</w:t>
            </w:r>
          </w:p>
        </w:tc>
        <w:tc>
          <w:tcPr>
            <w:tcW w:type="dxa" w:w="3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88" w:after="0"/>
              <w:ind w:left="1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83746"/>
                <w:sz w:val="15"/>
              </w:rPr>
              <w:t>Maybe</w:t>
            </w:r>
          </w:p>
        </w:tc>
      </w:tr>
    </w:tbl>
    <w:p>
      <w:pPr>
        <w:autoSpaceDN w:val="0"/>
        <w:autoSpaceDE w:val="0"/>
        <w:widowControl/>
        <w:spacing w:line="366" w:lineRule="exact" w:before="718" w:after="0"/>
        <w:ind w:left="216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14. Risks and Disclosures</w:t>
      </w:r>
    </w:p>
    <w:p>
      <w:pPr>
        <w:autoSpaceDN w:val="0"/>
        <w:tabs>
          <w:tab w:pos="576" w:val="left"/>
        </w:tabs>
        <w:autoSpaceDE w:val="0"/>
        <w:widowControl/>
        <w:spacing w:line="222" w:lineRule="exact" w:before="56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Smart-contract and integration risk cannot be eliminated; verified source, tests and staged canaries reduce but do not remove </w:t>
      </w:r>
    </w:p>
    <w:p>
      <w:pPr>
        <w:autoSpaceDN w:val="0"/>
        <w:autoSpaceDE w:val="0"/>
        <w:widowControl/>
        <w:spacing w:line="200" w:lineRule="exact" w:before="20" w:after="0"/>
        <w:ind w:left="57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risk.</w:t>
      </w:r>
    </w:p>
    <w:p>
      <w:pPr>
        <w:autoSpaceDN w:val="0"/>
        <w:tabs>
          <w:tab w:pos="576" w:val="left"/>
        </w:tabs>
        <w:autoSpaceDE w:val="0"/>
        <w:widowControl/>
        <w:spacing w:line="224" w:lineRule="exact" w:before="34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DEX liquidity can move out of range and remains exposed to impermanent loss, price manipulation and market volatility.</w:t>
      </w:r>
    </w:p>
    <w:p>
      <w:pPr>
        <w:autoSpaceDN w:val="0"/>
        <w:tabs>
          <w:tab w:pos="576" w:val="left"/>
        </w:tabs>
        <w:autoSpaceDE w:val="0"/>
        <w:widowControl/>
        <w:spacing w:line="222" w:lineRule="exact" w:before="16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APR is not APY. Staking rewards are estimates based on the applicable rate and time; variable rewards may remain </w:t>
      </w:r>
    </w:p>
    <w:p>
      <w:pPr>
        <w:autoSpaceDN w:val="0"/>
        <w:autoSpaceDE w:val="0"/>
        <w:widowControl/>
        <w:spacing w:line="200" w:lineRule="exact" w:before="20" w:after="0"/>
        <w:ind w:left="57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unavailable.</w:t>
      </w:r>
    </w:p>
    <w:p>
      <w:pPr>
        <w:autoSpaceDN w:val="0"/>
        <w:tabs>
          <w:tab w:pos="576" w:val="left"/>
        </w:tabs>
        <w:autoSpaceDE w:val="0"/>
        <w:widowControl/>
        <w:spacing w:line="224" w:lineRule="exact" w:before="34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Campaign rewards exist only when a funded, verified allocation is published for the wallet.</w:t>
      </w:r>
    </w:p>
    <w:p>
      <w:pPr>
        <w:autoSpaceDN w:val="0"/>
        <w:tabs>
          <w:tab w:pos="576" w:val="left"/>
        </w:tabs>
        <w:autoSpaceDE w:val="0"/>
        <w:widowControl/>
        <w:spacing w:line="222" w:lineRule="exact" w:before="16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Bridge transactions inherit official bridge and destination-chain risks.</w:t>
      </w:r>
    </w:p>
    <w:p>
      <w:pPr>
        <w:autoSpaceDN w:val="0"/>
        <w:tabs>
          <w:tab w:pos="576" w:val="left"/>
        </w:tabs>
        <w:autoSpaceDE w:val="0"/>
        <w:widowControl/>
        <w:spacing w:line="224" w:lineRule="exact" w:before="16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Program incentives are subject to BOT Chain rules, audit rights, anti-cheating controls and future updates.</w:t>
      </w:r>
    </w:p>
    <w:p>
      <w:pPr>
        <w:autoSpaceDN w:val="0"/>
        <w:tabs>
          <w:tab w:pos="576" w:val="left"/>
        </w:tabs>
        <w:autoSpaceDE w:val="0"/>
        <w:widowControl/>
        <w:spacing w:line="222" w:lineRule="exact" w:before="16" w:after="0"/>
        <w:ind w:left="216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 xml:space="preserve">Nothing in this whitepaper is a guarantee of investment return, token price appreciation, ecosystem funding or exchange </w:t>
      </w:r>
    </w:p>
    <w:p>
      <w:pPr>
        <w:autoSpaceDN w:val="0"/>
        <w:autoSpaceDE w:val="0"/>
        <w:widowControl/>
        <w:spacing w:line="200" w:lineRule="exact" w:before="20" w:after="0"/>
        <w:ind w:left="57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listing.</w:t>
      </w:r>
    </w:p>
    <w:p>
      <w:pPr>
        <w:autoSpaceDN w:val="0"/>
        <w:autoSpaceDE w:val="0"/>
        <w:widowControl/>
        <w:spacing w:line="168" w:lineRule="exact" w:before="46" w:after="0"/>
        <w:ind w:left="0" w:right="4092" w:firstLine="0"/>
        <w:jc w:val="right"/>
      </w:pPr>
      <w:r>
        <w:rPr>
          <w:rFonts w:ascii="Liberation Sans" w:hAnsi="Liberation Sans" w:eastAsia="Liberation Sans"/>
          <w:b w:val="0"/>
          <w:i w:val="0"/>
          <w:color w:val="667788"/>
          <w:sz w:val="15"/>
        </w:rPr>
        <w:t>FlowBridge Whitepaper v1.0 | 29 Sep 2026</w:t>
      </w:r>
    </w:p>
    <w:p>
      <w:pPr>
        <w:sectPr>
          <w:pgSz w:w="12240" w:h="15840"/>
          <w:pgMar w:top="396" w:right="600" w:bottom="360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6"/>
        <w:ind w:left="0" w:right="0"/>
      </w:pPr>
    </w:p>
    <w:p>
      <w:pPr>
        <w:autoSpaceDN w:val="0"/>
        <w:autoSpaceDE w:val="0"/>
        <w:widowControl/>
        <w:spacing w:line="366" w:lineRule="exact" w:before="0" w:after="0"/>
        <w:ind w:left="0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15. Recognition</w:t>
      </w:r>
    </w:p>
    <w:p>
      <w:pPr>
        <w:autoSpaceDN w:val="0"/>
        <w:autoSpaceDE w:val="0"/>
        <w:widowControl/>
        <w:spacing w:line="240" w:lineRule="auto" w:before="54" w:after="0"/>
        <w:ind w:left="6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238" w:after="0"/>
        <w:ind w:left="1762" w:right="0" w:firstLine="0"/>
        <w:jc w:val="left"/>
      </w:pPr>
      <w:r>
        <w:rPr>
          <w:rFonts w:ascii="Liberation Sans" w:hAnsi="Liberation Sans" w:eastAsia="Liberation Sans"/>
          <w:b/>
          <w:i w:val="0"/>
          <w:color w:val="283746"/>
          <w:sz w:val="18"/>
        </w:rPr>
        <w:t>FlowBridge - 1st Place, EVM Deployment Track, BOT Chain Builder Challenge #1.</w:t>
      </w:r>
    </w:p>
    <w:p>
      <w:pPr>
        <w:autoSpaceDN w:val="0"/>
        <w:autoSpaceDE w:val="0"/>
        <w:widowControl/>
        <w:spacing w:line="366" w:lineRule="exact" w:before="512" w:after="0"/>
        <w:ind w:left="0" w:right="0" w:firstLine="0"/>
        <w:jc w:val="left"/>
      </w:pPr>
      <w:r>
        <w:rPr>
          <w:rFonts w:ascii="Carlito" w:hAnsi="Carlito" w:eastAsia="Carlito"/>
          <w:b/>
          <w:i w:val="0"/>
          <w:color w:val="06131F"/>
          <w:sz w:val="30"/>
        </w:rPr>
        <w:t>16. References</w:t>
      </w:r>
    </w:p>
    <w:p>
      <w:pPr>
        <w:autoSpaceDN w:val="0"/>
        <w:tabs>
          <w:tab w:pos="360" w:val="left"/>
        </w:tabs>
        <w:autoSpaceDE w:val="0"/>
        <w:widowControl/>
        <w:spacing w:line="222" w:lineRule="exact" w:before="56" w:after="0"/>
        <w:ind w:left="0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BOT Chain Ecosystem Support Program - https://www.botchain.ai/en/ecosystem-support/</w:t>
      </w:r>
    </w:p>
    <w:p>
      <w:pPr>
        <w:autoSpaceDN w:val="0"/>
        <w:tabs>
          <w:tab w:pos="360" w:val="left"/>
        </w:tabs>
        <w:autoSpaceDE w:val="0"/>
        <w:widowControl/>
        <w:spacing w:line="224" w:lineRule="exact" w:before="16" w:after="0"/>
        <w:ind w:left="0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BOT Chain Developer Documentation - https://dev-docs.botchain.ai/</w:t>
      </w:r>
    </w:p>
    <w:p>
      <w:pPr>
        <w:autoSpaceDN w:val="0"/>
        <w:tabs>
          <w:tab w:pos="360" w:val="left"/>
        </w:tabs>
        <w:autoSpaceDE w:val="0"/>
        <w:widowControl/>
        <w:spacing w:line="222" w:lineRule="exact" w:before="16" w:after="0"/>
        <w:ind w:left="0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BOT Chain Ecosystem Leaderboard - https://www.botchain.ai/en/blog/bot-chain-ecosystem-leaderboard/</w:t>
      </w:r>
    </w:p>
    <w:p>
      <w:pPr>
        <w:autoSpaceDN w:val="0"/>
        <w:tabs>
          <w:tab w:pos="360" w:val="left"/>
        </w:tabs>
        <w:autoSpaceDE w:val="0"/>
        <w:widowControl/>
        <w:spacing w:line="224" w:lineRule="exact" w:before="16" w:after="0"/>
        <w:ind w:left="0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FlowBridge - https://flowbridge.space</w:t>
      </w:r>
    </w:p>
    <w:p>
      <w:pPr>
        <w:autoSpaceDN w:val="0"/>
        <w:tabs>
          <w:tab w:pos="360" w:val="left"/>
        </w:tabs>
        <w:autoSpaceDE w:val="0"/>
        <w:widowControl/>
        <w:spacing w:line="222" w:lineRule="exact" w:before="16" w:after="0"/>
        <w:ind w:left="0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FlowBridge X - https://x.com/flowbridgeweb3</w:t>
      </w:r>
    </w:p>
    <w:p>
      <w:pPr>
        <w:autoSpaceDN w:val="0"/>
        <w:tabs>
          <w:tab w:pos="360" w:val="left"/>
        </w:tabs>
        <w:autoSpaceDE w:val="0"/>
        <w:widowControl/>
        <w:spacing w:line="224" w:lineRule="exact" w:before="16" w:after="0"/>
        <w:ind w:left="0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BOT Chain Builder Challenge #1 award announcement and project-supplied award graphic.</w:t>
      </w:r>
    </w:p>
    <w:p>
      <w:pPr>
        <w:autoSpaceDN w:val="0"/>
        <w:tabs>
          <w:tab w:pos="360" w:val="left"/>
        </w:tabs>
        <w:autoSpaceDE w:val="0"/>
        <w:widowControl/>
        <w:spacing w:line="222" w:lineRule="exact" w:before="16" w:after="0"/>
        <w:ind w:left="0" w:right="0" w:firstLine="0"/>
        <w:jc w:val="left"/>
      </w:pPr>
      <w:r>
        <w:rPr>
          <w:rFonts w:ascii="OpenSymbol" w:hAnsi="OpenSymbol" w:eastAsia="OpenSymbol"/>
          <w:b w:val="0"/>
          <w:i w:val="0"/>
          <w:color w:val="283746"/>
          <w:sz w:val="18"/>
        </w:rPr>
        <w:t></w:t>
      </w:r>
      <w:r>
        <w:tab/>
      </w:r>
      <w:r>
        <w:rPr>
          <w:rFonts w:ascii="Liberation Sans" w:hAnsi="Liberation Sans" w:eastAsia="Liberation Sans"/>
          <w:b w:val="0"/>
          <w:i w:val="0"/>
          <w:color w:val="283746"/>
          <w:sz w:val="18"/>
        </w:rPr>
        <w:t>FlowBridge V30.2B production evidence and owner-frozen project records.</w:t>
      </w:r>
    </w:p>
    <w:p>
      <w:pPr>
        <w:autoSpaceDN w:val="0"/>
        <w:autoSpaceDE w:val="0"/>
        <w:widowControl/>
        <w:spacing w:line="168" w:lineRule="exact" w:before="1640" w:after="0"/>
        <w:ind w:left="0" w:right="3252" w:firstLine="0"/>
        <w:jc w:val="right"/>
      </w:pPr>
      <w:r>
        <w:rPr>
          <w:rFonts w:ascii="Liberation Sans" w:hAnsi="Liberation Sans" w:eastAsia="Liberation Sans"/>
          <w:b w:val="0"/>
          <w:i w:val="0"/>
          <w:color w:val="667788"/>
          <w:sz w:val="15"/>
        </w:rPr>
        <w:t>FlowBridge Whitepaper v1.0 | 29 Sep 2026</w:t>
      </w:r>
    </w:p>
    <w:p>
      <w:pPr>
        <w:sectPr>
          <w:pgSz w:w="12240" w:h="15840"/>
          <w:pgMar w:top="396" w:right="1440" w:bottom="360" w:left="8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1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44"/>
        </w:rPr>
        <w:t>FlowBridge Whitepaper v1.1 |</w:t>
      </w:r>
    </w:p>
    <w:p>
      <w:pPr>
        <w:autoSpaceDN w:val="0"/>
        <w:autoSpaceDE w:val="0"/>
        <w:widowControl/>
        <w:spacing w:line="206" w:lineRule="auto" w:before="140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44"/>
        </w:rPr>
        <w:t>Deployment Appendix</w:t>
      </w:r>
    </w:p>
    <w:p>
      <w:pPr>
        <w:autoSpaceDN w:val="0"/>
        <w:autoSpaceDE w:val="0"/>
        <w:widowControl/>
        <w:spacing w:line="264" w:lineRule="auto" w:before="198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Public-safe refresh, 11 Oct 2026. This appendix supersedes prior deployment/status references only; unchanged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product principles are retained.</w:t>
      </w:r>
    </w:p>
    <w:p>
      <w:pPr>
        <w:autoSpaceDN w:val="0"/>
        <w:autoSpaceDE w:val="0"/>
        <w:widowControl/>
        <w:spacing w:line="283" w:lineRule="auto" w:before="100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Current V3 single-step/staged and V4 native/BDEX V3 atomic paths are active. Flexible and 30D real lifecycle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evidence is complete; long-term terms are canary-only and real maturity remains pending. Oracle remains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disabled. External integrations are not owned by FlowBridge.</w:t>
      </w:r>
    </w:p>
    <w:p>
      <w:pPr>
        <w:autoSpaceDN w:val="0"/>
        <w:autoSpaceDE w:val="0"/>
        <w:widowControl/>
        <w:spacing w:line="206" w:lineRule="auto" w:before="128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30"/>
        </w:rPr>
        <w:t>VERIFIED SMART CONTRACTS &amp; ON-CHAIN INFRASTRUCTURE</w:t>
      </w:r>
    </w:p>
    <w:p>
      <w:pPr>
        <w:autoSpaceDN w:val="0"/>
        <w:autoSpaceDE w:val="0"/>
        <w:widowControl/>
        <w:spacing w:line="206" w:lineRule="auto" w:before="35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 Token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Fixed-supply FLOW token; no future mint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contracts/production/V30_2B_R1_SETTLEMENT.json;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Rewards Distributor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Funded Merkle round claims; explicit publisher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Activity Registry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Controlled canonical activity attestations.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contracts/production/V30_2B_R3_SETTLEMENT.json;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Reward Treasury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Segregated pre-funded reward inventory and obligation accounting.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1292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contracts/production/V30_2B_R4_SETTLEMENT.json;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68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FlowBridge | 11 Oct 2026 | PUBLIC-SAFE</w:t>
            </w:r>
          </w:p>
        </w:tc>
        <w:tc>
          <w:tcPr>
            <w:tcW w:type="dxa" w:w="37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32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Controller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Genesis/floor economics; variable rewards disabled while oracle unset.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contracts/production/V30_2B_R5_SETTLEMENT.json;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Vault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Principal custody, positions, reward claims and maturity withdrawals.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contracts/production/V30_2B_R6_SETTLEMENT.json;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V3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Current single-step / staged execution dispatcher; platform fee retained.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V4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ACTIVE PRODUCTION — Promoted atomic native BOT / BDEX V3 multi-pool execution; other route classes remain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staged.</w:t>
      </w:r>
    </w:p>
    <w:p>
      <w:pPr>
        <w:autoSpaceDN w:val="0"/>
        <w:autoSpaceDE w:val="0"/>
        <w:widowControl/>
        <w:spacing w:line="305" w:lineRule="auto" w:before="94" w:after="0"/>
        <w:ind w:left="130" w:right="331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0x79653140D84B78C19354ee984f236Ec92160fc61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https://scan.botchain.ai/address/0x79653140D84B78C19354ee984f236Ec92160fc61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promotion record; frozen runtime SHA256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a42e53b15977c57b81fa63c575b9cb39100b873c50a523b68f02df7bd8bec41d.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Lens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Read-only lens bound to current Router V4.</w:t>
      </w:r>
    </w:p>
    <w:p>
      <w:pPr>
        <w:autoSpaceDN w:val="0"/>
        <w:autoSpaceDE w:val="0"/>
        <w:widowControl/>
        <w:spacing w:line="300" w:lineRule="auto" w:before="94" w:after="2412"/>
        <w:ind w:left="130" w:right="302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0xb82038aC3d2df60f5B5fE06D6FDe3CFDd1B76BD0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https://scan.botchain.ai/address/0xb82038aC3d2df60f5B5fE06D6FDe3CFDd1B76BD0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Router V4 promotion record; live flowRouter binding 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68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FlowBridge | 11 Oct 2026 | PUBLIC-SAFE</w:t>
            </w:r>
          </w:p>
        </w:tc>
        <w:tc>
          <w:tcPr>
            <w:tcW w:type="dxa" w:w="37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Governance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governance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Treasury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treasury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Operations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emergency / operations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Testnet | Chain 968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https://scan.bohr.life/address/0x1b97CCbAE4D5128f8E5591ada21476609c7F2960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26502665.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Mainnet | Chain 56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1312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https://bscscan.com/address/0xA861152Ca3676bcCf7B5FDAFB9eb6A57b9d32d0e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127052551.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68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FlowBridge | 11 Oct 2026 | PUBLIC-SAFE</w:t>
            </w:r>
          </w:p>
        </w:tc>
        <w:tc>
          <w:tcPr>
            <w:tcW w:type="dxa" w:w="37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Testnet | Chain 97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0x535dDDA826142AC42cE288154e9595f080940aE9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https://testnet.bscscan.com/address/0x535dDDA826142AC42cE288154e9595f080940aE9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136198901.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pool discovery.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SwapRouter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7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EXTERNAL INTEGRATION — External venue accessed through FlowBridge routing, not a FlowBridge-owned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Quoter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route quoting.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Position Manager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NFT liquidity infrastructure; Mainnet liquidity writes remain disabled.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Wrapped BOT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wrapped native token.</w:t>
      </w:r>
    </w:p>
    <w:p>
      <w:pPr>
        <w:autoSpaceDN w:val="0"/>
        <w:autoSpaceDE w:val="0"/>
        <w:widowControl/>
        <w:spacing w:line="300" w:lineRule="auto" w:before="94" w:after="103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68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FlowBridge | 11 Oct 2026 | PUBLIC-SAFE</w:t>
            </w:r>
          </w:p>
        </w:tc>
        <w:tc>
          <w:tcPr>
            <w:tcW w:type="dxa" w:w="37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 USDT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stablecoin used by trading routes.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BDEX V3 1% FLOW/USDT pool; factory binding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intermediate native-token trading pool.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V2 venue; factory read from router.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CaryPact venue; runtime factory differs from historic configuration.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Official BOT Bridge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Official external BOT Bridge, not FlowBridge-owned.</w:t>
      </w:r>
    </w:p>
    <w:p>
      <w:pPr>
        <w:autoSpaceDN w:val="0"/>
        <w:autoSpaceDE w:val="0"/>
        <w:widowControl/>
        <w:spacing w:line="300" w:lineRule="auto" w:before="94" w:after="131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68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FlowBridge | 11 Oct 2026 | PUBLIC-SAFE</w:t>
            </w:r>
          </w:p>
        </w:tc>
        <w:tc>
          <w:tcPr>
            <w:tcW w:type="dxa" w:w="37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10192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68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FlowBridge | 11 Oct 2026 | PUBLIC-SAFE</w:t>
            </w:r>
          </w:p>
        </w:tc>
        <w:tc>
          <w:tcPr>
            <w:tcW w:type="dxa" w:w="37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00000"/>
                <w:sz w:val="16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14" w:right="810" w:bottom="200" w:left="8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Editable convenience copy — canonical version is the corresponding PDF.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