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14"/>
        <w:ind w:left="0" w:right="0"/>
      </w:pPr>
    </w:p>
    <w:p>
      <w:pPr>
        <w:autoSpaceDN w:val="0"/>
        <w:autoSpaceDE w:val="0"/>
        <w:widowControl/>
        <w:spacing w:line="206" w:lineRule="auto" w:before="0" w:after="0"/>
        <w:ind w:left="0" w:right="0" w:firstLine="0"/>
        <w:jc w:val="center"/>
      </w:pPr>
      <w:r>
        <w:rPr>
          <w:rFonts w:ascii="DejaVu Sans" w:hAnsi="DejaVu Sans" w:eastAsia="DejaVu Sans"/>
          <w:b/>
          <w:i w:val="0"/>
          <w:color w:val="0D1C2A"/>
          <w:sz w:val="44"/>
        </w:rPr>
        <w:t>FlowBridge | Reviewer Summary</w:t>
      </w:r>
    </w:p>
    <w:p>
      <w:pPr>
        <w:autoSpaceDN w:val="0"/>
        <w:autoSpaceDE w:val="0"/>
        <w:widowControl/>
        <w:spacing w:line="206" w:lineRule="auto" w:before="198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1st Place - EVM Deployment Track, BOT Chain Builder Challenge #1</w:t>
      </w:r>
    </w:p>
    <w:p>
      <w:pPr>
        <w:autoSpaceDN w:val="0"/>
        <w:autoSpaceDE w:val="0"/>
        <w:widowControl/>
        <w:spacing w:line="206" w:lineRule="auto" w:before="128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0D1C2A"/>
          <w:sz w:val="30"/>
        </w:rPr>
        <w:t>APPLICATION POSITION</w:t>
      </w:r>
    </w:p>
    <w:p>
      <w:pPr>
        <w:autoSpaceDN w:val="0"/>
        <w:autoSpaceDE w:val="0"/>
        <w:widowControl/>
        <w:spacing w:line="302" w:lineRule="auto" w:before="212" w:after="0"/>
        <w:ind w:left="130" w:right="144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APPLICATION: READY TO SUBMIT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REQUESTEDSUPPORT: OPTION A - DEX LIQUIDITY SUPPORT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PROGRAM: NOT YET APPROVED / MONITORING NOT YET STARTED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QUALIFICATION: PENDING PROGRAM ONBOARDING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MONITORINGWINDOW: TO BE CONFIRMED BY BOT CHAIN AFTER APPROVAL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ACTIVITY: SUPPORTING PROOF OF MAINNET READINESS AND GENUINE ECOSYSTEM PARTICIPATION</w:t>
      </w:r>
    </w:p>
    <w:p>
      <w:pPr>
        <w:autoSpaceDN w:val="0"/>
        <w:autoSpaceDE w:val="0"/>
        <w:widowControl/>
        <w:spacing w:line="293" w:lineRule="auto" w:before="300" w:after="0"/>
        <w:ind w:left="130" w:right="288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FlowBridge is applying for Option A - DEX Liquidity Support. We are submitting the project's production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deployment, technical architecture, verified contracts, on-chain evidence, ecosystem contribution and mainnet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readiness for BOT Chain's evaluation. Any support level, incentive allocation, rebate, points or other program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benefit will be determined by BOT Chain according to its current program rules and review process.</w:t>
      </w:r>
    </w:p>
    <w:p>
      <w:pPr>
        <w:autoSpaceDN w:val="0"/>
        <w:autoSpaceDE w:val="0"/>
        <w:widowControl/>
        <w:spacing w:line="206" w:lineRule="auto" w:before="128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0D1C2A"/>
          <w:sz w:val="30"/>
        </w:rPr>
        <w:t>MAINNET READINESS</w:t>
      </w:r>
    </w:p>
    <w:p>
      <w:pPr>
        <w:autoSpaceDN w:val="0"/>
        <w:autoSpaceDE w:val="0"/>
        <w:widowControl/>
        <w:spacing w:line="283" w:lineRule="auto" w:before="212" w:after="0"/>
        <w:ind w:left="130" w:right="14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Live non-custodial trading, bridging, MultiSend, staking, verified rewards and guided wallet journeys. V3 executes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single-step/staged routes; current V4 executes only the enabled native BOT/BDEX V3 multi-pool atomic class. Live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V4 health checks all pass.</w:t>
      </w:r>
    </w:p>
    <w:p>
      <w:pPr>
        <w:autoSpaceDN w:val="0"/>
        <w:autoSpaceDE w:val="0"/>
        <w:widowControl/>
        <w:spacing w:line="206" w:lineRule="auto" w:before="128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0D1C2A"/>
          <w:sz w:val="30"/>
        </w:rPr>
        <w:t>STAKING &amp; REWARDS — VERIFIED STATE</w:t>
      </w:r>
    </w:p>
    <w:p>
      <w:pPr>
        <w:autoSpaceDN w:val="0"/>
        <w:autoSpaceDE w:val="0"/>
        <w:widowControl/>
        <w:spacing w:line="283" w:lineRule="auto" w:before="212" w:after="0"/>
        <w:ind w:left="130" w:right="288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Flexible and 30D completed real-mainnet claim/withdrawal evidence. 30D position #2 is closed; both receipts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rechecked successfully. Positions #4/#5/#6 are open with 100 FLOW each for 90D/180D/365D; real maturity is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still in progress, not verified.</w:t>
      </w:r>
    </w:p>
    <w:p>
      <w:pPr>
        <w:autoSpaceDN w:val="0"/>
        <w:autoSpaceDE w:val="0"/>
        <w:widowControl/>
        <w:spacing w:line="293" w:lineRule="auto" w:before="100" w:after="0"/>
        <w:ind w:left="130" w:right="288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Unlock times: #4 2027-01-09 16:11:06 UTC; #5 2027-04-09 16:11:53 UTC; #6 2027-10-11 16:12:15 UTC.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All five products passed historical local-fork lifecycle simulations, recorded separately from real maturity. Longer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terms remain canary-only in the application. Withdraw returns principal; rewards are claimed separately,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including after closure.</w:t>
      </w:r>
    </w:p>
    <w:p>
      <w:pPr>
        <w:autoSpaceDN w:val="0"/>
        <w:autoSpaceDE w:val="0"/>
        <w:widowControl/>
        <w:spacing w:line="283" w:lineRule="auto" w:before="100" w:after="0"/>
        <w:ind w:left="130" w:right="43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Live variable price oracle remains the zero address; no oracle or configuration activation. Genesis reward-days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are shared per wallet, not reset per position. Governance / Treasury / Operations Safe thresholds read live: 2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signatures each.</w:t>
      </w:r>
    </w:p>
    <w:p>
      <w:pPr>
        <w:autoSpaceDN w:val="0"/>
        <w:autoSpaceDE w:val="0"/>
        <w:widowControl/>
        <w:spacing w:line="264" w:lineRule="auto" w:before="100" w:after="0"/>
        <w:ind w:left="130" w:right="187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Funded Merkle distributor and historical reward claims are production evidence, not BOT Chain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incentive-monitoring results.</w:t>
      </w:r>
    </w:p>
    <w:p>
      <w:pPr>
        <w:autoSpaceDN w:val="0"/>
        <w:autoSpaceDE w:val="0"/>
        <w:widowControl/>
        <w:spacing w:line="206" w:lineRule="auto" w:before="128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0D1C2A"/>
          <w:sz w:val="30"/>
        </w:rPr>
        <w:t>EVIDENCE &amp; INTEGRATIONS</w:t>
      </w:r>
    </w:p>
    <w:p>
      <w:pPr>
        <w:autoSpaceDN w:val="0"/>
        <w:autoSpaceDE w:val="0"/>
        <w:widowControl/>
        <w:spacing w:line="283" w:lineRule="auto" w:before="212" w:after="0"/>
        <w:ind w:left="130" w:right="288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26 useful BOT Mainnet contracts/infrastructure entries: 13 FlowBridge-owned/supporting and 13 external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integrations. Current MultiSend also verified on BOT Testnet, BNB Mainnet and BNB Testnet. BDEX/CaSwap and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the official BOT Bridge are external protocols, not FlowBridge-owned.</w:t>
      </w:r>
    </w:p>
    <w:p>
      <w:pPr>
        <w:autoSpaceDN w:val="0"/>
        <w:autoSpaceDE w:val="0"/>
        <w:widowControl/>
        <w:spacing w:line="264" w:lineRule="auto" w:before="100" w:after="0"/>
        <w:ind w:left="130" w:right="288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No aggregate volume, users, TVL, liquidity, transaction counts or eligibility percentages claimed. Explorer/code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evidence is not a third-party audit.</w:t>
      </w:r>
    </w:p>
    <w:p>
      <w:pPr>
        <w:autoSpaceDN w:val="0"/>
        <w:autoSpaceDE w:val="0"/>
        <w:widowControl/>
        <w:spacing w:line="206" w:lineRule="auto" w:before="128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0D1C2A"/>
          <w:sz w:val="30"/>
        </w:rPr>
        <w:t>OWNER NEXT ACTION</w:t>
      </w:r>
    </w:p>
    <w:p>
      <w:pPr>
        <w:autoSpaceDN w:val="0"/>
        <w:autoSpaceDE w:val="0"/>
        <w:widowControl/>
        <w:spacing w:line="266" w:lineRule="exact" w:before="192" w:after="1334"/>
        <w:ind w:left="130" w:right="0" w:firstLine="0"/>
        <w:jc w:val="left"/>
      </w:pPr>
      <w:r>
        <w:rPr>
          <w:rFonts w:ascii="Helvetica" w:hAnsi="Helvetica" w:eastAsia="Helvetica"/>
          <w:b w:val="0"/>
          <w:i w:val="0"/>
          <w:color w:val="29333D"/>
          <w:sz w:val="18"/>
        </w:rPr>
        <w:t xml:space="preserve">Form order VERIFIED from the owner-confirmed current 16-field snapshot. Personally review compliance terms and refresh private </w:t>
      </w:r>
      <w:r>
        <w:rPr>
          <w:rFonts w:ascii="Helvetica" w:hAnsi="Helvetica" w:eastAsia="Helvetica"/>
          <w:b w:val="0"/>
          <w:i w:val="0"/>
          <w:color w:val="29333D"/>
          <w:sz w:val="18"/>
        </w:rPr>
        <w:t>reviewer links when ready. No submission or compliance acceptance performed.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5"/>
        <w:gridCol w:w="5305"/>
      </w:tblGrid>
      <w:tr>
        <w:trPr>
          <w:trHeight w:hRule="exact" w:val="278"/>
        </w:trPr>
        <w:tc>
          <w:tcPr>
            <w:tcW w:type="dxa" w:w="753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10" w:right="0" w:firstLine="0"/>
              <w:jc w:val="lef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FlowBridge | 11 Oct 2026 | PRIVATE REVIEWER MATERIAL</w:t>
            </w:r>
          </w:p>
        </w:tc>
        <w:tc>
          <w:tcPr>
            <w:tcW w:type="dxa" w:w="305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0" w:right="1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532" w:right="800" w:bottom="200" w:left="8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autoSpaceDN w:val="0"/>
        <w:autoSpaceDE w:val="0"/>
        <w:widowControl/>
        <w:spacing w:line="206" w:lineRule="auto" w:before="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Compliance confirmation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OWNER ACTION — not accepted or submitted; personally review current compliance terms.</w:t>
      </w:r>
    </w:p>
    <w:p>
      <w:pPr>
        <w:autoSpaceDN w:val="0"/>
        <w:autoSpaceDE w:val="0"/>
        <w:widowControl/>
        <w:spacing w:line="206" w:lineRule="auto" w:before="128" w:after="0"/>
        <w:ind w:left="0" w:right="0" w:firstLine="0"/>
        <w:jc w:val="center"/>
      </w:pPr>
      <w:r>
        <w:rPr>
          <w:rFonts w:ascii="DejaVu Sans" w:hAnsi="DejaVu Sans" w:eastAsia="DejaVu Sans"/>
          <w:b/>
          <w:i w:val="0"/>
          <w:color w:val="0D1C2A"/>
          <w:sz w:val="30"/>
        </w:rPr>
        <w:t>VERIFIED SMART CONTRACTS &amp; ON-CHAIN INFRASTRUCTURE</w:t>
      </w:r>
    </w:p>
    <w:p>
      <w:pPr>
        <w:autoSpaceDN w:val="0"/>
        <w:autoSpaceDE w:val="0"/>
        <w:widowControl/>
        <w:spacing w:line="206" w:lineRule="auto" w:before="35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FLOW Token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Fixed-supply FLOW token; no future mint authority.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0xcaaB50F36252a57529AFeF651fa6B9f9281917fF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https://scan.botchain.ai/address/0xcaaB50F36252a57529AFeF651fa6B9f9281917fF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verification and runtime parity recorded in canonical settlement; fresh code hash included in private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evidence.</w:t>
      </w:r>
    </w:p>
    <w:p>
      <w:pPr>
        <w:autoSpaceDN w:val="0"/>
        <w:autoSpaceDE w:val="0"/>
        <w:widowControl/>
        <w:spacing w:line="206" w:lineRule="auto" w:before="94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contracts/production/V30_2B_R1_SETTLEMENT.json;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Rewards Distributor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Funded Merkle round claims; explicit publisher authority.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0x7b805B036B22E2B71Ef5E8f7EA21D8791819b922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https://scan.botchain.ai/address/0x7b805B036B22E2B71Ef5E8f7EA21D8791819b922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verification and runtime parity recorded in canonical settlement; fresh code hash included in private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evidence.</w:t>
      </w:r>
    </w:p>
    <w:p>
      <w:pPr>
        <w:autoSpaceDN w:val="0"/>
        <w:autoSpaceDE w:val="0"/>
        <w:widowControl/>
        <w:spacing w:line="206" w:lineRule="auto" w:before="94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contracts/production/V30_2B_R2_SETTLEMENT.json;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Activity Registry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DEPLOYED SUPPORTING — Controlled canonical activity attestations.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0x86590b7C8A2Ad9a1dAD8183Eaf627AE4B7Ff3814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https://scan.botchain.ai/address/0x86590b7C8A2Ad9a1dAD8183Eaf627AE4B7Ff3814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verification and runtime parity recorded in canonical settlement; fresh code hash included in private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evidence.</w:t>
      </w:r>
    </w:p>
    <w:p>
      <w:pPr>
        <w:autoSpaceDN w:val="0"/>
        <w:autoSpaceDE w:val="0"/>
        <w:widowControl/>
        <w:spacing w:line="206" w:lineRule="auto" w:before="94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contracts/production/V30_2B_R3_SETTLEMENT.json;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Staking Reward Treasury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Segregated pre-funded reward inventory and obligation accounting.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0x96552909998F3DbAf5Ff4979dc158508b3442e65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https://scan.botchain.ai/address/0x96552909998F3DbAf5Ff4979dc158508b3442e65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verification and runtime parity recorded in canonical settlement; fresh code hash included in private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evidence.</w:t>
      </w:r>
    </w:p>
    <w:p>
      <w:pPr>
        <w:autoSpaceDN w:val="0"/>
        <w:autoSpaceDE w:val="0"/>
        <w:widowControl/>
        <w:spacing w:line="206" w:lineRule="auto" w:before="94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contracts/production/V30_2B_R4_SETTLEMENT.json;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Staking Controller V2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Genesis/floor economics; variable rewards disabled while oracle unset.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0x44b9b880C6188D8b8dbe4f68216aE28a5A1253bF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https://scan.botchain.ai/address/0x44b9b880C6188D8b8dbe4f68216aE28a5A1253bF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verification and runtime parity recorded in canonical settlement; fresh code hash included in private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evidence.</w:t>
      </w:r>
    </w:p>
    <w:p>
      <w:pPr>
        <w:autoSpaceDN w:val="0"/>
        <w:autoSpaceDE w:val="0"/>
        <w:widowControl/>
        <w:spacing w:line="206" w:lineRule="auto" w:before="94" w:after="712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contracts/production/V30_2B_R5_SETTLEMENT.json; code present at block 26336087.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0"/>
        <w:gridCol w:w="5300"/>
      </w:tblGrid>
      <w:tr>
        <w:trPr>
          <w:trHeight w:hRule="exact" w:val="278"/>
        </w:trPr>
        <w:tc>
          <w:tcPr>
            <w:tcW w:type="dxa" w:w="753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10" w:right="0" w:firstLine="0"/>
              <w:jc w:val="lef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FlowBridge | 11 Oct 2026 | PRIVATE REVIEWER MATERIAL</w:t>
            </w:r>
          </w:p>
        </w:tc>
        <w:tc>
          <w:tcPr>
            <w:tcW w:type="dxa" w:w="305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0" w:right="1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514" w:right="810" w:bottom="200" w:left="8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autoSpaceDN w:val="0"/>
        <w:autoSpaceDE w:val="0"/>
        <w:widowControl/>
        <w:spacing w:line="206" w:lineRule="auto" w:before="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Staking Vault V2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Principal custody, positions, reward claims and maturity withdrawals.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0x15e7B1b4b16a43E6CE2E1f460dBE4201E9B6790D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https://scan.botchain.ai/address/0x15e7B1b4b16a43E6CE2E1f460dBE4201E9B6790D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verification and runtime parity recorded in canonical settlement; fresh code hash included in private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evidence.</w:t>
      </w:r>
    </w:p>
    <w:p>
      <w:pPr>
        <w:autoSpaceDN w:val="0"/>
        <w:autoSpaceDE w:val="0"/>
        <w:widowControl/>
        <w:spacing w:line="206" w:lineRule="auto" w:before="94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contracts/production/V30_2B_R6_SETTLEMENT.json;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Router V3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Current single-step / staged execution dispatcher; platform fee retained.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0x986962de6f00d0ec571b1a34fa70aeeb445b5445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https://scan.botchain.ai/address/0x986962de6f00d0ec571b1a34fa70aeeb445b5445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Recorded deployment; fresh bytecode presence check. Explorer source status not independently rechecked.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Router V4 | BOT Mainnet | Chain 677</w:t>
      </w:r>
    </w:p>
    <w:p>
      <w:pPr>
        <w:autoSpaceDN w:val="0"/>
        <w:autoSpaceDE w:val="0"/>
        <w:widowControl/>
        <w:spacing w:line="264" w:lineRule="auto" w:before="176" w:after="0"/>
        <w:ind w:left="130" w:right="14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ACTIVE PRODUCTION — Promoted atomic native BOT / BDEX V3 multi-pool execution; other route classes remain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staged.</w:t>
      </w:r>
    </w:p>
    <w:p>
      <w:pPr>
        <w:autoSpaceDN w:val="0"/>
        <w:autoSpaceDE w:val="0"/>
        <w:widowControl/>
        <w:spacing w:line="305" w:lineRule="auto" w:before="94" w:after="0"/>
        <w:ind w:left="130" w:right="331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0x79653140D84B78C19354ee984f236Ec92160fc61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https://scan.botchain.ai/address/0x79653140D84B78C19354ee984f236Ec92160fc61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verified in promotion record; frozen runtime SHA256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a42e53b15977c57b81fa63c575b9cb39100b873c50a523b68f02df7bd8bec41d.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src/lib/swap/executionCapability.ts;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Router Lens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DEPLOYED SUPPORTING — Read-only lens bound to current Router V4.</w:t>
      </w:r>
    </w:p>
    <w:p>
      <w:pPr>
        <w:autoSpaceDN w:val="0"/>
        <w:autoSpaceDE w:val="0"/>
        <w:widowControl/>
        <w:spacing w:line="300" w:lineRule="auto" w:before="94" w:after="0"/>
        <w:ind w:left="130" w:right="302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0xb82038aC3d2df60f5B5fE06D6FDe3CFDd1B76BD0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https://scan.botchain.ai/address/0xb82038aC3d2df60f5B5fE06D6FDe3CFDd1B76BD0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verified in Router V4 promotion record; live flowRouter binding checked.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src/lib/swap/executionCapability.ts;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Governance Safe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DEPLOYED SUPPORTING — Multisig governance authority; threshold checked live.</w:t>
      </w:r>
    </w:p>
    <w:p>
      <w:pPr>
        <w:autoSpaceDN w:val="0"/>
        <w:autoSpaceDE w:val="0"/>
        <w:widowControl/>
        <w:spacing w:line="300" w:lineRule="auto" w:before="94" w:after="2692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0x88A4CC1F5771523baeB83DaEea07D323a3ce9507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https://scan.botchain.ai/address/0x88A4CC1F5771523baeB83DaEea07D323a3ce9507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Safe deployed code and threshold verified read-only; proxy identity is not an independent contract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contracts/production/V30_2B_R2_SETTLEMENT.json; code present at block 26336087.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0"/>
        <w:gridCol w:w="5300"/>
      </w:tblGrid>
      <w:tr>
        <w:trPr>
          <w:trHeight w:hRule="exact" w:val="278"/>
        </w:trPr>
        <w:tc>
          <w:tcPr>
            <w:tcW w:type="dxa" w:w="753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10" w:right="0" w:firstLine="0"/>
              <w:jc w:val="lef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FlowBridge | 11 Oct 2026 | PRIVATE REVIEWER MATERIAL</w:t>
            </w:r>
          </w:p>
        </w:tc>
        <w:tc>
          <w:tcPr>
            <w:tcW w:type="dxa" w:w="305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0" w:right="1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514" w:right="810" w:bottom="200" w:left="8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autoSpaceDN w:val="0"/>
        <w:autoSpaceDE w:val="0"/>
        <w:widowControl/>
        <w:spacing w:line="206" w:lineRule="auto" w:before="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Treasury Safe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DEPLOYED SUPPORTING — Multisig treasury authority; threshold checked live.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0xeFc13d1A1dC30BA2DA0Bb005ba5A783c6b229Ea4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https://scan.botchain.ai/address/0xeFc13d1A1dC30BA2DA0Bb005ba5A783c6b229Ea4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Safe deployed code and threshold verified read-only; proxy identity is not an independent contract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contracts/production/V30_2B_R2_SETTLEMENT.json;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Operations Safe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DEPLOYED SUPPORTING — Multisig emergency / operations authority; threshold checked live.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0x1Ce0b1DF5d2055f6e92122D8cB7669609C2359eF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https://scan.botchain.ai/address/0x1Ce0b1DF5d2055f6e92122D8cB7669609C2359eF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Safe deployed code and threshold verified read-only; proxy identity is not an independent contract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contracts/production/V30_2B_R2_SETTLEMENT.json;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MultiSend V1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Distribution, consolidation and advanced batches; exact approvals and 1 bp service fee.</w:t>
      </w:r>
    </w:p>
    <w:p>
      <w:pPr>
        <w:autoSpaceDN w:val="0"/>
        <w:autoSpaceDE w:val="0"/>
        <w:widowControl/>
        <w:spacing w:line="300" w:lineRule="auto" w:before="94" w:after="0"/>
        <w:ind w:left="130" w:right="259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0xc54CAcfd96330949db0eAEd72dE930a2d06d9778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https://scan.botchain.ai/address/0xc54CAcfd96330949db0eAEd72dE930a2d06d9778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verified and native/ERC-20 rehearsal recorded in canonical release evidence.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src/lib/multisend/deployments.ts;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MultiSend V1 | BOT Testnet | Chain 968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TESTNET — Distribution, consolidation and advanced batches; exact approvals and 1 bp service fee.</w:t>
      </w:r>
    </w:p>
    <w:p>
      <w:pPr>
        <w:autoSpaceDN w:val="0"/>
        <w:autoSpaceDE w:val="0"/>
        <w:widowControl/>
        <w:spacing w:line="300" w:lineRule="auto" w:before="94" w:after="0"/>
        <w:ind w:left="130" w:right="259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0x1b97CCbAE4D5128f8E5591ada21476609c7F2960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https://scan.bohr.life/address/0x1b97CCbAE4D5128f8E5591ada21476609c7F2960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verified and native/ERC-20 rehearsal recorded in canonical release evidence.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src/lib/multisend/deployments.ts; code present at block 26502665.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MultiSend V1 | BNB Mainnet | Chain 56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ACTIVE PRODUCTION — Distribution, consolidation and advanced batches; exact approvals and 1 bp service fee.</w:t>
      </w:r>
    </w:p>
    <w:p>
      <w:pPr>
        <w:autoSpaceDN w:val="0"/>
        <w:autoSpaceDE w:val="0"/>
        <w:widowControl/>
        <w:spacing w:line="300" w:lineRule="auto" w:before="94" w:after="0"/>
        <w:ind w:left="130" w:right="259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0xA861152Ca3676bcCf7B5FDAFB9eb6A57b9d32d0e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https://bscscan.com/address/0xA861152Ca3676bcCf7B5FDAFB9eb6A57b9d32d0e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verified and native/ERC-20 rehearsal recorded in canonical release evidence.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src/lib/multisend/deployments.ts; code present at block 127052551.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MultiSend V1 | BNB Testnet | Chain 97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TESTNET — Distribution, consolidation and advanced batches; exact approvals and 1 bp service fee.</w:t>
      </w:r>
    </w:p>
    <w:p>
      <w:pPr>
        <w:autoSpaceDN w:val="0"/>
        <w:autoSpaceDE w:val="0"/>
        <w:widowControl/>
        <w:spacing w:line="300" w:lineRule="auto" w:before="94" w:after="1312"/>
        <w:ind w:left="130" w:right="259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0x535dDDA826142AC42cE288154e9595f080940aE9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https://testnet.bscscan.com/address/0x535dDDA826142AC42cE288154e9595f080940aE9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Explorer verified and native/ERC-20 rehearsal recorded in canonical release evidence.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src/lib/multisend/deployments.ts; code present at block 136198901.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0"/>
        <w:gridCol w:w="5300"/>
      </w:tblGrid>
      <w:tr>
        <w:trPr>
          <w:trHeight w:hRule="exact" w:val="278"/>
        </w:trPr>
        <w:tc>
          <w:tcPr>
            <w:tcW w:type="dxa" w:w="753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10" w:right="0" w:firstLine="0"/>
              <w:jc w:val="lef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FlowBridge | 11 Oct 2026 | PRIVATE REVIEWER MATERIAL</w:t>
            </w:r>
          </w:p>
        </w:tc>
        <w:tc>
          <w:tcPr>
            <w:tcW w:type="dxa" w:w="305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0" w:right="1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514" w:right="810" w:bottom="200" w:left="8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autoSpaceDN w:val="0"/>
        <w:autoSpaceDE w:val="0"/>
        <w:widowControl/>
        <w:spacing w:line="206" w:lineRule="auto" w:before="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BDEX V3 Factory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pool discovery.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0x1C51c173323ec11BB4e3C4fD2314c225Dc4b5419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https://scan.botchain.ai/address/0x1C51c173323ec11BB4e3C4fD2314c225Dc4b5419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BDEX V3 SwapRouter | BOT Mainnet | Chain 677</w:t>
      </w:r>
    </w:p>
    <w:p>
      <w:pPr>
        <w:autoSpaceDN w:val="0"/>
        <w:autoSpaceDE w:val="0"/>
        <w:widowControl/>
        <w:spacing w:line="264" w:lineRule="auto" w:before="176" w:after="0"/>
        <w:ind w:left="130" w:right="72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EXTERNAL INTEGRATION — External venue accessed through FlowBridge routing, not a FlowBridge-owned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contract.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0x07032d47A1b9f8460cBeE9dC17c1d3E438693929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https://scan.botchain.ai/address/0x07032d47A1b9f8460cBeE9dC17c1d3E438693929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BDEX V3 Quoter V2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route quoting.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0x034A705b36067cff99ABf5C662Be881cBd8d0176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https://scan.botchain.ai/address/0x034A705b36067cff99ABf5C662Be881cBd8d0176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BDEX V3 Position Manager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NFT liquidity infrastructure; Mainnet liquidity writes remain disabled.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0xDAc3FcFF004d8a8675b94E44941A1a2e3b240090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https://scan.botchain.ai/address/0xDAc3FcFF004d8a8675b94E44941A1a2e3b240090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Wrapped BOT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wrapped native token.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0xD5452816194a3784dBa983426cCe7c122F4abd30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https://scan.botchain.ai/address/0xD5452816194a3784dBa983426cCe7c122F4abd30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BOT USDT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stablecoin used by trading routes.</w:t>
      </w:r>
    </w:p>
    <w:p>
      <w:pPr>
        <w:autoSpaceDN w:val="0"/>
        <w:autoSpaceDE w:val="0"/>
        <w:widowControl/>
        <w:spacing w:line="300" w:lineRule="auto" w:before="94" w:after="1032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0xababc7ddc03e501d190c676bf3d92ef0e6e87a3c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https://scan.botchain.ai/address/0xababc7ddc03e501d190c676bf3d92ef0e6e87a3c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0"/>
        <w:gridCol w:w="5300"/>
      </w:tblGrid>
      <w:tr>
        <w:trPr>
          <w:trHeight w:hRule="exact" w:val="278"/>
        </w:trPr>
        <w:tc>
          <w:tcPr>
            <w:tcW w:type="dxa" w:w="753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10" w:right="0" w:firstLine="0"/>
              <w:jc w:val="lef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FlowBridge | 11 Oct 2026 | PRIVATE REVIEWER MATERIAL</w:t>
            </w:r>
          </w:p>
        </w:tc>
        <w:tc>
          <w:tcPr>
            <w:tcW w:type="dxa" w:w="305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0" w:right="1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514" w:right="810" w:bottom="200" w:left="8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autoSpaceDN w:val="0"/>
        <w:autoSpaceDE w:val="0"/>
        <w:widowControl/>
        <w:spacing w:line="206" w:lineRule="auto" w:before="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FLOW/USDT BDEX V3 pool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BDEX V3 1% FLOW/USDT pool; factory binding checked live.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0xDaCFc2574b6110892351Bd31afb36F95E7206162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https://scan.botchain.ai/address/0xDaCFc2574b6110892351Bd31afb36F95E7206162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BOT/USDT BDEX V3 pool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intermediate native-token trading pool.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0x64f418471a1a7932a190e10da5a8551db5abec05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https://scan.botchain.ai/address/0x64f418471a1a7932a190e10da5a8551db5abec05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BDEX V2 Router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V2 venue; factory read from router.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0x1414eD29FdFD322c3c0a830330ed982E2D629e76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https://scan.botchain.ai/address/0x1414eD29FdFD322c3c0a830330ed982E2D629e76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CaSwap Router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CaryPact venue; runtime factory differs from historic configuration.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0x5b90611D4eB8FC82Fc2E3d1F0501Dd6F434441AD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https://scan.botchain.ai/address/0x5b90611D4eB8FC82Fc2E3d1F0501Dd6F434441AD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Official BOT Bridge Router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Official external BOT Bridge, not FlowBridge-owned.</w:t>
      </w:r>
    </w:p>
    <w:p>
      <w:pPr>
        <w:autoSpaceDN w:val="0"/>
        <w:autoSpaceDE w:val="0"/>
        <w:widowControl/>
        <w:spacing w:line="300" w:lineRule="auto" w:before="94" w:after="0"/>
        <w:ind w:left="130" w:right="86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0xef8dc669eca13e612b67ff09478352e85bd6cc53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https://scan.botchain.ai/address/0xef8dc669eca13e612b67ff09478352e85bd6cc53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Fresh bytecode presence check; external protocol integration, not FlowBridge source ownership or audit.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src/lib/contracts.ts / src/lib/swap/dexVerification.ts; code present at block 26336087.</w:t>
      </w:r>
    </w:p>
    <w:p>
      <w:pPr>
        <w:autoSpaceDN w:val="0"/>
        <w:autoSpaceDE w:val="0"/>
        <w:widowControl/>
        <w:spacing w:line="206" w:lineRule="auto" w:before="53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BDEX V2 Factory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factory discovered from its live router; not inferred from historic address.</w:t>
      </w:r>
    </w:p>
    <w:p>
      <w:pPr>
        <w:autoSpaceDN w:val="0"/>
        <w:autoSpaceDE w:val="0"/>
        <w:widowControl/>
        <w:spacing w:line="300" w:lineRule="auto" w:before="94" w:after="1312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0x117115f3b72c8d1989178089a67d0c26f8ee0aa3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https://scan.botchain.ai/address/0x117115f3b72c8d1989178089a67d0c26f8ee0aa3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Recorded deployment; fresh bytecode presence check. Explorer source status not independently rechecked.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Live router.factory(); code present at block 26336087.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0"/>
        <w:gridCol w:w="5300"/>
      </w:tblGrid>
      <w:tr>
        <w:trPr>
          <w:trHeight w:hRule="exact" w:val="278"/>
        </w:trPr>
        <w:tc>
          <w:tcPr>
            <w:tcW w:type="dxa" w:w="753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10" w:right="0" w:firstLine="0"/>
              <w:jc w:val="lef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FlowBridge | 11 Oct 2026 | PRIVATE REVIEWER MATERIAL</w:t>
            </w:r>
          </w:p>
        </w:tc>
        <w:tc>
          <w:tcPr>
            <w:tcW w:type="dxa" w:w="305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0" w:right="1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514" w:right="810" w:bottom="200" w:left="8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autoSpaceDN w:val="0"/>
        <w:autoSpaceDE w:val="0"/>
        <w:widowControl/>
        <w:spacing w:line="206" w:lineRule="auto" w:before="0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28"/>
        </w:rPr>
        <w:t>CaSwap Factory | BOT Mainnet | Chain 677</w:t>
      </w:r>
    </w:p>
    <w:p>
      <w:pPr>
        <w:autoSpaceDN w:val="0"/>
        <w:autoSpaceDE w:val="0"/>
        <w:widowControl/>
        <w:spacing w:line="206" w:lineRule="auto" w:before="176" w:after="0"/>
        <w:ind w:left="130" w:right="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>EXTERNAL INTEGRATION — External factory discovered from its live router; not inferred from historic address.</w:t>
      </w:r>
    </w:p>
    <w:p>
      <w:pPr>
        <w:autoSpaceDN w:val="0"/>
        <w:autoSpaceDE w:val="0"/>
        <w:widowControl/>
        <w:spacing w:line="300" w:lineRule="auto" w:before="94" w:after="0"/>
        <w:ind w:left="130" w:right="576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0x9c937ebc3748825026677e20b13b5e306494a38d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https://scan.botchain.ai/address/0x9c937ebc3748825026677e20b13b5e306494a38d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Recorded deployment; fresh bytecode presence check. Explorer source status not independently rechecked.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Evidence: Live router.factory(); code present at block 26336087.</w:t>
      </w:r>
    </w:p>
    <w:p>
      <w:pPr>
        <w:autoSpaceDN w:val="0"/>
        <w:autoSpaceDE w:val="0"/>
        <w:widowControl/>
        <w:spacing w:line="206" w:lineRule="auto" w:before="294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0D1C2A"/>
          <w:sz w:val="30"/>
        </w:rPr>
        <w:t>STAKING &amp; REWARDS — VERIFIED STATE</w:t>
      </w:r>
    </w:p>
    <w:p>
      <w:pPr>
        <w:autoSpaceDN w:val="0"/>
        <w:autoSpaceDE w:val="0"/>
        <w:widowControl/>
        <w:spacing w:line="283" w:lineRule="auto" w:before="212" w:after="0"/>
        <w:ind w:left="130" w:right="288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Flexible and 30D completed real-mainnet claim/withdrawal evidence. 30D position #2 is closed; both receipts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rechecked successfully. Positions #4/#5/#6 are open with 100 FLOW each for 90D/180D/365D; real maturity is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still in progress, not verified.</w:t>
      </w:r>
    </w:p>
    <w:p>
      <w:pPr>
        <w:autoSpaceDN w:val="0"/>
        <w:autoSpaceDE w:val="0"/>
        <w:widowControl/>
        <w:spacing w:line="293" w:lineRule="auto" w:before="100" w:after="0"/>
        <w:ind w:left="130" w:right="14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Unlock times: #4 2027-01-09 16:11:06 UTC; #5 2027-04-09 16:11:53 UTC; #6 2027-10-11 16:12:15 UTC.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All five products passed historical local-fork lifecycle simulations, recorded separately from real maturity. Longer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terms remain canary-only in the application. Withdraw returns principal; rewards are claimed separately,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including after closure.</w:t>
      </w:r>
    </w:p>
    <w:p>
      <w:pPr>
        <w:autoSpaceDN w:val="0"/>
        <w:autoSpaceDE w:val="0"/>
        <w:widowControl/>
        <w:spacing w:line="283" w:lineRule="auto" w:before="100" w:after="0"/>
        <w:ind w:left="130" w:right="43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Live variable price oracle remains the zero address; no oracle or configuration activation. Genesis reward-days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are shared per wallet, not reset per position. Governance / Treasury / Operations Safe thresholds read live: 2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signatures each.</w:t>
      </w:r>
    </w:p>
    <w:p>
      <w:pPr>
        <w:autoSpaceDN w:val="0"/>
        <w:autoSpaceDE w:val="0"/>
        <w:widowControl/>
        <w:spacing w:line="264" w:lineRule="auto" w:before="100" w:after="0"/>
        <w:ind w:left="130" w:right="1872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Funded Merkle distributor and historical reward claims are production evidence, not BOT Chain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incentive-monitoring results.</w:t>
      </w:r>
    </w:p>
    <w:p>
      <w:pPr>
        <w:autoSpaceDN w:val="0"/>
        <w:autoSpaceDE w:val="0"/>
        <w:widowControl/>
        <w:spacing w:line="206" w:lineRule="auto" w:before="128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0D1C2A"/>
          <w:sz w:val="30"/>
        </w:rPr>
        <w:t>EVIDENCE, PRIVACY &amp; REVIEW BOUNDARIES</w:t>
      </w:r>
    </w:p>
    <w:p>
      <w:pPr>
        <w:autoSpaceDN w:val="0"/>
        <w:autoSpaceDE w:val="0"/>
        <w:widowControl/>
        <w:spacing w:line="283" w:lineRule="auto" w:before="212" w:after="0"/>
        <w:ind w:left="130" w:right="144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Current activity supports mainnet readiness and genuine participation. It is not incentive-monitoring evidence: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BOT Chain approval, onboarding and monitoring window are pending. No specific monetary support requested. No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contract, role, oracle, liquidity or staking configuration changed.</w:t>
      </w:r>
    </w:p>
    <w:p>
      <w:pPr>
        <w:autoSpaceDN w:val="0"/>
        <w:autoSpaceDE w:val="0"/>
        <w:widowControl/>
        <w:spacing w:line="264" w:lineRule="auto" w:before="100" w:after="0"/>
        <w:ind w:left="130" w:right="288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Private dossier, pitch, evidence pack and reviewer summary use admin-gated expiring links. Public docs include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contract facts only; private owner/application decisions and exports are excluded.</w:t>
      </w:r>
    </w:p>
    <w:p>
      <w:pPr>
        <w:autoSpaceDN w:val="0"/>
        <w:autoSpaceDE w:val="0"/>
        <w:widowControl/>
        <w:spacing w:line="206" w:lineRule="auto" w:before="128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0D1C2A"/>
          <w:sz w:val="30"/>
        </w:rPr>
        <w:t>TARGETED REFRESH NOTES</w:t>
      </w:r>
    </w:p>
    <w:p>
      <w:pPr>
        <w:autoSpaceDN w:val="0"/>
        <w:autoSpaceDE w:val="0"/>
        <w:widowControl/>
        <w:spacing w:line="283" w:lineRule="auto" w:before="212" w:after="0"/>
        <w:ind w:left="130" w:right="72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Replaces outdated application status, owner placeholders, prequalification framing, old Router V4/Lens and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 xml:space="preserve">incomplete deployed stack; records real 30D maturity and long-term canaries without claiming simulated </w:t>
      </w:r>
      <w:r>
        <w:rPr>
          <w:rFonts w:ascii="DejaVu Sans" w:hAnsi="DejaVu Sans" w:eastAsia="DejaVu Sans"/>
          <w:b w:val="0"/>
          <w:i w:val="0"/>
          <w:color w:val="0D1C2A"/>
          <w:sz w:val="18"/>
        </w:rPr>
        <w:t>maturities as real. Unrelated architecture/product principles retained.</w:t>
      </w:r>
    </w:p>
    <w:p>
      <w:pPr>
        <w:autoSpaceDN w:val="0"/>
        <w:autoSpaceDE w:val="0"/>
        <w:widowControl/>
        <w:spacing w:line="206" w:lineRule="auto" w:before="128" w:after="0"/>
        <w:ind w:left="130" w:right="0" w:firstLine="0"/>
        <w:jc w:val="left"/>
      </w:pPr>
      <w:r>
        <w:rPr>
          <w:rFonts w:ascii="DejaVu Sans" w:hAnsi="DejaVu Sans" w:eastAsia="DejaVu Sans"/>
          <w:b/>
          <w:i w:val="0"/>
          <w:color w:val="0D1C2A"/>
          <w:sz w:val="30"/>
        </w:rPr>
        <w:t>SOURCES</w:t>
      </w:r>
    </w:p>
    <w:p>
      <w:pPr>
        <w:autoSpaceDN w:val="0"/>
        <w:autoSpaceDE w:val="0"/>
        <w:widowControl/>
        <w:spacing w:line="322" w:lineRule="auto" w:before="206" w:after="1892"/>
        <w:ind w:left="130" w:right="4320" w:firstLine="0"/>
        <w:jc w:val="left"/>
      </w:pP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contracts/production/V30_2B_R1_SETTLEMENT.json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contracts/production/V30_2B_R2_SETTLEMENT.json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contracts/production/V30_2B_R3_SETTLEMENT.json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contracts/production/V30_2B_R4_SETTLEMENT.json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contracts/production/V30_2B_R5_SETTLEMENT.json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contracts/production/V30_2B_R6_SETTLEMENT.json </w:t>
      </w:r>
      <w:r>
        <w:br/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contracts/production/multisend-v1/release/BOT_MAINNET_RELEASE.md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contracts/production/multisend-v1/release/BNB_MAINNET_RELEASE.md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 xml:space="preserve">contracts/production/v30-2b-staking-genesis-canary/P3B_SETTLEMENT.json </w:t>
      </w:r>
      <w:r>
        <w:rPr>
          <w:rFonts w:ascii="DejaVu Sans" w:hAnsi="DejaVu Sans" w:eastAsia="DejaVu Sans"/>
          <w:b w:val="0"/>
          <w:i w:val="0"/>
          <w:color w:val="0D1C2A"/>
          <w:sz w:val="16"/>
        </w:rPr>
        <w:t>contracts/production/router-v4-native-v3-multi/README.md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0"/>
        <w:gridCol w:w="5300"/>
      </w:tblGrid>
      <w:tr>
        <w:trPr>
          <w:trHeight w:hRule="exact" w:val="278"/>
        </w:trPr>
        <w:tc>
          <w:tcPr>
            <w:tcW w:type="dxa" w:w="753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10" w:right="0" w:firstLine="0"/>
              <w:jc w:val="lef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FlowBridge | 11 Oct 2026 | PRIVATE REVIEWER MATERIAL</w:t>
            </w:r>
          </w:p>
        </w:tc>
        <w:tc>
          <w:tcPr>
            <w:tcW w:type="dxa" w:w="3050"/>
            <w:tcBorders>
              <w:top w:sz="8.0" w:val="single" w:color="#00D6B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auto" w:before="128" w:after="0"/>
              <w:ind w:left="0" w:right="10" w:firstLine="0"/>
              <w:jc w:val="right"/>
            </w:pPr>
            <w:r>
              <w:rPr>
                <w:rFonts w:ascii="DejaVu Sans" w:hAnsi="DejaVu Sans" w:eastAsia="DejaVu Sans"/>
                <w:b w:val="0"/>
                <w:i w:val="0"/>
                <w:color w:val="0D1C2A"/>
                <w:sz w:val="16"/>
              </w:rPr>
              <w:t>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514" w:right="810" w:bottom="200" w:left="83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