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0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A7A65"/>
          <w:sz w:val="26"/>
        </w:rPr>
        <w:t>FLOWBRIDGE</w:t>
      </w:r>
    </w:p>
    <w:p>
      <w:pPr>
        <w:autoSpaceDN w:val="0"/>
        <w:tabs>
          <w:tab w:pos="2224" w:val="left"/>
        </w:tabs>
        <w:autoSpaceDE w:val="0"/>
        <w:widowControl/>
        <w:spacing w:line="644" w:lineRule="exact" w:before="268" w:after="0"/>
        <w:ind w:left="918" w:right="86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FlowBridge Whitepaper v1.1 </w:t>
      </w:r>
      <w:r>
        <w:br/>
      </w:r>
      <w:r>
        <w:rPr>
          <w:rFonts w:ascii="Liberation Sans" w:hAnsi="Liberation Sans" w:eastAsia="Liberation Sans"/>
          <w:b w:val="0"/>
          <w:i w:val="0"/>
          <w:color w:val="42586A"/>
          <w:sz w:val="26"/>
        </w:rPr>
        <w:t>A non-custodial AI-guided DeFi and ecosystem growth layer for BOT Chain</w:t>
      </w:r>
    </w:p>
    <w:p>
      <w:pPr>
        <w:autoSpaceDN w:val="0"/>
        <w:autoSpaceDE w:val="0"/>
        <w:widowControl/>
        <w:spacing w:line="268" w:lineRule="exact" w:before="254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A7A65"/>
          <w:sz w:val="24"/>
        </w:rPr>
        <w:t>Earn. Learn. Grow. Support BOT Chain.</w:t>
      </w:r>
    </w:p>
    <w:p>
      <w:pPr>
        <w:autoSpaceDN w:val="0"/>
        <w:autoSpaceDE w:val="0"/>
        <w:widowControl/>
        <w:spacing w:line="212" w:lineRule="exact" w:before="24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67788"/>
          <w:sz w:val="19"/>
        </w:rPr>
        <w:t>BOT Mainnet 677 | Mainnet Live | Non-custodial | EVM Deployment Track #1 Winner</w:t>
      </w:r>
    </w:p>
    <w:p>
      <w:pPr>
        <w:autoSpaceDN w:val="0"/>
        <w:autoSpaceDE w:val="0"/>
        <w:widowControl/>
        <w:spacing w:line="240" w:lineRule="auto" w:before="2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509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0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8" w:lineRule="exact" w:before="556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67788"/>
          <w:sz w:val="15"/>
        </w:rPr>
        <w:t>FlowBridge Whitepaper v1.0 | 29 Sep 2026</w:t>
      </w:r>
    </w:p>
    <w:p>
      <w:pPr>
        <w:sectPr>
          <w:pgSz w:w="12240" w:h="15840"/>
          <w:pgMar w:top="400" w:right="864" w:bottom="360" w:left="8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autoSpaceDE w:val="0"/>
        <w:widowControl/>
        <w:spacing w:line="366" w:lineRule="exact" w:before="0" w:after="0"/>
        <w:ind w:left="2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Abstract</w:t>
      </w:r>
    </w:p>
    <w:p>
      <w:pPr>
        <w:autoSpaceDN w:val="0"/>
        <w:autoSpaceDE w:val="0"/>
        <w:widowControl/>
        <w:spacing w:line="238" w:lineRule="exact" w:before="22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FlowBridge is a mainnet-live application that reduces the complexity of participating in the BOT Chain ecosystem. It brings trading,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bridging, staking, rewards, batch asset movement, ecosystem discovery and guided education into one non-custodial experience. </w:t>
      </w:r>
    </w:p>
    <w:p>
      <w:pPr>
        <w:autoSpaceDN w:val="0"/>
        <w:autoSpaceDE w:val="0"/>
        <w:widowControl/>
        <w:spacing w:line="238" w:lineRule="exact" w:before="0" w:after="0"/>
        <w:ind w:left="2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FlowBridge is designed around a simple principle: software may guide and verify, but the user wallet remains the authority for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economic transactions.</w:t>
      </w:r>
    </w:p>
    <w:p>
      <w:pPr>
        <w:autoSpaceDN w:val="0"/>
        <w:autoSpaceDE w:val="0"/>
        <w:widowControl/>
        <w:spacing w:line="238" w:lineRule="exact" w:before="200" w:after="0"/>
        <w:ind w:left="2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The project uses deployed smart contracts and canonical on-chain evidence to separate user principal, reward inventory,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governance authority and application guidance. FlowBridge won 1st Place in the EVM Deployment Track of BOT Chain Builder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Challenge #1 and is now positioned to scale from technical validation to broader ecosystem adoption.</w:t>
      </w:r>
    </w:p>
    <w:p>
      <w:pPr>
        <w:autoSpaceDN w:val="0"/>
        <w:autoSpaceDE w:val="0"/>
        <w:widowControl/>
        <w:spacing w:line="366" w:lineRule="exact" w:before="512" w:after="0"/>
        <w:ind w:left="2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1. Vision</w:t>
      </w:r>
    </w:p>
    <w:p>
      <w:pPr>
        <w:autoSpaceDN w:val="0"/>
        <w:autoSpaceDE w:val="0"/>
        <w:widowControl/>
        <w:spacing w:line="238" w:lineRule="exact" w:before="22" w:after="232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Web3 users often encounter a fragmented journey: find a token, locate the correct DEX, understand the route, bridge assets, verify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network settings, stake, claim rewards, and determine which actions are actually final. FlowBridge turns this fragmented flow into a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guided path while retaining the open, wallet-controlled nature of on-chain execution.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76"/>
      </w:tblGrid>
      <w:tr>
        <w:trPr>
          <w:trHeight w:hRule="exact" w:val="250"/>
        </w:trPr>
        <w:tc>
          <w:tcPr>
            <w:tcW w:type="dxa" w:w="10454"/>
            <w:tcBorders/>
            <w:shd w:fill="e9ff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A7A65"/>
                <w:sz w:val="20"/>
              </w:rPr>
              <w:t>Core message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5238"/>
        <w:gridCol w:w="5238"/>
      </w:tblGrid>
      <w:tr>
        <w:trPr>
          <w:trHeight w:hRule="exact" w:val="1890"/>
        </w:trPr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72" w:after="0"/>
              <w:ind w:left="16" w:right="12" w:firstLine="0"/>
              <w:jc w:val="both"/>
            </w:pPr>
            <w:r>
              <w:rPr>
                <w:rFonts w:ascii="OpenSymbol" w:hAnsi="OpenSymbol" w:eastAsia="OpenSymbol"/>
                <w:b w:val="0"/>
                <w:i w:val="0"/>
                <w:color w:val="283746"/>
                <w:sz w:val="18"/>
              </w:rPr>
              <w:t></w:t>
            </w:r>
            <w:r>
              <w:rPr>
                <w:rFonts w:ascii="OpenSymbol" w:hAnsi="OpenSymbol" w:eastAsia="OpenSymbol"/>
                <w:b w:val="0"/>
                <w:i w:val="0"/>
                <w:color w:val="283746"/>
                <w:sz w:val="18"/>
              </w:rPr>
              <w:t></w:t>
            </w:r>
            <w:r>
              <w:rPr>
                <w:rFonts w:ascii="OpenSymbol" w:hAnsi="OpenSymbol" w:eastAsia="OpenSymbol"/>
                <w:b w:val="0"/>
                <w:i w:val="0"/>
                <w:color w:val="283746"/>
                <w:sz w:val="18"/>
              </w:rPr>
              <w:t></w:t>
            </w:r>
            <w:r>
              <w:rPr>
                <w:rFonts w:ascii="OpenSymbol" w:hAnsi="OpenSymbol" w:eastAsia="OpenSymbol"/>
                <w:b w:val="0"/>
                <w:i w:val="0"/>
                <w:color w:val="283746"/>
                <w:sz w:val="18"/>
              </w:rPr>
              <w:t></w:t>
            </w:r>
          </w:p>
        </w:tc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8"/>
              </w:rPr>
              <w:t>Earn. Learn. Grow. Support BOT Chain.</w:t>
            </w:r>
          </w:p>
          <w:p>
            <w:pPr>
              <w:autoSpaceDN w:val="0"/>
              <w:autoSpaceDE w:val="0"/>
              <w:widowControl/>
              <w:spacing w:line="200" w:lineRule="exact" w:before="676" w:after="0"/>
              <w:ind w:left="2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8"/>
              </w:rPr>
              <w:t>Earn: access transparent staking and verified campaign rewards without fabricated yields.</w:t>
            </w:r>
          </w:p>
          <w:p>
            <w:pPr>
              <w:autoSpaceDN w:val="0"/>
              <w:autoSpaceDE w:val="0"/>
              <w:widowControl/>
              <w:spacing w:line="200" w:lineRule="exact" w:before="38" w:after="0"/>
              <w:ind w:left="2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8"/>
              </w:rPr>
              <w:t>Learn: understand what an action does, what it costs, what can fail and what happens next.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8"/>
              </w:rPr>
              <w:t>Grow: discover new BOT Chain routes, projects and participation opportunities.</w:t>
            </w:r>
          </w:p>
          <w:p>
            <w:pPr>
              <w:autoSpaceDN w:val="0"/>
              <w:autoSpaceDE w:val="0"/>
              <w:widowControl/>
              <w:spacing w:line="200" w:lineRule="exact" w:before="38" w:after="0"/>
              <w:ind w:left="2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8"/>
              </w:rPr>
              <w:t>Support BOT Chain: increase meaningful on-chain usage, liquidity, application discovery and long-term participation.</w:t>
            </w:r>
          </w:p>
        </w:tc>
      </w:tr>
    </w:tbl>
    <w:p>
      <w:pPr>
        <w:autoSpaceDN w:val="0"/>
        <w:autoSpaceDE w:val="0"/>
        <w:widowControl/>
        <w:spacing w:line="366" w:lineRule="exact" w:before="434" w:after="0"/>
        <w:ind w:left="2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2. Why BOT Chain</w:t>
      </w:r>
    </w:p>
    <w:p>
      <w:pPr>
        <w:autoSpaceDN w:val="0"/>
        <w:autoSpaceDE w:val="0"/>
        <w:widowControl/>
        <w:spacing w:line="238" w:lineRule="exact" w:before="22" w:after="0"/>
        <w:ind w:left="2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BOT Chain is an EVM-compatible Layer 1 designed for high-frequency applications, AI agents, DePIN and decentralized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applications. FlowBridge uses the familiar EVM model while building product-specific safety and usability layers around BOT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Mainnet 677.</w:t>
      </w:r>
    </w:p>
    <w:p>
      <w:pPr>
        <w:autoSpaceDN w:val="0"/>
        <w:tabs>
          <w:tab w:pos="362" w:val="left"/>
        </w:tabs>
        <w:autoSpaceDE w:val="0"/>
        <w:widowControl/>
        <w:spacing w:line="222" w:lineRule="exact" w:before="234" w:after="0"/>
        <w:ind w:left="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BOT is the network gas token, so genuine application usage directly consumes BOT gas.</w:t>
      </w:r>
    </w:p>
    <w:p>
      <w:pPr>
        <w:autoSpaceDN w:val="0"/>
        <w:tabs>
          <w:tab w:pos="362" w:val="left"/>
        </w:tabs>
        <w:autoSpaceDE w:val="0"/>
        <w:widowControl/>
        <w:spacing w:line="224" w:lineRule="exact" w:before="16" w:after="0"/>
        <w:ind w:left="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BDEX provides native decentralized exchange infrastructure for FLOW liquidity and trading.</w:t>
      </w:r>
    </w:p>
    <w:p>
      <w:pPr>
        <w:autoSpaceDN w:val="0"/>
        <w:tabs>
          <w:tab w:pos="362" w:val="left"/>
        </w:tabs>
        <w:autoSpaceDE w:val="0"/>
        <w:widowControl/>
        <w:spacing w:line="220" w:lineRule="exact" w:before="18" w:after="0"/>
        <w:ind w:left="2" w:right="288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The official BOT Bridge remains the production bridge path where FlowBridge uses direct user-wallet interaction instead of 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hidden custody.</w:t>
      </w:r>
    </w:p>
    <w:p>
      <w:pPr>
        <w:autoSpaceDN w:val="0"/>
        <w:tabs>
          <w:tab w:pos="362" w:val="left"/>
        </w:tabs>
        <w:autoSpaceDE w:val="0"/>
        <w:widowControl/>
        <w:spacing w:line="224" w:lineRule="exact" w:before="34" w:after="0"/>
        <w:ind w:left="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BOT Chain ecosystem programs provide a path from deployed application to liquidity, user growth and official distribution.</w:t>
      </w:r>
    </w:p>
    <w:p>
      <w:pPr>
        <w:autoSpaceDN w:val="0"/>
        <w:autoSpaceDE w:val="0"/>
        <w:widowControl/>
        <w:spacing w:line="168" w:lineRule="exact" w:before="4972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67788"/>
          <w:sz w:val="15"/>
        </w:rPr>
        <w:t>FlowBridge Whitepaper v1.0 | 29 Sep 2026</w:t>
      </w:r>
    </w:p>
    <w:p>
      <w:pPr>
        <w:sectPr>
          <w:pgSz w:w="12240" w:h="15840"/>
          <w:pgMar w:top="396" w:right="870" w:bottom="360" w:left="8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autoSpaceDE w:val="0"/>
        <w:widowControl/>
        <w:spacing w:line="366" w:lineRule="exact" w:before="0" w:after="0"/>
        <w:ind w:left="0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3. Product System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exact" w:before="270" w:after="0"/>
        <w:ind w:left="0" w:right="144" w:firstLine="0"/>
        <w:jc w:val="left"/>
      </w:pPr>
      <w:r>
        <w:rPr>
          <w:rFonts w:ascii="Carlito" w:hAnsi="Carlito" w:eastAsia="Carlito"/>
          <w:b/>
          <w:i w:val="0"/>
          <w:color w:val="0A7A65"/>
          <w:sz w:val="23"/>
        </w:rPr>
        <w:t xml:space="preserve">3.1 Trade and Buy </w:t>
      </w:r>
      <w:r>
        <w:br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FlowBridge discovers live BOT Chain liquidity, obtains route-specific quotes and lets the user review expected output, minimum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received, price impact and protection mode before signing. FLOW/USDT BDEX V3 liquidity is live. Route discovery supports the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direct 1% pool and valid protected multi-hop routes when they provide the better canonical execution path.</w:t>
      </w:r>
    </w:p>
    <w:p>
      <w:pPr>
        <w:autoSpaceDN w:val="0"/>
        <w:tabs>
          <w:tab w:pos="360" w:val="left"/>
        </w:tabs>
        <w:autoSpaceDE w:val="0"/>
        <w:widowControl/>
        <w:spacing w:line="238" w:lineRule="exact" w:before="220" w:after="0"/>
        <w:ind w:left="0" w:right="144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Circuit breaker states distinguish warming, temporary reference unavailability and actual abnormal-price risk.</w:t>
      </w: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Transient RPC/reference failures self-heal and cannot permanently lock the route.</w:t>
      </w:r>
    </w:p>
    <w:p>
      <w:pPr>
        <w:autoSpaceDN w:val="0"/>
        <w:tabs>
          <w:tab w:pos="360" w:val="left"/>
        </w:tabs>
        <w:autoSpaceDE w:val="0"/>
        <w:widowControl/>
        <w:spacing w:line="238" w:lineRule="exact" w:before="2" w:after="0"/>
        <w:ind w:left="0" w:right="216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Connect-wallet behavior is connect-only; token approvals and swaps are separate explicit actions.</w:t>
      </w: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Price protection is evaluated on route-effective execution price, not merely the first hop.</w:t>
      </w:r>
    </w:p>
    <w:p>
      <w:pPr>
        <w:autoSpaceDN w:val="0"/>
        <w:autoSpaceDE w:val="0"/>
        <w:widowControl/>
        <w:spacing w:line="242" w:lineRule="exact" w:before="252" w:after="0"/>
        <w:ind w:left="0" w:right="0" w:firstLine="0"/>
        <w:jc w:val="left"/>
      </w:pPr>
      <w:r>
        <w:rPr>
          <w:rFonts w:ascii="Carlito" w:hAnsi="Carlito" w:eastAsia="Carlito"/>
          <w:b/>
          <w:i w:val="0"/>
          <w:color w:val="0A7A65"/>
          <w:sz w:val="23"/>
        </w:rPr>
        <w:t xml:space="preserve">3.2 Cross-Chain Bridge </w:t>
      </w:r>
      <w:r>
        <w:br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The production bridge model sends the user wallet directly to the official BOT Bridge. FlowBridge prepares the route and explains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the steps, but it does not custody the user asset or silently sign bridge transactions. This separation reduces adapter risk and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keeps the canonical bridge settlement path visible to the user.</w:t>
      </w:r>
    </w:p>
    <w:p>
      <w:pPr>
        <w:autoSpaceDN w:val="0"/>
        <w:autoSpaceDE w:val="0"/>
        <w:widowControl/>
        <w:spacing w:line="240" w:lineRule="exact" w:before="272" w:after="0"/>
        <w:ind w:left="0" w:right="144" w:firstLine="0"/>
        <w:jc w:val="left"/>
      </w:pPr>
      <w:r>
        <w:rPr>
          <w:rFonts w:ascii="Carlito" w:hAnsi="Carlito" w:eastAsia="Carlito"/>
          <w:b/>
          <w:i w:val="0"/>
          <w:color w:val="0A7A65"/>
          <w:sz w:val="23"/>
        </w:rPr>
        <w:t xml:space="preserve">3.3 MultiSend </w:t>
      </w:r>
      <w:r>
        <w:br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MultiSend extends FlowBridge from single transfers to operational asset movement: one-to-many distribution, many-to-one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consolidation and advanced many-to-many workflows across supported networks. Safety tests cover invalid addresses, bad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amounts, approvals, reverting recipients, reentrancy and non-standard token behavior. QR and CSV workflows improve usability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without granting signing authority to the application.</w:t>
      </w:r>
    </w:p>
    <w:p>
      <w:pPr>
        <w:autoSpaceDN w:val="0"/>
        <w:autoSpaceDE w:val="0"/>
        <w:widowControl/>
        <w:spacing w:line="242" w:lineRule="exact" w:before="270" w:after="0"/>
        <w:ind w:left="0" w:right="0" w:firstLine="0"/>
        <w:jc w:val="left"/>
      </w:pPr>
      <w:r>
        <w:rPr>
          <w:rFonts w:ascii="Carlito" w:hAnsi="Carlito" w:eastAsia="Carlito"/>
          <w:b/>
          <w:i w:val="0"/>
          <w:color w:val="0A7A65"/>
          <w:sz w:val="23"/>
        </w:rPr>
        <w:t xml:space="preserve">3.4 Rewards </w:t>
      </w:r>
      <w:r>
        <w:br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FlowBridge rewards use a funded, finite, evidence-backed model. Mainnet rewards are distributed through a Merkle/epoch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Distributor. A user receives FLOW only when a specific campaign publishes a verified entitlement for that wallet. FLOW Points and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Campaign PTS remain distinct accounting systems and are never silently converted into FLOW.</w:t>
      </w:r>
    </w:p>
    <w:p>
      <w:pPr>
        <w:autoSpaceDN w:val="0"/>
        <w:autoSpaceDE w:val="0"/>
        <w:widowControl/>
        <w:spacing w:line="248" w:lineRule="exact" w:before="264" w:after="0"/>
        <w:ind w:left="0" w:right="0" w:firstLine="0"/>
        <w:jc w:val="left"/>
      </w:pPr>
      <w:r>
        <w:rPr>
          <w:rFonts w:ascii="Carlito" w:hAnsi="Carlito" w:eastAsia="Carlito"/>
          <w:b/>
          <w:i w:val="0"/>
          <w:color w:val="0A7A65"/>
          <w:sz w:val="23"/>
        </w:rPr>
        <w:t xml:space="preserve">3.5 Staking </w:t>
      </w:r>
      <w:r>
        <w:br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Staking separates user principal from reward inventory. The mainnet system contains a Reward Treasury, Controller and Vault V2. </w:t>
      </w:r>
    </w:p>
    <w:p>
      <w:pPr>
        <w:autoSpaceDN w:val="0"/>
        <w:autoSpaceDE w:val="0"/>
        <w:widowControl/>
        <w:spacing w:line="238" w:lineRule="exact" w:before="0" w:after="0"/>
        <w:ind w:left="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Genesis/floor staking products are live under funded capacity and per-wallet quote checks. Flexible, 30D, 90D, 180D and 365D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products exist; longer products transition from the Genesis window to their reserved floor when the standard variable layer is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unavailable.</w:t>
      </w:r>
    </w:p>
    <w:p>
      <w:pPr>
        <w:autoSpaceDN w:val="0"/>
        <w:autoSpaceDE w:val="0"/>
        <w:widowControl/>
        <w:spacing w:line="168" w:lineRule="exact" w:before="436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67788"/>
          <w:sz w:val="15"/>
        </w:rPr>
        <w:t>FlowBridge Whitepaper v1.0 | 29 Sep 2026</w:t>
      </w:r>
    </w:p>
    <w:p>
      <w:pPr>
        <w:sectPr>
          <w:pgSz w:w="12240" w:h="15840"/>
          <w:pgMar w:top="396" w:right="894" w:bottom="36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tabs>
          <w:tab w:pos="576" w:val="left"/>
        </w:tabs>
        <w:autoSpaceDE w:val="0"/>
        <w:widowControl/>
        <w:spacing w:line="234" w:lineRule="exact" w:before="0" w:after="0"/>
        <w:ind w:left="216" w:right="4032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Genesis applies for at most 90 reward-days or until a shorter product matures.</w:t>
      </w: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Locked floor obligations are reserved at position entry before the user commits.</w:t>
      </w: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Flexible has no guaranteed standard floor.</w:t>
      </w:r>
    </w:p>
    <w:p>
      <w:pPr>
        <w:autoSpaceDN w:val="0"/>
        <w:tabs>
          <w:tab w:pos="576" w:val="left"/>
        </w:tabs>
        <w:autoSpaceDE w:val="0"/>
        <w:widowControl/>
        <w:spacing w:line="222" w:lineRule="exact" w:before="16" w:after="0"/>
        <w:ind w:left="216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Principal and reward inventory are never commingled.</w:t>
      </w:r>
    </w:p>
    <w:p>
      <w:pPr>
        <w:autoSpaceDN w:val="0"/>
        <w:tabs>
          <w:tab w:pos="576" w:val="left"/>
        </w:tabs>
        <w:autoSpaceDE w:val="0"/>
        <w:widowControl/>
        <w:spacing w:line="224" w:lineRule="exact" w:before="16" w:after="0"/>
        <w:ind w:left="216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Dynamic standard bonus remains disabled while the production oracle is unset.</w:t>
      </w:r>
    </w:p>
    <w:p>
      <w:pPr>
        <w:autoSpaceDN w:val="0"/>
        <w:autoSpaceDE w:val="0"/>
        <w:widowControl/>
        <w:spacing w:line="242" w:lineRule="exact" w:before="252" w:after="0"/>
        <w:ind w:left="216" w:right="288" w:firstLine="0"/>
        <w:jc w:val="left"/>
      </w:pPr>
      <w:r>
        <w:rPr>
          <w:rFonts w:ascii="Carlito" w:hAnsi="Carlito" w:eastAsia="Carlito"/>
          <w:b/>
          <w:i w:val="0"/>
          <w:color w:val="0A7A65"/>
          <w:sz w:val="23"/>
        </w:rPr>
        <w:t xml:space="preserve">3.6 Flow AI and Guided Journeys </w:t>
      </w:r>
      <w:r>
        <w:br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Flow AI is an advisory and orchestration layer. It can explain state, surface opportunities, prepare user-readable actions and guide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onboarding. It cannot hold private keys, sign transactions, alter staking economics, move treasury funds or invent an on-chain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result. Economic execution always returns to an explicit wallet confirmation.</w:t>
      </w:r>
    </w:p>
    <w:p>
      <w:pPr>
        <w:autoSpaceDN w:val="0"/>
        <w:autoSpaceDE w:val="0"/>
        <w:widowControl/>
        <w:spacing w:line="366" w:lineRule="exact" w:before="512" w:after="54"/>
        <w:ind w:left="216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4. Production Architecture and Trust Boundaries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3653"/>
        <w:gridCol w:w="3653"/>
        <w:gridCol w:w="3653"/>
      </w:tblGrid>
      <w:tr>
        <w:trPr>
          <w:trHeight w:hRule="exact" w:val="194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Responsibility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Authority Boundary</w:t>
            </w:r>
          </w:p>
        </w:tc>
      </w:tr>
      <w:tr>
        <w:trPr>
          <w:trHeight w:hRule="exact" w:val="196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User wallet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Owns assets and signs state changes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Final economic authority</w:t>
            </w:r>
          </w:p>
        </w:tc>
      </w:tr>
      <w:tr>
        <w:trPr>
          <w:trHeight w:hRule="exact" w:val="194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FlowBridge UI / Flow AI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Discovery, education, preparation, simulation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No custody; no signing</w:t>
            </w:r>
          </w:p>
        </w:tc>
      </w:tr>
      <w:tr>
        <w:trPr>
          <w:trHeight w:hRule="exact" w:val="376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Evidence / state layer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04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Canonical network, balances, quotes,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receipts, eligibility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Read / verify; fail closed</w:t>
            </w:r>
          </w:p>
        </w:tc>
      </w:tr>
      <w:tr>
        <w:trPr>
          <w:trHeight w:hRule="exact" w:val="194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Deployed contracts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Rewards, staking, activity, routing candidates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Role-gated on-chain state</w:t>
            </w:r>
          </w:p>
        </w:tc>
      </w:tr>
      <w:tr>
        <w:trPr>
          <w:trHeight w:hRule="exact" w:val="196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Governance Safes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Treasury, governance, operations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2-of-3 multisig authorities</w:t>
            </w:r>
          </w:p>
        </w:tc>
      </w:tr>
      <w:tr>
        <w:trPr>
          <w:trHeight w:hRule="exact" w:val="192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BOT Chain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Final settlement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Canonical mainnet 677</w:t>
            </w:r>
          </w:p>
        </w:tc>
      </w:tr>
    </w:tbl>
    <w:p>
      <w:pPr>
        <w:autoSpaceDN w:val="0"/>
        <w:autoSpaceDE w:val="0"/>
        <w:widowControl/>
        <w:spacing w:line="330" w:lineRule="exact" w:before="762" w:after="0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5. Mainnet Contract Stack - updated 11 Oct 2026</w:t>
      </w:r>
    </w:p>
    <w:p>
      <w:pPr>
        <w:autoSpaceDN w:val="0"/>
        <w:autoSpaceDE w:val="0"/>
        <w:widowControl/>
        <w:spacing w:line="274" w:lineRule="exact" w:before="134" w:after="0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See the current public-safe deployment appendix at the end of this document.</w:t>
      </w:r>
    </w:p>
    <w:p>
      <w:pPr>
        <w:autoSpaceDN w:val="0"/>
        <w:autoSpaceDE w:val="0"/>
        <w:widowControl/>
        <w:spacing w:line="366" w:lineRule="exact" w:before="3400" w:after="0"/>
        <w:ind w:left="216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6. FLOW Token Economics</w:t>
      </w:r>
    </w:p>
    <w:p>
      <w:pPr>
        <w:autoSpaceDN w:val="0"/>
        <w:autoSpaceDE w:val="0"/>
        <w:widowControl/>
        <w:spacing w:line="238" w:lineRule="exact" w:before="22" w:after="234"/>
        <w:ind w:left="216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FLOW has a fixed genesis supply of 1,000,000,000 tokens with 18 decimals. The deployed token has no future mint authority. The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approved v1.1 allocation is designed to fund ecosystem participation while keeping user rewards, staking, liquidity and long-term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reserves distinct.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3653"/>
        <w:gridCol w:w="3653"/>
        <w:gridCol w:w="3653"/>
      </w:tblGrid>
      <w:tr>
        <w:trPr>
          <w:trHeight w:hRule="exact" w:val="192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Allocation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Share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FLOW</w:t>
            </w:r>
          </w:p>
        </w:tc>
      </w:tr>
      <w:tr>
        <w:trPr>
          <w:trHeight w:hRule="exact" w:val="194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Community &amp; Ecosystem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50%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500,000,000</w:t>
            </w:r>
          </w:p>
        </w:tc>
      </w:tr>
      <w:tr>
        <w:trPr>
          <w:trHeight w:hRule="exact" w:val="196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Team &amp; Core Contributors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15%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150,000,000</w:t>
            </w:r>
          </w:p>
        </w:tc>
      </w:tr>
      <w:tr>
        <w:trPr>
          <w:trHeight w:hRule="exact" w:val="194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Protocol Treasury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15%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150,000,000</w:t>
            </w:r>
          </w:p>
        </w:tc>
      </w:tr>
      <w:tr>
        <w:trPr>
          <w:trHeight w:hRule="exact" w:val="194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Liquidity &amp; Market Infrastructure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10%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100,000,000</w:t>
            </w:r>
          </w:p>
        </w:tc>
      </w:tr>
      <w:tr>
        <w:trPr>
          <w:trHeight w:hRule="exact" w:val="192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Strategic Ecosystem Partners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5%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50,000,000</w:t>
            </w:r>
          </w:p>
        </w:tc>
      </w:tr>
      <w:tr>
        <w:trPr>
          <w:trHeight w:hRule="exact" w:val="194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Security &amp; Contingency Reserve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5%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50,000,000</w:t>
            </w:r>
          </w:p>
        </w:tc>
      </w:tr>
    </w:tbl>
    <w:p>
      <w:pPr>
        <w:autoSpaceDN w:val="0"/>
        <w:autoSpaceDE w:val="0"/>
        <w:widowControl/>
        <w:spacing w:line="238" w:lineRule="exact" w:before="408" w:after="0"/>
        <w:ind w:left="216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Community/Ecosystem internal planning includes user rewards, partner campaign matching, long-term staking, </w:t>
      </w:r>
      <w:r>
        <w:br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referral/community/developer programs, Genesis recognition and a future ecosystem reserve. FLOW Points are not a 1:1 token </w:t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claim.</w:t>
      </w:r>
    </w:p>
    <w:p>
      <w:pPr>
        <w:autoSpaceDN w:val="0"/>
        <w:autoSpaceDE w:val="0"/>
        <w:widowControl/>
        <w:spacing w:line="168" w:lineRule="exact" w:before="556" w:after="0"/>
        <w:ind w:left="0" w:right="4092" w:firstLine="0"/>
        <w:jc w:val="right"/>
      </w:pPr>
      <w:r>
        <w:rPr>
          <w:rFonts w:ascii="Liberation Sans" w:hAnsi="Liberation Sans" w:eastAsia="Liberation Sans"/>
          <w:b w:val="0"/>
          <w:i w:val="0"/>
          <w:color w:val="667788"/>
          <w:sz w:val="15"/>
        </w:rPr>
        <w:t>FlowBridge Whitepaper v1.0 | 29 Sep 2026</w:t>
      </w:r>
    </w:p>
    <w:p>
      <w:pPr>
        <w:sectPr>
          <w:pgSz w:w="12240" w:h="15840"/>
          <w:pgMar w:top="398" w:right="600" w:bottom="360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autoSpaceDE w:val="0"/>
        <w:widowControl/>
        <w:spacing w:line="366" w:lineRule="exact" w:before="0" w:after="52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7. Staking Economics and Solvency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623"/>
        <w:gridCol w:w="2623"/>
        <w:gridCol w:w="2623"/>
        <w:gridCol w:w="2623"/>
      </w:tblGrid>
      <w:tr>
        <w:trPr>
          <w:trHeight w:hRule="exact" w:val="172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Product</w:t>
            </w:r>
          </w:p>
        </w:tc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Genesis max APR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Standard floor / target / cap</w:t>
            </w:r>
          </w:p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" w:after="0"/>
              <w:ind w:left="1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4"/>
              </w:rPr>
              <w:t>Current production behavior</w:t>
            </w:r>
          </w:p>
        </w:tc>
      </w:tr>
      <w:tr>
        <w:trPr>
          <w:trHeight w:hRule="exact" w:val="170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Flexible</w:t>
            </w:r>
          </w:p>
        </w:tc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18%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0% / 10% / 12%</w:t>
            </w:r>
          </w:p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0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Genesis only; no guaranteed floor</w:t>
            </w:r>
          </w:p>
        </w:tc>
      </w:tr>
      <w:tr>
        <w:trPr>
          <w:trHeight w:hRule="exact" w:val="334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30D</w:t>
            </w:r>
          </w:p>
        </w:tc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27%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8% / 14% / 18%</w:t>
            </w:r>
          </w:p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0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 xml:space="preserve">Genesis-covered when eligible; floor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reserved</w:t>
            </w:r>
          </w:p>
        </w:tc>
      </w:tr>
      <w:tr>
        <w:trPr>
          <w:trHeight w:hRule="exact" w:val="172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90D</w:t>
            </w:r>
          </w:p>
        </w:tc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36%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10% / 18% / 24%</w:t>
            </w:r>
          </w:p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Genesis + reserved floor as applicable</w:t>
            </w:r>
          </w:p>
        </w:tc>
      </w:tr>
      <w:tr>
        <w:trPr>
          <w:trHeight w:hRule="exact" w:val="332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180D</w:t>
            </w:r>
          </w:p>
        </w:tc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48%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12% / 24% / 32%</w:t>
            </w:r>
          </w:p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 xml:space="preserve">Genesis first 90 days, then reserved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floor while dynamic layer off</w:t>
            </w:r>
          </w:p>
        </w:tc>
      </w:tr>
      <w:tr>
        <w:trPr>
          <w:trHeight w:hRule="exact" w:val="332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365D</w:t>
            </w:r>
          </w:p>
        </w:tc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60%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15% / 30% / 40%</w:t>
            </w:r>
          </w:p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 xml:space="preserve">Genesis first 90 days, then reserved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4"/>
              </w:rPr>
              <w:t>floor while dynamic layer off</w:t>
            </w:r>
          </w:p>
        </w:tc>
      </w:tr>
    </w:tbl>
    <w:p>
      <w:pPr>
        <w:autoSpaceDN w:val="0"/>
        <w:autoSpaceDE w:val="0"/>
        <w:widowControl/>
        <w:spacing w:line="3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247"/>
        <w:gridCol w:w="5247"/>
      </w:tblGrid>
      <w:tr>
        <w:trPr>
          <w:trHeight w:hRule="exact" w:val="129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6" w:right="132" w:firstLine="0"/>
              <w:jc w:val="both"/>
            </w:pPr>
            <w:r>
              <w:rPr>
                <w:rFonts w:ascii="OpenSymbol" w:hAnsi="OpenSymbol" w:eastAsia="OpenSymbol"/>
                <w:b w:val="0"/>
                <w:i w:val="0"/>
                <w:color w:val="283746"/>
                <w:sz w:val="18"/>
              </w:rPr>
              <w:t></w:t>
            </w:r>
            <w:r>
              <w:br/>
            </w:r>
            <w:r>
              <w:rPr>
                <w:rFonts w:ascii="OpenSymbol" w:hAnsi="OpenSymbol" w:eastAsia="OpenSymbol"/>
                <w:b w:val="0"/>
                <w:i w:val="0"/>
                <w:color w:val="283746"/>
                <w:sz w:val="18"/>
              </w:rPr>
              <w:t></w:t>
            </w:r>
            <w:r>
              <w:br/>
            </w:r>
            <w:r>
              <w:rPr>
                <w:rFonts w:ascii="OpenSymbol" w:hAnsi="OpenSymbol" w:eastAsia="OpenSymbol"/>
                <w:b w:val="0"/>
                <w:i w:val="0"/>
                <w:color w:val="283746"/>
                <w:sz w:val="18"/>
              </w:rPr>
              <w:t></w:t>
            </w:r>
            <w:r>
              <w:br/>
            </w:r>
            <w:r>
              <w:rPr>
                <w:rFonts w:ascii="OpenSymbol" w:hAnsi="OpenSymbol" w:eastAsia="OpenSymbol"/>
                <w:b w:val="0"/>
                <w:i w:val="0"/>
                <w:color w:val="283746"/>
                <w:sz w:val="18"/>
              </w:rPr>
              <w:t></w:t>
            </w:r>
            <w:r>
              <w:br/>
            </w:r>
            <w:r>
              <w:rPr>
                <w:rFonts w:ascii="OpenSymbol" w:hAnsi="OpenSymbol" w:eastAsia="OpenSymbol"/>
                <w:b w:val="0"/>
                <w:i w:val="0"/>
                <w:color w:val="283746"/>
                <w:sz w:val="18"/>
              </w:rPr>
              <w:t></w:t>
            </w:r>
          </w:p>
        </w:tc>
        <w:tc>
          <w:tcPr>
            <w:tcW w:type="dxa" w:w="10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8"/>
              </w:rPr>
              <w:t>Long-term staking reserve: 75M FLOW.</w:t>
            </w:r>
          </w:p>
          <w:p>
            <w:pPr>
              <w:autoSpaceDN w:val="0"/>
              <w:autoSpaceDE w:val="0"/>
              <w:widowControl/>
              <w:spacing w:line="200" w:lineRule="exact" w:before="38" w:after="0"/>
              <w:ind w:left="1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8"/>
              </w:rPr>
              <w:t>Year-1 staking ceiling: 3M FLOW total, including Genesis &lt;=1M and Standard &lt;=2M.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8"/>
              </w:rPr>
              <w:t>Approved maxFlowPerEpoch: 50,000 FLOW per 7 days.</w:t>
            </w:r>
          </w:p>
          <w:p>
            <w:pPr>
              <w:autoSpaceDN w:val="0"/>
              <w:autoSpaceDE w:val="0"/>
              <w:widowControl/>
              <w:spacing w:line="200" w:lineRule="exact" w:before="38" w:after="0"/>
              <w:ind w:left="1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8"/>
              </w:rPr>
              <w:t>Initial staking reward treasury inventory: 10M FLOW. Inventory does not raise Year-1 release ceilings.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8"/>
              </w:rPr>
              <w:t>Dynamic standard rewards remain disabled until a production-safe FLOW price reference is explicitly approved and activated.</w:t>
            </w:r>
          </w:p>
        </w:tc>
      </w:tr>
    </w:tbl>
    <w:p>
      <w:pPr>
        <w:autoSpaceDN w:val="0"/>
        <w:autoSpaceDE w:val="0"/>
        <w:widowControl/>
        <w:spacing w:line="366" w:lineRule="exact" w:before="434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8. DEX Liquidity, Price Protection and Future Oracle</w:t>
      </w:r>
    </w:p>
    <w:p>
      <w:pPr>
        <w:autoSpaceDN w:val="0"/>
        <w:autoSpaceDE w:val="0"/>
        <w:widowControl/>
        <w:spacing w:line="200" w:lineRule="exact" w:before="60" w:after="0"/>
        <w:ind w:left="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A FLOW/USDT BDEX V3 1% pair is live. FlowBridge treats trading liquidity and staking-oracle security as separate concerns. The </w:t>
      </w:r>
    </w:p>
    <w:p>
      <w:pPr>
        <w:autoSpaceDN w:val="0"/>
        <w:autoSpaceDE w:val="0"/>
        <w:widowControl/>
        <w:spacing w:line="200" w:lineRule="exact" w:before="38" w:after="0"/>
        <w:ind w:left="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pool can support normal swaps while still being classified as bootstrap-only for oracle purposes.</w:t>
      </w:r>
    </w:p>
    <w:p>
      <w:pPr>
        <w:autoSpaceDN w:val="0"/>
        <w:tabs>
          <w:tab w:pos="372" w:val="left"/>
        </w:tabs>
        <w:autoSpaceDE w:val="0"/>
        <w:widowControl/>
        <w:spacing w:line="224" w:lineRule="exact" w:before="234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Normal FLOW/USDT swap protection uses bounded slippage and price-impact checks.</w:t>
      </w:r>
    </w:p>
    <w:p>
      <w:pPr>
        <w:autoSpaceDN w:val="0"/>
        <w:tabs>
          <w:tab w:pos="372" w:val="left"/>
        </w:tabs>
        <w:autoSpaceDE w:val="0"/>
        <w:widowControl/>
        <w:spacing w:line="222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A &gt;=30% abnormal deviation is a FlowBridge route-preparation circuit-breaker condition; FlowBridge does not widen slippage </w:t>
      </w:r>
    </w:p>
    <w:p>
      <w:pPr>
        <w:autoSpaceDN w:val="0"/>
        <w:autoSpaceDE w:val="0"/>
        <w:widowControl/>
        <w:spacing w:line="200" w:lineRule="exact" w:before="20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to tolerate a collapse.</w:t>
      </w:r>
    </w:p>
    <w:p>
      <w:pPr>
        <w:autoSpaceDN w:val="0"/>
        <w:tabs>
          <w:tab w:pos="372" w:val="left"/>
        </w:tabs>
        <w:autoSpaceDE w:val="0"/>
        <w:widowControl/>
        <w:spacing w:line="224" w:lineRule="exact" w:before="34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Temporary reference failures are retryable and self-healing.</w:t>
      </w:r>
    </w:p>
    <w:p>
      <w:pPr>
        <w:autoSpaceDN w:val="0"/>
        <w:tabs>
          <w:tab w:pos="372" w:val="left"/>
        </w:tabs>
        <w:autoSpaceDE w:val="0"/>
        <w:widowControl/>
        <w:spacing w:line="222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Observation capacity has been increased to 128 so genuine TWAP history can accumulate.</w:t>
      </w:r>
    </w:p>
    <w:p>
      <w:pPr>
        <w:autoSpaceDN w:val="0"/>
        <w:tabs>
          <w:tab w:pos="372" w:val="left"/>
        </w:tabs>
        <w:autoSpaceDE w:val="0"/>
        <w:widowControl/>
        <w:spacing w:line="224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The staking oracle remains address(0) until sufficient real history, liquidity resistance, freshness and deviation policies all pass </w:t>
      </w:r>
    </w:p>
    <w:p>
      <w:pPr>
        <w:autoSpaceDN w:val="0"/>
        <w:autoSpaceDE w:val="0"/>
        <w:widowControl/>
        <w:spacing w:line="200" w:lineRule="exact" w:before="20" w:after="0"/>
        <w:ind w:left="3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explicit owner review.</w:t>
      </w:r>
    </w:p>
    <w:p>
      <w:pPr>
        <w:autoSpaceDN w:val="0"/>
        <w:autoSpaceDE w:val="0"/>
        <w:widowControl/>
        <w:spacing w:line="366" w:lineRule="exact" w:before="512" w:after="56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9. Security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5247"/>
        <w:gridCol w:w="5247"/>
      </w:tblGrid>
      <w:tr>
        <w:trPr>
          <w:trHeight w:hRule="exact" w:val="192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Design</w:t>
            </w:r>
          </w:p>
        </w:tc>
      </w:tr>
      <w:tr>
        <w:trPr>
          <w:trHeight w:hRule="exact" w:val="194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Non-custodial execution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User wallet signs every state-changing action.</w:t>
            </w:r>
          </w:p>
        </w:tc>
      </w:tr>
      <w:tr>
        <w:trPr>
          <w:trHeight w:hRule="exact" w:val="378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Exact approvals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Use exact/bounded approvals for canaries and reviewed flows; avoid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unnecessary unlimited approvals.</w:t>
            </w:r>
          </w:p>
        </w:tc>
      </w:tr>
      <w:tr>
        <w:trPr>
          <w:trHeight w:hRule="exact" w:val="378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Terms-change protection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Fresh independent on-chain quote immediately before locked staking;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drift forces re-review.</w:t>
            </w:r>
          </w:p>
        </w:tc>
      </w:tr>
      <w:tr>
        <w:trPr>
          <w:trHeight w:hRule="exact" w:val="380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Wallet binding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Single-use server challenge signed by the wallet; canonical bound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wallet enforced.</w:t>
            </w:r>
          </w:p>
        </w:tc>
      </w:tr>
      <w:tr>
        <w:trPr>
          <w:trHeight w:hRule="exact" w:val="376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Role separation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06" w:right="144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Governance, Treasury, Operations and specialized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publishers/attesters are separated.</w:t>
            </w:r>
          </w:p>
        </w:tc>
      </w:tr>
      <w:tr>
        <w:trPr>
          <w:trHeight w:hRule="exact" w:val="380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Principal protection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Staking principal is separate from reward inventory and cannot be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treated as free rewards.</w:t>
            </w:r>
          </w:p>
        </w:tc>
      </w:tr>
      <w:tr>
        <w:trPr>
          <w:trHeight w:hRule="exact" w:val="378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Oracle fail closed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No dynamic standard rate when the price reference is absent or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unsafe.</w:t>
            </w:r>
          </w:p>
        </w:tc>
      </w:tr>
      <w:tr>
        <w:trPr>
          <w:trHeight w:hRule="exact" w:val="376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Evidence settlement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Receipt success plus live post-state is required before FlowBridge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treats an economic action as settled.</w:t>
            </w:r>
          </w:p>
        </w:tc>
      </w:tr>
    </w:tbl>
    <w:p>
      <w:pPr>
        <w:autoSpaceDN w:val="0"/>
        <w:autoSpaceDE w:val="0"/>
        <w:widowControl/>
        <w:spacing w:line="366" w:lineRule="exact" w:before="720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10. Governance</w:t>
      </w:r>
    </w:p>
    <w:p>
      <w:pPr>
        <w:autoSpaceDN w:val="0"/>
        <w:tabs>
          <w:tab w:pos="372" w:val="left"/>
        </w:tabs>
        <w:autoSpaceDE w:val="0"/>
        <w:widowControl/>
        <w:spacing w:line="222" w:lineRule="exact" w:before="5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Treasury Safe: 0xeFc13d1A1dC30BA2DA0Bb005ba5A783c6b229Ea4.</w:t>
      </w:r>
    </w:p>
    <w:p>
      <w:pPr>
        <w:autoSpaceDN w:val="0"/>
        <w:tabs>
          <w:tab w:pos="372" w:val="left"/>
        </w:tabs>
        <w:autoSpaceDE w:val="0"/>
        <w:widowControl/>
        <w:spacing w:line="224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Governance Safe: 0x88A4CC1F5771523baeB83DaEea07D323a3ce9507, 2-of-3.</w:t>
      </w:r>
    </w:p>
    <w:p>
      <w:pPr>
        <w:autoSpaceDN w:val="0"/>
        <w:tabs>
          <w:tab w:pos="372" w:val="left"/>
        </w:tabs>
        <w:autoSpaceDE w:val="0"/>
        <w:widowControl/>
        <w:spacing w:line="222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Operations Safe: 0x1Ce0b1DF5d2055f6e92122D8cB7669609C2359eF, 2-of-3.</w:t>
      </w:r>
    </w:p>
    <w:p>
      <w:pPr>
        <w:autoSpaceDN w:val="0"/>
        <w:tabs>
          <w:tab w:pos="372" w:val="left"/>
        </w:tabs>
        <w:autoSpaceDE w:val="0"/>
        <w:widowControl/>
        <w:spacing w:line="224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No AI or ordinary application service receives final treasury/governance authority.</w:t>
      </w:r>
    </w:p>
    <w:p>
      <w:pPr>
        <w:autoSpaceDN w:val="0"/>
        <w:autoSpaceDE w:val="0"/>
        <w:widowControl/>
        <w:spacing w:line="222" w:lineRule="exact" w:before="16" w:after="0"/>
        <w:ind w:left="12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</w:p>
    <w:p>
      <w:pPr>
        <w:autoSpaceDN w:val="0"/>
        <w:autoSpaceDE w:val="0"/>
        <w:widowControl/>
        <w:spacing w:line="168" w:lineRule="exact" w:before="107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667788"/>
          <w:sz w:val="15"/>
        </w:rPr>
        <w:t>FlowBridge Whitepaper v1.0 | 29 Sep 2026</w:t>
      </w:r>
    </w:p>
    <w:p>
      <w:pPr>
        <w:sectPr>
          <w:pgSz w:w="12240" w:h="15840"/>
          <w:pgMar w:top="396" w:right="862" w:bottom="360" w:left="8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autoSpaceDE w:val="0"/>
        <w:widowControl/>
        <w:spacing w:line="366" w:lineRule="exact" w:before="0" w:after="52"/>
        <w:ind w:left="216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11. Ecosystem Contribution to BOT Chain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5480"/>
        <w:gridCol w:w="5480"/>
      </w:tblGrid>
      <w:tr>
        <w:trPr>
          <w:trHeight w:hRule="exact" w:val="196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Mechanism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How FlowBridge Supports BOT Chain</w:t>
            </w:r>
          </w:p>
        </w:tc>
      </w:tr>
      <w:tr>
        <w:trPr>
          <w:trHeight w:hRule="exact" w:val="376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Gas usage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0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Real user swaps, staking, rewards and transfers settle on BOT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Mainnet and consume BOT gas.</w:t>
            </w:r>
          </w:p>
        </w:tc>
      </w:tr>
      <w:tr>
        <w:trPr>
          <w:trHeight w:hRule="exact" w:val="378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Liquidity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0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FLOW markets deepen native BDEX activity and make ecosystem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assets easier to access.</w:t>
            </w:r>
          </w:p>
        </w:tc>
      </w:tr>
      <w:tr>
        <w:trPr>
          <w:trHeight w:hRule="exact" w:val="378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Retention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Staking, rewards, missions and education give users reasons to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remain active after a first swap/bridge.</w:t>
            </w:r>
          </w:p>
        </w:tc>
      </w:tr>
      <w:tr>
        <w:trPr>
          <w:trHeight w:hRule="exact" w:val="378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Discovery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FlowBridge can surface verified BOT Chain projects, routes and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participation opportunities.</w:t>
            </w:r>
          </w:p>
        </w:tc>
      </w:tr>
      <w:tr>
        <w:trPr>
          <w:trHeight w:hRule="exact" w:val="380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Developer proof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" w:after="0"/>
              <w:ind w:left="106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 xml:space="preserve">Verified production contracts and security gates demonstrate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deployable EVM use cases on BOT Chain.</w:t>
            </w:r>
          </w:p>
        </w:tc>
      </w:tr>
      <w:tr>
        <w:trPr>
          <w:trHeight w:hRule="exact" w:val="376"/>
        </w:trPr>
        <w:tc>
          <w:tcPr>
            <w:tcW w:type="dxa" w:w="5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Data integrity</w:t>
            </w:r>
          </w:p>
        </w:tc>
        <w:tc>
          <w:tcPr>
            <w:tcW w:type="dxa" w:w="5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0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Program metrics and reward eligibility are based on canonical on-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6"/>
              </w:rPr>
              <w:t>chain evidence rather than marketing estimates.</w:t>
            </w:r>
          </w:p>
        </w:tc>
      </w:tr>
    </w:tbl>
    <w:p>
      <w:pPr>
        <w:autoSpaceDN w:val="0"/>
        <w:autoSpaceDE w:val="0"/>
        <w:widowControl/>
        <w:spacing w:line="366" w:lineRule="exact" w:before="4444" w:after="52"/>
        <w:ind w:left="216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13. Roadmap - Use the Deployed Stack First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3653"/>
        <w:gridCol w:w="3653"/>
        <w:gridCol w:w="3653"/>
      </w:tblGrid>
      <w:tr>
        <w:trPr>
          <w:trHeight w:hRule="exact" w:val="182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Horizon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Workstream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613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New Contract Required?</w:t>
            </w:r>
          </w:p>
        </w:tc>
      </w:tr>
      <w:tr>
        <w:trPr>
          <w:trHeight w:hRule="exact" w:val="96"/>
        </w:trPr>
        <w:tc>
          <w:tcPr>
            <w:tcW w:type="dxa" w:w="34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Immediate</w:t>
            </w:r>
          </w:p>
        </w:tc>
        <w:tc>
          <w:tcPr>
            <w:tcW w:type="dxa" w:w="348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No</w:t>
            </w:r>
          </w:p>
        </w:tc>
      </w:tr>
      <w:tr>
        <w:trPr>
          <w:trHeight w:hRule="exact" w:val="262"/>
        </w:trPr>
        <w:tc>
          <w:tcPr>
            <w:tcW w:type="dxa" w:w="365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84"/>
            <w:tcBorders>
              <w:start w:sz="4.0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public docs / contract registry / support metrics.</w:t>
            </w:r>
          </w:p>
        </w:tc>
        <w:tc>
          <w:tcPr>
            <w:tcW w:type="dxa" w:w="365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54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Immediate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 xml:space="preserve">Continue FLOW/USDT TWAP observation and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range/liquidity security analysis.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No</w:t>
            </w:r>
          </w:p>
        </w:tc>
      </w:tr>
      <w:tr>
        <w:trPr>
          <w:trHeight w:hRule="exact" w:val="356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Near term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 xml:space="preserve">Activate dynamic standard staking only if oracle,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budget, roles and security gates pass.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No - existing R4/R5/R6</w:t>
            </w:r>
          </w:p>
        </w:tc>
      </w:tr>
      <w:tr>
        <w:trPr>
          <w:trHeight w:hRule="exact" w:val="184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Near term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Expand finite verified rewards campaigns.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No - existing Distributor</w:t>
            </w:r>
          </w:p>
        </w:tc>
      </w:tr>
      <w:tr>
        <w:trPr>
          <w:trHeight w:hRule="exact" w:val="356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Near term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 xml:space="preserve">Evidence-backed Activity Registry attestations if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approved.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No - existing Registry</w:t>
            </w:r>
          </w:p>
        </w:tc>
      </w:tr>
      <w:tr>
        <w:trPr>
          <w:trHeight w:hRule="exact" w:val="356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Near term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" w:after="0"/>
              <w:ind w:left="10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 xml:space="preserve">Improve MultiSend, ecosystem discovery and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guided journeys.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No</w:t>
            </w:r>
          </w:p>
        </w:tc>
      </w:tr>
      <w:tr>
        <w:trPr>
          <w:trHeight w:hRule="exact" w:val="180"/>
        </w:trPr>
        <w:tc>
          <w:tcPr>
            <w:tcW w:type="dxa" w:w="34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Later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No - already deployed</w:t>
            </w:r>
          </w:p>
        </w:tc>
      </w:tr>
      <w:tr>
        <w:trPr>
          <w:trHeight w:hRule="exact" w:val="178"/>
        </w:trPr>
        <w:tc>
          <w:tcPr>
            <w:tcW w:type="dxa" w:w="365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84"/>
            <w:tcBorders>
              <w:start w:sz="4.0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5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56"/>
        </w:trPr>
        <w:tc>
          <w:tcPr>
            <w:tcW w:type="dxa" w:w="34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Later</w:t>
            </w:r>
          </w:p>
        </w:tc>
        <w:tc>
          <w:tcPr>
            <w:tcW w:type="dxa" w:w="3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 xml:space="preserve">Additional chains / new protocol modules only </w:t>
            </w: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after a separate security and business decision.</w:t>
            </w:r>
          </w:p>
        </w:tc>
        <w:tc>
          <w:tcPr>
            <w:tcW w:type="dxa" w:w="3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83746"/>
                <w:sz w:val="15"/>
              </w:rPr>
              <w:t>Maybe</w:t>
            </w:r>
          </w:p>
        </w:tc>
      </w:tr>
    </w:tbl>
    <w:p>
      <w:pPr>
        <w:autoSpaceDN w:val="0"/>
        <w:autoSpaceDE w:val="0"/>
        <w:widowControl/>
        <w:spacing w:line="366" w:lineRule="exact" w:before="718" w:after="0"/>
        <w:ind w:left="216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14. Risks and Disclosures</w:t>
      </w:r>
    </w:p>
    <w:p>
      <w:pPr>
        <w:autoSpaceDN w:val="0"/>
        <w:tabs>
          <w:tab w:pos="576" w:val="left"/>
        </w:tabs>
        <w:autoSpaceDE w:val="0"/>
        <w:widowControl/>
        <w:spacing w:line="222" w:lineRule="exact" w:before="56" w:after="0"/>
        <w:ind w:left="216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Smart-contract and integration risk cannot be eliminated; verified source, tests and staged canaries reduce but do not remove </w:t>
      </w:r>
    </w:p>
    <w:p>
      <w:pPr>
        <w:autoSpaceDN w:val="0"/>
        <w:autoSpaceDE w:val="0"/>
        <w:widowControl/>
        <w:spacing w:line="200" w:lineRule="exact" w:before="20" w:after="0"/>
        <w:ind w:left="5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risk.</w:t>
      </w:r>
    </w:p>
    <w:p>
      <w:pPr>
        <w:autoSpaceDN w:val="0"/>
        <w:tabs>
          <w:tab w:pos="576" w:val="left"/>
        </w:tabs>
        <w:autoSpaceDE w:val="0"/>
        <w:widowControl/>
        <w:spacing w:line="224" w:lineRule="exact" w:before="34" w:after="0"/>
        <w:ind w:left="216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DEX liquidity can move out of range and remains exposed to impermanent loss, price manipulation and market volatility.</w:t>
      </w:r>
    </w:p>
    <w:p>
      <w:pPr>
        <w:autoSpaceDN w:val="0"/>
        <w:tabs>
          <w:tab w:pos="576" w:val="left"/>
        </w:tabs>
        <w:autoSpaceDE w:val="0"/>
        <w:widowControl/>
        <w:spacing w:line="222" w:lineRule="exact" w:before="16" w:after="0"/>
        <w:ind w:left="216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APR is not APY. Staking rewards are estimates based on the applicable rate and time; variable rewards may remain </w:t>
      </w:r>
    </w:p>
    <w:p>
      <w:pPr>
        <w:autoSpaceDN w:val="0"/>
        <w:autoSpaceDE w:val="0"/>
        <w:widowControl/>
        <w:spacing w:line="200" w:lineRule="exact" w:before="20" w:after="0"/>
        <w:ind w:left="5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unavailable.</w:t>
      </w:r>
    </w:p>
    <w:p>
      <w:pPr>
        <w:autoSpaceDN w:val="0"/>
        <w:tabs>
          <w:tab w:pos="576" w:val="left"/>
        </w:tabs>
        <w:autoSpaceDE w:val="0"/>
        <w:widowControl/>
        <w:spacing w:line="224" w:lineRule="exact" w:before="34" w:after="0"/>
        <w:ind w:left="216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Campaign rewards exist only when a funded, verified allocation is published for the wallet.</w:t>
      </w:r>
    </w:p>
    <w:p>
      <w:pPr>
        <w:autoSpaceDN w:val="0"/>
        <w:tabs>
          <w:tab w:pos="576" w:val="left"/>
        </w:tabs>
        <w:autoSpaceDE w:val="0"/>
        <w:widowControl/>
        <w:spacing w:line="222" w:lineRule="exact" w:before="16" w:after="0"/>
        <w:ind w:left="216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Bridge transactions inherit official bridge and destination-chain risks.</w:t>
      </w:r>
    </w:p>
    <w:p>
      <w:pPr>
        <w:autoSpaceDN w:val="0"/>
        <w:tabs>
          <w:tab w:pos="576" w:val="left"/>
        </w:tabs>
        <w:autoSpaceDE w:val="0"/>
        <w:widowControl/>
        <w:spacing w:line="224" w:lineRule="exact" w:before="16" w:after="0"/>
        <w:ind w:left="216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Program incentives are subject to BOT Chain rules, audit rights, anti-cheating controls and future updates.</w:t>
      </w:r>
    </w:p>
    <w:p>
      <w:pPr>
        <w:autoSpaceDN w:val="0"/>
        <w:tabs>
          <w:tab w:pos="576" w:val="left"/>
        </w:tabs>
        <w:autoSpaceDE w:val="0"/>
        <w:widowControl/>
        <w:spacing w:line="222" w:lineRule="exact" w:before="16" w:after="0"/>
        <w:ind w:left="216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 xml:space="preserve">Nothing in this whitepaper is a guarantee of investment return, token price appreciation, ecosystem funding or exchange </w:t>
      </w:r>
    </w:p>
    <w:p>
      <w:pPr>
        <w:autoSpaceDN w:val="0"/>
        <w:autoSpaceDE w:val="0"/>
        <w:widowControl/>
        <w:spacing w:line="200" w:lineRule="exact" w:before="20" w:after="0"/>
        <w:ind w:left="5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listing.</w:t>
      </w:r>
    </w:p>
    <w:p>
      <w:pPr>
        <w:autoSpaceDN w:val="0"/>
        <w:autoSpaceDE w:val="0"/>
        <w:widowControl/>
        <w:spacing w:line="168" w:lineRule="exact" w:before="46" w:after="0"/>
        <w:ind w:left="0" w:right="4092" w:firstLine="0"/>
        <w:jc w:val="right"/>
      </w:pPr>
      <w:r>
        <w:rPr>
          <w:rFonts w:ascii="Liberation Sans" w:hAnsi="Liberation Sans" w:eastAsia="Liberation Sans"/>
          <w:b w:val="0"/>
          <w:i w:val="0"/>
          <w:color w:val="667788"/>
          <w:sz w:val="15"/>
        </w:rPr>
        <w:t>FlowBridge Whitepaper v1.0 | 29 Sep 2026</w:t>
      </w:r>
    </w:p>
    <w:p>
      <w:pPr>
        <w:sectPr>
          <w:pgSz w:w="12240" w:h="15840"/>
          <w:pgMar w:top="396" w:right="600" w:bottom="360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autoSpaceDE w:val="0"/>
        <w:widowControl/>
        <w:spacing w:line="366" w:lineRule="exact" w:before="0" w:after="0"/>
        <w:ind w:left="0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15. Recognition</w:t>
      </w:r>
    </w:p>
    <w:p>
      <w:pPr>
        <w:autoSpaceDN w:val="0"/>
        <w:autoSpaceDE w:val="0"/>
        <w:widowControl/>
        <w:spacing w:line="240" w:lineRule="auto" w:before="54" w:after="0"/>
        <w:ind w:left="6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238" w:after="0"/>
        <w:ind w:left="1762" w:right="0" w:firstLine="0"/>
        <w:jc w:val="left"/>
      </w:pPr>
      <w:r>
        <w:rPr>
          <w:rFonts w:ascii="Liberation Sans" w:hAnsi="Liberation Sans" w:eastAsia="Liberation Sans"/>
          <w:b/>
          <w:i w:val="0"/>
          <w:color w:val="283746"/>
          <w:sz w:val="18"/>
        </w:rPr>
        <w:t>FlowBridge - 1st Place, EVM Deployment Track, BOT Chain Builder Challenge #1.</w:t>
      </w:r>
    </w:p>
    <w:p>
      <w:pPr>
        <w:autoSpaceDN w:val="0"/>
        <w:autoSpaceDE w:val="0"/>
        <w:widowControl/>
        <w:spacing w:line="366" w:lineRule="exact" w:before="512" w:after="0"/>
        <w:ind w:left="0" w:right="0" w:firstLine="0"/>
        <w:jc w:val="left"/>
      </w:pPr>
      <w:r>
        <w:rPr>
          <w:rFonts w:ascii="Carlito" w:hAnsi="Carlito" w:eastAsia="Carlito"/>
          <w:b/>
          <w:i w:val="0"/>
          <w:color w:val="06131F"/>
          <w:sz w:val="30"/>
        </w:rPr>
        <w:t>16. References</w:t>
      </w:r>
    </w:p>
    <w:p>
      <w:pPr>
        <w:autoSpaceDN w:val="0"/>
        <w:tabs>
          <w:tab w:pos="360" w:val="left"/>
        </w:tabs>
        <w:autoSpaceDE w:val="0"/>
        <w:widowControl/>
        <w:spacing w:line="222" w:lineRule="exact" w:before="56" w:after="0"/>
        <w:ind w:left="0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BOT Chain Ecosystem Support Program - https://www.botchain.ai/en/ecosystem-support/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6" w:after="0"/>
        <w:ind w:left="0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BOT Chain Developer Documentation - https://dev-docs.botchain.ai/</w:t>
      </w:r>
    </w:p>
    <w:p>
      <w:pPr>
        <w:autoSpaceDN w:val="0"/>
        <w:tabs>
          <w:tab w:pos="360" w:val="left"/>
        </w:tabs>
        <w:autoSpaceDE w:val="0"/>
        <w:widowControl/>
        <w:spacing w:line="222" w:lineRule="exact" w:before="16" w:after="0"/>
        <w:ind w:left="0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BOT Chain Ecosystem Leaderboard - https://www.botchain.ai/en/blog/bot-chain-ecosystem-leaderboard/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6" w:after="0"/>
        <w:ind w:left="0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FlowBridge - https://flowbridge.space</w:t>
      </w:r>
    </w:p>
    <w:p>
      <w:pPr>
        <w:autoSpaceDN w:val="0"/>
        <w:tabs>
          <w:tab w:pos="360" w:val="left"/>
        </w:tabs>
        <w:autoSpaceDE w:val="0"/>
        <w:widowControl/>
        <w:spacing w:line="222" w:lineRule="exact" w:before="16" w:after="0"/>
        <w:ind w:left="0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FlowBridge X - https://x.com/flowbridgeweb3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16" w:after="0"/>
        <w:ind w:left="0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BOT Chain Builder Challenge #1 award announcement and project-supplied award graphic.</w:t>
      </w:r>
    </w:p>
    <w:p>
      <w:pPr>
        <w:autoSpaceDN w:val="0"/>
        <w:tabs>
          <w:tab w:pos="360" w:val="left"/>
        </w:tabs>
        <w:autoSpaceDE w:val="0"/>
        <w:widowControl/>
        <w:spacing w:line="222" w:lineRule="exact" w:before="16" w:after="0"/>
        <w:ind w:left="0" w:right="0" w:firstLine="0"/>
        <w:jc w:val="left"/>
      </w:pPr>
      <w:r>
        <w:rPr>
          <w:rFonts w:ascii="OpenSymbol" w:hAnsi="OpenSymbol" w:eastAsia="OpenSymbol"/>
          <w:b w:val="0"/>
          <w:i w:val="0"/>
          <w:color w:val="283746"/>
          <w:sz w:val="18"/>
        </w:rPr>
        <w:t></w:t>
      </w:r>
      <w:r>
        <w:tab/>
      </w:r>
      <w:r>
        <w:rPr>
          <w:rFonts w:ascii="Liberation Sans" w:hAnsi="Liberation Sans" w:eastAsia="Liberation Sans"/>
          <w:b w:val="0"/>
          <w:i w:val="0"/>
          <w:color w:val="283746"/>
          <w:sz w:val="18"/>
        </w:rPr>
        <w:t>FlowBridge V30.2B production evidence and owner-frozen project records.</w:t>
      </w:r>
    </w:p>
    <w:p>
      <w:pPr>
        <w:autoSpaceDN w:val="0"/>
        <w:autoSpaceDE w:val="0"/>
        <w:widowControl/>
        <w:spacing w:line="168" w:lineRule="exact" w:before="1640" w:after="0"/>
        <w:ind w:left="0" w:right="3252" w:firstLine="0"/>
        <w:jc w:val="right"/>
      </w:pPr>
      <w:r>
        <w:rPr>
          <w:rFonts w:ascii="Liberation Sans" w:hAnsi="Liberation Sans" w:eastAsia="Liberation Sans"/>
          <w:b w:val="0"/>
          <w:i w:val="0"/>
          <w:color w:val="667788"/>
          <w:sz w:val="15"/>
        </w:rPr>
        <w:t>FlowBridge Whitepaper v1.0 | 29 Sep 2026</w:t>
      </w:r>
    </w:p>
    <w:p>
      <w:pPr>
        <w:sectPr>
          <w:pgSz w:w="12240" w:h="15840"/>
          <w:pgMar w:top="396" w:right="1440" w:bottom="36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44"/>
        </w:rPr>
        <w:t>FlowBridge Whitepaper v1.1 |</w:t>
      </w:r>
    </w:p>
    <w:p>
      <w:pPr>
        <w:autoSpaceDN w:val="0"/>
        <w:autoSpaceDE w:val="0"/>
        <w:widowControl/>
        <w:spacing w:line="206" w:lineRule="auto" w:before="140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44"/>
        </w:rPr>
        <w:t>Deployment Appendix</w:t>
      </w:r>
    </w:p>
    <w:p>
      <w:pPr>
        <w:autoSpaceDN w:val="0"/>
        <w:autoSpaceDE w:val="0"/>
        <w:widowControl/>
        <w:spacing w:line="264" w:lineRule="auto" w:before="198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Public-safe refresh, 11 Oct 2026. This appendix supersedes prior deployment/status references only; unchanged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product principles are retained.</w:t>
      </w:r>
    </w:p>
    <w:p>
      <w:pPr>
        <w:autoSpaceDN w:val="0"/>
        <w:autoSpaceDE w:val="0"/>
        <w:widowControl/>
        <w:spacing w:line="283" w:lineRule="auto" w:before="100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Current V3 single-step/staged and V4 native/BDEX V3 atomic paths are active. Flexible and 30D real lifecycle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evidence is complete; long-term terms are canary-only and real maturity remains pending. Oracle remains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disabled. External integrations are not owned by FlowBridge.</w:t>
      </w:r>
    </w:p>
    <w:p>
      <w:pPr>
        <w:autoSpaceDN w:val="0"/>
        <w:autoSpaceDE w:val="0"/>
        <w:widowControl/>
        <w:spacing w:line="206" w:lineRule="auto" w:before="128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30"/>
        </w:rPr>
        <w:t>VERIFIED SMART CONTRACTS &amp; ON-CHAIN INFRASTRUCTURE</w:t>
      </w:r>
    </w:p>
    <w:p>
      <w:pPr>
        <w:autoSpaceDN w:val="0"/>
        <w:autoSpaceDE w:val="0"/>
        <w:widowControl/>
        <w:spacing w:line="206" w:lineRule="auto" w:before="35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FLOW Token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Fixed-supply FLOW token; no future mint authority.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0xcaaB50F36252a57529AFeF651fa6B9f9281917fF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https://scan.botchain.ai/address/0xcaaB50F36252a57529AFeF651fa6B9f9281917fF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contracts/production/V30_2B_R1_SETTLEMENT.json;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Rewards Distributor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Funded Merkle round claims; explicit publisher authority.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0x7b805B036B22E2B71Ef5E8f7EA21D8791819b922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https://scan.botchain.ai/address/0x7b805B036B22E2B71Ef5E8f7EA21D8791819b922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Activity Registry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Controlled canonical activity attestations.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0x86590b7C8A2Ad9a1dAD8183Eaf627AE4B7Ff3814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https://scan.botchain.ai/address/0x86590b7C8A2Ad9a1dAD8183Eaf627AE4B7Ff3814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contracts/production/V30_2B_R3_SETTLEMENT.json;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Reward Treasury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Segregated pre-funded reward inventory and obligation accounting.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0x96552909998F3DbAf5Ff4979dc158508b3442e65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https://scan.botchain.ai/address/0x96552909998F3DbAf5Ff4979dc158508b3442e65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1292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contracts/production/V30_2B_R4_SETTLEMENT.json;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68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FlowBridge | 11 Oct 2026 | PUBLIC-SAFE</w:t>
            </w:r>
          </w:p>
        </w:tc>
        <w:tc>
          <w:tcPr>
            <w:tcW w:type="dxa" w:w="37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32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Controller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Genesis/floor economics; variable rewards disabled while oracle unset.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0x44b9b880C6188D8b8dbe4f68216aE28a5A1253bF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https://scan.botchain.ai/address/0x44b9b880C6188D8b8dbe4f68216aE28a5A1253bF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contracts/production/V30_2B_R5_SETTLEMENT.json;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Vault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Principal custody, positions, reward claims and maturity withdrawals.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contracts/production/V30_2B_R6_SETTLEMENT.json;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V3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Current single-step / staged execution dispatcher; platform fee retained.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0x986962de6f00d0ec571b1a34fa70aeeb445b5445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https://scan.botchain.ai/address/0x986962de6f00d0ec571b1a34fa70aeeb445b5445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V4 | BOT Mainnet | Chain 677</w:t>
      </w:r>
    </w:p>
    <w:p>
      <w:pPr>
        <w:autoSpaceDN w:val="0"/>
        <w:autoSpaceDE w:val="0"/>
        <w:widowControl/>
        <w:spacing w:line="264" w:lineRule="auto" w:before="176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ACTIVE PRODUCTION — Promoted atomic native BOT / BDEX V3 multi-pool execution; other route classes remain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staged.</w:t>
      </w:r>
    </w:p>
    <w:p>
      <w:pPr>
        <w:autoSpaceDN w:val="0"/>
        <w:autoSpaceDE w:val="0"/>
        <w:widowControl/>
        <w:spacing w:line="305" w:lineRule="auto" w:before="94" w:after="0"/>
        <w:ind w:left="130" w:right="331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0x79653140D84B78C19354ee984f236Ec92160fc61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https://scan.botchain.ai/address/0x79653140D84B78C19354ee984f236Ec92160fc61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in promotion record; frozen runtime SHA256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a42e53b15977c57b81fa63c575b9cb39100b873c50a523b68f02df7bd8bec41d.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src/lib/swap/executionCapability.ts;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Lens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Read-only lens bound to current Router V4.</w:t>
      </w:r>
    </w:p>
    <w:p>
      <w:pPr>
        <w:autoSpaceDN w:val="0"/>
        <w:autoSpaceDE w:val="0"/>
        <w:widowControl/>
        <w:spacing w:line="300" w:lineRule="auto" w:before="94" w:after="2412"/>
        <w:ind w:left="130" w:right="302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0xb82038aC3d2df60f5B5fE06D6FDe3CFDd1B76BD0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https://scan.botchain.ai/address/0xb82038aC3d2df60f5B5fE06D6FDe3CFDd1B76BD0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in Router V4 promotion record; live flowRouter binding 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src/lib/swap/executionCapability.ts;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68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FlowBridge | 11 Oct 2026 | PUBLIC-SAFE</w:t>
            </w:r>
          </w:p>
        </w:tc>
        <w:tc>
          <w:tcPr>
            <w:tcW w:type="dxa" w:w="37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Governance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governance authority; threshold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0x88A4CC1F5771523baeB83DaEea07D323a3ce9507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https://scan.botchain.ai/address/0x88A4CC1F5771523baeB83DaEea07D323a3ce9507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Treasury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treasury authority; threshold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0xeFc13d1A1dC30BA2DA0Bb005ba5A783c6b229Ea4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https://scan.botchain.ai/address/0xeFc13d1A1dC30BA2DA0Bb005ba5A783c6b229Ea4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Operations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emergency / operations authority; threshold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0x1Ce0b1DF5d2055f6e92122D8cB7669609C2359eF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https://scan.botchain.ai/address/0x1Ce0b1DF5d2055f6e92122D8cB7669609C2359eF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0xc54CAcfd96330949db0eAEd72dE930a2d06d9778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https://scan.botchain.ai/address/0xc54CAcfd96330949db0eAEd72dE930a2d06d9778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BOT Testnet | Chain 968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TESTNET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0x1b97CCbAE4D5128f8E5591ada21476609c7F2960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https://scan.bohr.life/address/0x1b97CCbAE4D5128f8E5591ada21476609c7F2960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26502665.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BNB Mainnet | Chain 56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1312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0xA861152Ca3676bcCf7B5FDAFB9eb6A57b9d32d0e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https://bscscan.com/address/0xA861152Ca3676bcCf7B5FDAFB9eb6A57b9d32d0e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127052551.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68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FlowBridge | 11 Oct 2026 | PUBLIC-SAFE</w:t>
            </w:r>
          </w:p>
        </w:tc>
        <w:tc>
          <w:tcPr>
            <w:tcW w:type="dxa" w:w="37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BNB Testnet | Chain 97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TESTNET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0x535dDDA826142AC42cE288154e9595f080940aE9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https://testnet.bscscan.com/address/0x535dDDA826142AC42cE288154e9595f080940aE9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136198901.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pool discovery.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0x1C51c173323ec11BB4e3C4fD2314c225Dc4b5419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https://scan.botchain.ai/address/0x1C51c173323ec11BB4e3C4fD2314c225Dc4b5419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SwapRouter | BOT Mainnet | Chain 677</w:t>
      </w:r>
    </w:p>
    <w:p>
      <w:pPr>
        <w:autoSpaceDN w:val="0"/>
        <w:autoSpaceDE w:val="0"/>
        <w:widowControl/>
        <w:spacing w:line="264" w:lineRule="auto" w:before="176" w:after="0"/>
        <w:ind w:left="130" w:right="72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EXTERNAL INTEGRATION — External venue accessed through FlowBridge routing, not a FlowBridge-owned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contract.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0x07032d47A1b9f8460cBeE9dC17c1d3E438693929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https://scan.botchain.ai/address/0x07032d47A1b9f8460cBeE9dC17c1d3E438693929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Quoter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route quoting.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0x034A705b36067cff99ABf5C662Be881cBd8d0176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https://scan.botchain.ai/address/0x034A705b36067cff99ABf5C662Be881cBd8d0176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Position Manager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NFT liquidity infrastructure; Mainnet liquidity writes remain disabled.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0xDAc3FcFF004d8a8675b94E44941A1a2e3b240090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https://scan.botchain.ai/address/0xDAc3FcFF004d8a8675b94E44941A1a2e3b240090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Wrapped BOT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wrapped native token.</w:t>
      </w:r>
    </w:p>
    <w:p>
      <w:pPr>
        <w:autoSpaceDN w:val="0"/>
        <w:autoSpaceDE w:val="0"/>
        <w:widowControl/>
        <w:spacing w:line="300" w:lineRule="auto" w:before="94" w:after="1032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0xD5452816194a3784dBa983426cCe7c122F4abd30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https://scan.botchain.ai/address/0xD5452816194a3784dBa983426cCe7c122F4abd30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68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FlowBridge | 11 Oct 2026 | PUBLIC-SAFE</w:t>
            </w:r>
          </w:p>
        </w:tc>
        <w:tc>
          <w:tcPr>
            <w:tcW w:type="dxa" w:w="37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BOT USDT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stablecoin used by trading routes.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0xababc7ddc03e501d190c676bf3d92ef0e6e87a3c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https://scan.botchain.ai/address/0xababc7ddc03e501d190c676bf3d92ef0e6e87a3c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FLOW/USDT BDEX V3 pool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BDEX V3 1% FLOW/USDT pool; factory binding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0xDaCFc2574b6110892351Bd31afb36F95E7206162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https://scan.botchain.ai/address/0xDaCFc2574b6110892351Bd31afb36F95E7206162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BOT/USDT BDEX V3 pool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intermediate native-token trading pool.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0x64f418471a1a7932a190e10da5a8551db5abec05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https://scan.botchain.ai/address/0x64f418471a1a7932a190e10da5a8551db5abec05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V2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V2 venue; factory read from router.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0x1414eD29FdFD322c3c0a830330ed982E2D629e76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https://scan.botchain.ai/address/0x1414eD29FdFD322c3c0a830330ed982E2D629e76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CaSwap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CaryPact venue; runtime factory differs from historic configuration.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0x5b90611D4eB8FC82Fc2E3d1F0501Dd6F434441AD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https://scan.botchain.ai/address/0x5b90611D4eB8FC82Fc2E3d1F0501Dd6F434441AD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Official BOT Bridge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Official external BOT Bridge, not FlowBridge-owned.</w:t>
      </w:r>
    </w:p>
    <w:p>
      <w:pPr>
        <w:autoSpaceDN w:val="0"/>
        <w:autoSpaceDE w:val="0"/>
        <w:widowControl/>
        <w:spacing w:line="300" w:lineRule="auto" w:before="94" w:after="1312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0xef8dc669eca13e612b67ff09478352e85bd6cc53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https://scan.botchain.ai/address/0xef8dc669eca13e612b67ff09478352e85bd6cc53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68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FlowBridge | 11 Oct 2026 | PUBLIC-SAFE</w:t>
            </w:r>
          </w:p>
        </w:tc>
        <w:tc>
          <w:tcPr>
            <w:tcW w:type="dxa" w:w="37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V2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factory discovered from its live router; not inferred from historic address.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0x117115f3b72c8d1989178089a67d0c26f8ee0aa3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https://scan.botchain.ai/address/0x117115f3b72c8d1989178089a67d0c26f8ee0aa3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Live router.factory();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CaSwap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factory discovered from its live router; not inferred from historic address.</w:t>
      </w:r>
    </w:p>
    <w:p>
      <w:pPr>
        <w:autoSpaceDN w:val="0"/>
        <w:autoSpaceDE w:val="0"/>
        <w:widowControl/>
        <w:spacing w:line="300" w:lineRule="auto" w:before="94" w:after="10192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0x9c937ebc3748825026677e20b13b5e306494a38d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https://scan.botchain.ai/address/0x9c937ebc3748825026677e20b13b5e306494a38d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Live router.factory();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68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FlowBridge | 11 Oct 2026 | PUBLIC-SAFE</w:t>
            </w:r>
          </w:p>
        </w:tc>
        <w:tc>
          <w:tcPr>
            <w:tcW w:type="dxa" w:w="37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14" w:right="810" w:bottom="200" w:left="8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