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6881" w14:textId="77777777" w:rsidR="00AD07A8" w:rsidRDefault="00000000">
      <w:pPr>
        <w:spacing w:after="60"/>
      </w:pPr>
      <w:r>
        <w:rPr>
          <w:rFonts w:eastAsia="Arial"/>
          <w:b/>
          <w:bCs/>
          <w:color w:val="1F4E79"/>
          <w:sz w:val="36"/>
          <w:szCs w:val="36"/>
        </w:rPr>
        <w:t>QF632 Financial Data Science — Group Project</w:t>
      </w:r>
    </w:p>
    <w:p w14:paraId="4489040A" w14:textId="77777777" w:rsidR="00AD07A8" w:rsidRDefault="00000000">
      <w:pPr>
        <w:spacing w:after="40"/>
      </w:pPr>
      <w:r>
        <w:rPr>
          <w:rFonts w:eastAsia="Arial"/>
          <w:b/>
          <w:bCs/>
          <w:sz w:val="30"/>
          <w:szCs w:val="30"/>
        </w:rPr>
        <w:t>Team Working Guide</w:t>
      </w:r>
    </w:p>
    <w:p w14:paraId="576CD20B" w14:textId="77777777" w:rsidR="00AD07A8" w:rsidRDefault="00000000">
      <w:pPr>
        <w:spacing w:after="160"/>
      </w:pPr>
      <w:r>
        <w:rPr>
          <w:rFonts w:eastAsia="Arial"/>
          <w:i/>
          <w:iCs/>
          <w:color w:val="555555"/>
          <w:sz w:val="24"/>
          <w:szCs w:val="24"/>
        </w:rPr>
        <w:t>Topic: Predicting the JKM–TTF LNG Price Spread from European Gas Fundamentals</w:t>
      </w:r>
    </w:p>
    <w:p w14:paraId="04C2C4BE" w14:textId="77777777" w:rsidR="00AD07A8" w:rsidRDefault="00AD07A8">
      <w:pPr>
        <w:pBdr>
          <w:bottom w:val="single" w:sz="6" w:space="1" w:color="1F4E79"/>
        </w:pBdr>
        <w:spacing w:after="120"/>
      </w:pPr>
    </w:p>
    <w:p w14:paraId="3F027135" w14:textId="77777777" w:rsidR="00AD07A8" w:rsidRDefault="00000000">
      <w:pPr>
        <w:pStyle w:val="1"/>
      </w:pPr>
      <w:r>
        <w:t>0.  Read This First</w:t>
      </w:r>
    </w:p>
    <w:p w14:paraId="5BBDE355" w14:textId="77777777" w:rsidR="00AD07A8" w:rsidRDefault="00000000">
      <w:pPr>
        <w:spacing w:after="120" w:line="276" w:lineRule="auto"/>
      </w:pPr>
      <w:r>
        <w:t xml:space="preserve">This document is the shared playbook for our project. It locks down </w:t>
      </w:r>
      <w:r>
        <w:rPr>
          <w:b/>
          <w:bCs/>
        </w:rPr>
        <w:t>what we are building and why</w:t>
      </w:r>
      <w:r>
        <w:t xml:space="preserve">, lists the </w:t>
      </w:r>
      <w:r>
        <w:rPr>
          <w:b/>
          <w:bCs/>
        </w:rPr>
        <w:t>non-negotiable methodology rules</w:t>
      </w:r>
      <w:r>
        <w:t xml:space="preserve"> the rubric grades us on, and splits the work across </w:t>
      </w:r>
      <w:r>
        <w:rPr>
          <w:b/>
          <w:bCs/>
        </w:rPr>
        <w:t>six members</w:t>
      </w:r>
      <w:r>
        <w:t>. Please read all of it before our first sync — the goal is that nobody re-litigates the topic and everyone knows exactly what they own.</w:t>
      </w:r>
    </w:p>
    <w:p w14:paraId="1EC70EFE" w14:textId="77777777" w:rsidR="00AD07A8" w:rsidRDefault="00000000">
      <w:pPr>
        <w:spacing w:after="120" w:line="276" w:lineRule="auto"/>
      </w:pPr>
      <w:r>
        <w:rPr>
          <w:b/>
          <w:bCs/>
        </w:rPr>
        <w:t xml:space="preserve">One-line summary: </w:t>
      </w:r>
      <w:r>
        <w:t xml:space="preserve">We forecast the </w:t>
      </w:r>
      <w:r>
        <w:rPr>
          <w:b/>
          <w:bCs/>
        </w:rPr>
        <w:t>JKM–TTF spread</w:t>
      </w:r>
      <w:r>
        <w:t xml:space="preserve"> (Asian minus European gas benchmark) using free European supply/demand data, with </w:t>
      </w:r>
      <w:r>
        <w:rPr>
          <w:b/>
          <w:bCs/>
        </w:rPr>
        <w:t>Linear Regression and PCA only</w:t>
      </w:r>
      <w:r>
        <w:t>, and we treat the limits of free data as part of the analysis rather than hiding them.</w:t>
      </w:r>
    </w:p>
    <w:p w14:paraId="5596FB51" w14:textId="0CC2F8CD" w:rsidR="00AD07A8" w:rsidRPr="009C54E4" w:rsidRDefault="00000000">
      <w:pPr>
        <w:pStyle w:val="1"/>
        <w:rPr>
          <w:rFonts w:ascii="Malgun Gothic" w:eastAsia="Malgun Gothic" w:hAnsi="Malgun Gothic" w:cs="Malgun Gothic"/>
          <w:lang w:val="en-US"/>
        </w:rPr>
      </w:pPr>
      <w:r>
        <w:t xml:space="preserve">1.  </w:t>
      </w:r>
      <w:r w:rsidR="009C54E4">
        <w:rPr>
          <w:rFonts w:ascii="Malgun Gothic" w:eastAsia="Malgun Gothic" w:hAnsi="Malgun Gothic" w:cs="Malgun Gothic"/>
          <w:lang w:val="en-US"/>
        </w:rPr>
        <w:t>Settings</w:t>
      </w:r>
    </w:p>
    <w:p w14:paraId="198193A5" w14:textId="77777777" w:rsidR="00AD07A8" w:rsidRDefault="00000000">
      <w:pPr>
        <w:pStyle w:val="3"/>
      </w:pPr>
      <w:r>
        <w:t>1.1  The target we predict</w:t>
      </w:r>
    </w:p>
    <w:p w14:paraId="1B09D731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>Target = the JKM–TTF spread</w:t>
      </w:r>
      <w:r>
        <w:t>, not the level of either price. JKM (Japan–Korea Marker) is the Asian spot LNG benchmark; TTF (Title Transfer Facility) is the European gas benchmark. Both are quoted in $/MMBtu, so the spread is unit-consistent.</w:t>
      </w:r>
    </w:p>
    <w:p w14:paraId="639139C2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We model </w:t>
      </w:r>
      <w:r>
        <w:rPr>
          <w:b/>
          <w:bCs/>
        </w:rPr>
        <w:t>changes / log-returns of the spread</w:t>
      </w:r>
      <w:r>
        <w:t>, never raw price levels — gas prices are highly non-stationary (the 2022 spike), and the brief’s Lesson 4 explicitly says “use returns not price levels.”</w:t>
      </w:r>
    </w:p>
    <w:p w14:paraId="5561A1D7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Economic logic (our “mosaic thesis”): </w:t>
      </w:r>
      <w:r>
        <w:t xml:space="preserve">US LNG cargoes have </w:t>
      </w:r>
      <w:r>
        <w:rPr>
          <w:b/>
          <w:bCs/>
          <w:i/>
          <w:iCs/>
        </w:rPr>
        <w:t>destination flexibility</w:t>
      </w:r>
      <w:r>
        <w:t xml:space="preserve"> — they sail to whichever region pays more. So the JKM–TTF spread is effectively the market price of an arbitrage/routing option, and it should respond to relative supply–demand tightness between Asia and Europe.</w:t>
      </w:r>
    </w:p>
    <w:p w14:paraId="1D8A9132" w14:textId="77777777" w:rsidR="00AD07A8" w:rsidRDefault="00000000">
      <w:pPr>
        <w:pStyle w:val="3"/>
      </w:pPr>
      <w:r>
        <w:t>1.2  The methodology</w:t>
      </w:r>
    </w:p>
    <w:p w14:paraId="67F0E7B4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>Linear Regression and PCA only</w:t>
      </w:r>
      <w:r>
        <w:t xml:space="preserve"> (plus their textbook diagnostics). The brief’s Milestone 3 grades exactly these two and nothing else; Lesson 3 stresses </w:t>
      </w:r>
      <w:r>
        <w:rPr>
          <w:b/>
          <w:bCs/>
          <w:i/>
          <w:iCs/>
        </w:rPr>
        <w:t>parsimony, interpretability, and “start simple.”</w:t>
      </w:r>
      <w:r>
        <w:t xml:space="preserve"> We do NOT add game theory, neural nets, or other heavy models — they cost us points, not gain them.</w:t>
      </w:r>
    </w:p>
    <w:p w14:paraId="1FF5DB9B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PCA is used the way the course’s Nike example does: to </w:t>
      </w:r>
      <w:r>
        <w:rPr>
          <w:b/>
          <w:bCs/>
        </w:rPr>
        <w:t>orthogonalize correlated inputs</w:t>
      </w:r>
      <w:r>
        <w:t xml:space="preserve"> (remove multicollinearity) before/inside the regression.</w:t>
      </w:r>
    </w:p>
    <w:p w14:paraId="35F67C69" w14:textId="77777777" w:rsidR="00AD07A8" w:rsidRDefault="00000000">
      <w:pPr>
        <w:pStyle w:val="3"/>
      </w:pPr>
      <w:r>
        <w:t>1.3  The data-availability assumption (“Case A”)</w:t>
      </w:r>
    </w:p>
    <w:p w14:paraId="4C0F9D56" w14:textId="77777777" w:rsidR="00AD07A8" w:rsidRDefault="00000000">
      <w:pPr>
        <w:spacing w:after="120" w:line="276" w:lineRule="auto"/>
      </w:pPr>
      <w:r>
        <w:t xml:space="preserve">We assume </w:t>
      </w:r>
      <w:r>
        <w:rPr>
          <w:b/>
          <w:bCs/>
        </w:rPr>
        <w:t>Case A</w:t>
      </w:r>
      <w:r>
        <w:t xml:space="preserve">: our signals are either free real-time, or </w:t>
      </w:r>
      <w:r>
        <w:rPr>
          <w:b/>
          <w:bCs/>
          <w:i/>
          <w:iCs/>
        </w:rPr>
        <w:t>free-but-lagged versions of data that would arrive in real time if purchased</w:t>
      </w:r>
      <w:r>
        <w:t xml:space="preserve"> (e.g., GIE publishes a gas-day value 1–2 days later, but the value itself existed on the gas day). </w:t>
      </w:r>
    </w:p>
    <w:p w14:paraId="0E13DA3E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Therefore we align every feature on its </w:t>
      </w:r>
      <w:r>
        <w:rPr>
          <w:b/>
          <w:bCs/>
        </w:rPr>
        <w:t>event date</w:t>
      </w:r>
      <w:r>
        <w:t xml:space="preserve"> (the gas day / load day it actually refers to) to simulate the “we bought the real-time feed” environment.</w:t>
      </w:r>
    </w:p>
    <w:p w14:paraId="2AA82284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lastRenderedPageBreak/>
        <w:t xml:space="preserve">Aligning on the event date is </w:t>
      </w:r>
      <w:r>
        <w:rPr>
          <w:b/>
          <w:bCs/>
        </w:rPr>
        <w:t>not look-ahead bias</w:t>
      </w:r>
      <w:r>
        <w:t xml:space="preserve">, because “real-time” means </w:t>
      </w:r>
      <w:r>
        <w:rPr>
          <w:b/>
          <w:bCs/>
          <w:i/>
          <w:iCs/>
        </w:rPr>
        <w:t>known as soon as it happens</w:t>
      </w:r>
      <w:r>
        <w:t xml:space="preserve">, not “knowing the future.” The one rule: never align on a </w:t>
      </w:r>
      <w:r>
        <w:rPr>
          <w:b/>
          <w:bCs/>
        </w:rPr>
        <w:t>calculation/forward</w:t>
      </w:r>
      <w:r>
        <w:t xml:space="preserve"> value that could not have existed yet.</w:t>
      </w:r>
    </w:p>
    <w:p w14:paraId="0F40D8F4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We still store the </w:t>
      </w:r>
      <w:r>
        <w:rPr>
          <w:b/>
          <w:bCs/>
        </w:rPr>
        <w:t>publish date</w:t>
      </w:r>
      <w:r>
        <w:t xml:space="preserve"> too (see Rule R2) so we can measure how much the lag would cost us — that becomes our “is the paid data worth buying?” argument.</w:t>
      </w:r>
    </w:p>
    <w:p w14:paraId="45CFC88E" w14:textId="77777777" w:rsidR="00AD07A8" w:rsidRDefault="00000000">
      <w:pPr>
        <w:pStyle w:val="1"/>
      </w:pPr>
      <w:r>
        <w:t>2.  Why This Topic Scores Well (Rubric Map)</w:t>
      </w:r>
    </w:p>
    <w:p w14:paraId="4F4DC71A" w14:textId="77777777" w:rsidR="00AD07A8" w:rsidRDefault="00000000">
      <w:pPr>
        <w:spacing w:after="120" w:line="276" w:lineRule="auto"/>
      </w:pPr>
      <w:r>
        <w:t>The project is graded on four equally weighted (25% each) criteria. Here is how our topic hits each — keep these in mind so every deliverable defends a criterion.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D07A8" w14:paraId="62A89C7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1047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Rubric criterion (25% each)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59D9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How our project earns it</w:t>
            </w:r>
          </w:p>
        </w:tc>
      </w:tr>
      <w:tr w:rsidR="00AD07A8" w14:paraId="3831FF2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873E" w14:textId="77777777" w:rsidR="00AD07A8" w:rsidRDefault="00000000">
            <w:pPr>
              <w:spacing w:line="252" w:lineRule="auto"/>
            </w:pPr>
            <w:r>
              <w:t>1. Creativity &amp; Thesis Formulation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60D1" w14:textId="77777777" w:rsidR="00AD07A8" w:rsidRDefault="00000000">
            <w:pPr>
              <w:spacing w:line="252" w:lineRule="auto"/>
            </w:pPr>
            <w:r>
              <w:t>Original free-data angle on a real arbitrage (LNG destination flexibility); the spread is interpretable as an option value.</w:t>
            </w:r>
          </w:p>
        </w:tc>
      </w:tr>
      <w:tr w:rsidR="00AD07A8" w14:paraId="40CFF47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4599" w14:textId="77777777" w:rsidR="00AD07A8" w:rsidRDefault="00000000">
            <w:pPr>
              <w:spacing w:line="252" w:lineRule="auto"/>
            </w:pPr>
            <w:r>
              <w:t>2. Data Rigor &amp; Preprocessing Integrity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0023" w14:textId="77777777" w:rsidR="00AD07A8" w:rsidRDefault="00000000">
            <w:pPr>
              <w:spacing w:line="252" w:lineRule="auto"/>
            </w:pPr>
            <w:r>
              <w:t>Multi-frequency merge (daily prices / daily storage / monthly flows / daily weather), point-in-time event vs publish dates, deseasonalisation, z-score scaling.</w:t>
            </w:r>
          </w:p>
        </w:tc>
      </w:tr>
      <w:tr w:rsidR="00AD07A8" w14:paraId="5CC7A4A4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4F99" w14:textId="77777777" w:rsidR="00AD07A8" w:rsidRDefault="00000000">
            <w:pPr>
              <w:spacing w:line="252" w:lineRule="auto"/>
            </w:pPr>
            <w:r>
              <w:t>3. Methodological Competence &amp; Diagnostics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4B11" w14:textId="77777777" w:rsidR="00AD07A8" w:rsidRDefault="00000000">
            <w:pPr>
              <w:spacing w:line="252" w:lineRule="auto"/>
            </w:pPr>
            <w:r>
              <w:t>LR with residual / VIF / Durbin-Watson checks AND PCA with scree + loadings — both diagnostic families, done transparently.</w:t>
            </w:r>
          </w:p>
        </w:tc>
      </w:tr>
      <w:tr w:rsidR="00AD07A8" w14:paraId="40CD03AA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FCC5" w14:textId="77777777" w:rsidR="00AD07A8" w:rsidRDefault="00000000">
            <w:pPr>
              <w:spacing w:line="252" w:lineRule="auto"/>
            </w:pPr>
            <w:r>
              <w:t>4. Communication &amp; Operational Awareness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FF90" w14:textId="77777777" w:rsidR="00AD07A8" w:rsidRDefault="00000000">
            <w:pPr>
              <w:spacing w:line="252" w:lineRule="auto"/>
            </w:pPr>
            <w:r>
              <w:t>Futures liquidity, contract roll, turnover, plus the “value of timeliness / should we buy the paid feed” business case.</w:t>
            </w:r>
          </w:p>
        </w:tc>
      </w:tr>
    </w:tbl>
    <w:p w14:paraId="14126E1F" w14:textId="77777777" w:rsidR="00AD07A8" w:rsidRDefault="00000000">
      <w:pPr>
        <w:pStyle w:val="1"/>
      </w:pPr>
      <w:r>
        <w:t>3.  Timeline (Hard Deadlines)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60"/>
      </w:tblGrid>
      <w:tr w:rsidR="00AD07A8" w14:paraId="1B686F07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5B2D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A4DC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921E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What must exist</w:t>
            </w:r>
          </w:p>
        </w:tc>
      </w:tr>
      <w:tr w:rsidR="00AD07A8" w14:paraId="2D70EE84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2920" w14:textId="77777777" w:rsidR="00AD07A8" w:rsidRDefault="00000000">
            <w:pPr>
              <w:spacing w:line="252" w:lineRule="auto"/>
            </w:pPr>
            <w:r>
              <w:t>May 30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7256" w14:textId="77777777" w:rsidR="00AD07A8" w:rsidRDefault="00000000">
            <w:pPr>
              <w:spacing w:line="252" w:lineRule="auto"/>
            </w:pPr>
            <w:r>
              <w:t>M1 — Feasibility Proposal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328C" w14:textId="77777777" w:rsidR="00AD07A8" w:rsidRDefault="00000000">
            <w:pPr>
              <w:spacing w:line="252" w:lineRule="auto"/>
            </w:pPr>
            <w:r>
              <w:t>1-page memo: Core Thesis + Data Source &amp; Access Protocol + Proof of Ingestion (printed first 5 rows of real ingested data).</w:t>
            </w:r>
          </w:p>
        </w:tc>
      </w:tr>
      <w:tr w:rsidR="00AD07A8" w14:paraId="10388C2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06A2" w14:textId="77777777" w:rsidR="00AD07A8" w:rsidRDefault="00000000">
            <w:pPr>
              <w:spacing w:line="252" w:lineRule="auto"/>
            </w:pPr>
            <w:r>
              <w:t>June 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5608" w14:textId="77777777" w:rsidR="00AD07A8" w:rsidRDefault="00000000">
            <w:pPr>
              <w:spacing w:line="252" w:lineRule="auto"/>
            </w:pPr>
            <w:r>
              <w:t>M2 — Preprocessing &amp; EDA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614D" w14:textId="77777777" w:rsidR="00AD07A8" w:rsidRDefault="00000000">
            <w:pPr>
              <w:spacing w:line="252" w:lineRule="auto"/>
            </w:pPr>
            <w:r>
              <w:t>Time-series alignment write-up (no leakage) + scale/missing-data handling, with EDA plots.</w:t>
            </w:r>
          </w:p>
        </w:tc>
      </w:tr>
      <w:tr w:rsidR="00AD07A8" w14:paraId="03DB16A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C0ED" w14:textId="77777777" w:rsidR="00AD07A8" w:rsidRDefault="00000000">
            <w:pPr>
              <w:spacing w:line="252" w:lineRule="auto"/>
            </w:pPr>
            <w:r>
              <w:t>June 13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365E" w14:textId="77777777" w:rsidR="00AD07A8" w:rsidRDefault="00000000">
            <w:pPr>
              <w:spacing w:line="252" w:lineRule="auto"/>
            </w:pPr>
            <w:r>
              <w:t>M3 — Modelling &amp; Diagnostics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67B4" w14:textId="77777777" w:rsidR="00AD07A8" w:rsidRDefault="00000000">
            <w:pPr>
              <w:spacing w:line="252" w:lineRule="auto"/>
            </w:pPr>
            <w:r>
              <w:t>Preliminary LR and/or PCA outputs WITH diagnostic proof (residual scatter, multicollinearity, autocorrelation / scree + loadings).</w:t>
            </w:r>
          </w:p>
        </w:tc>
      </w:tr>
      <w:tr w:rsidR="00AD07A8" w14:paraId="3D7FA709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7365" w14:textId="77777777" w:rsidR="00AD07A8" w:rsidRDefault="00000000">
            <w:pPr>
              <w:spacing w:line="252" w:lineRule="auto"/>
            </w:pPr>
            <w:r>
              <w:t>June 16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91ED" w14:textId="77777777" w:rsidR="00AD07A8" w:rsidRDefault="00000000">
            <w:pPr>
              <w:spacing w:line="252" w:lineRule="auto"/>
            </w:pPr>
            <w:r>
              <w:t>Final — 15-min Quant Pitch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1FB0" w14:textId="77777777" w:rsidR="00AD07A8" w:rsidRDefault="00000000">
            <w:pPr>
              <w:spacing w:line="252" w:lineRule="auto"/>
            </w:pPr>
            <w:r>
              <w:t>Institutional-grade pitch (15 min + 5 min Q&amp;A) following the 5-part structure in §6.</w:t>
            </w:r>
          </w:p>
        </w:tc>
      </w:tr>
    </w:tbl>
    <w:p w14:paraId="6537E719" w14:textId="77777777" w:rsidR="00AD07A8" w:rsidRDefault="00000000">
      <w:pPr>
        <w:spacing w:after="120" w:line="276" w:lineRule="auto"/>
      </w:pPr>
      <w:r>
        <w:rPr>
          <w:b/>
          <w:bCs/>
          <w:i/>
          <w:iCs/>
        </w:rPr>
        <w:t xml:space="preserve">Internal buffer: </w:t>
      </w:r>
      <w:r>
        <w:t>aim to finish each milestone 2 days early so the modelling pair always has clean inputs.</w:t>
      </w:r>
    </w:p>
    <w:p w14:paraId="68E38002" w14:textId="77777777" w:rsidR="009C54E4" w:rsidRDefault="009C54E4">
      <w:pPr>
        <w:spacing w:after="120" w:line="276" w:lineRule="auto"/>
      </w:pPr>
    </w:p>
    <w:p w14:paraId="2CA99A53" w14:textId="77777777" w:rsidR="00AD07A8" w:rsidRDefault="00000000">
      <w:pPr>
        <w:pStyle w:val="1"/>
      </w:pPr>
      <w:r>
        <w:lastRenderedPageBreak/>
        <w:t>4.  Data Sources Cheat-Sheet (all free)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2062"/>
        <w:gridCol w:w="2024"/>
        <w:gridCol w:w="3279"/>
      </w:tblGrid>
      <w:tr w:rsidR="00AD07A8" w14:paraId="5ABC57BA" w14:textId="77777777"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3FBE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0A7A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Source / access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DBD6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8D2A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AD07A8" w14:paraId="76E33719" w14:textId="77777777"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61C0" w14:textId="77777777" w:rsidR="00AD07A8" w:rsidRDefault="00000000">
            <w:pPr>
              <w:spacing w:line="252" w:lineRule="auto"/>
            </w:pPr>
            <w:r>
              <w:t>TTF gas price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BACC" w14:textId="77777777" w:rsidR="00AD07A8" w:rsidRDefault="00000000">
            <w:pPr>
              <w:spacing w:line="252" w:lineRule="auto"/>
            </w:pPr>
            <w:r>
              <w:t>Investing.com download / Barchart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F8DA" w14:textId="77777777" w:rsidR="00AD07A8" w:rsidRDefault="00000000">
            <w:pPr>
              <w:spacing w:line="252" w:lineRule="auto"/>
            </w:pPr>
            <w:r>
              <w:t>Daily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ADBE" w14:textId="77777777" w:rsidR="00AD07A8" w:rsidRDefault="00000000">
            <w:pPr>
              <w:spacing w:line="252" w:lineRule="auto"/>
            </w:pPr>
            <w:r>
              <w:t>European benchmark; front-month futures. Free history.</w:t>
            </w:r>
          </w:p>
        </w:tc>
      </w:tr>
      <w:tr w:rsidR="00AD07A8" w14:paraId="24F03825" w14:textId="77777777"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BBA3" w14:textId="77777777" w:rsidR="00AD07A8" w:rsidRDefault="00000000">
            <w:pPr>
              <w:spacing w:line="252" w:lineRule="auto"/>
            </w:pPr>
            <w:r>
              <w:t>JKM LNG price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11F1" w14:textId="77777777" w:rsidR="00AD07A8" w:rsidRDefault="00000000">
            <w:pPr>
              <w:spacing w:line="252" w:lineRule="auto"/>
            </w:pPr>
            <w:r>
              <w:t>Barchart futures / TradingEconomics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0719" w14:textId="77777777" w:rsidR="00AD07A8" w:rsidRDefault="00000000">
            <w:pPr>
              <w:spacing w:line="252" w:lineRule="auto"/>
            </w:pPr>
            <w:r>
              <w:t>Daily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F492" w14:textId="77777777" w:rsidR="00AD07A8" w:rsidRDefault="00000000">
            <w:pPr>
              <w:spacing w:line="252" w:lineRule="auto"/>
            </w:pPr>
            <w:r>
              <w:t>Proxy for the Platts assessment — disclose that the official series is paid (good rigor point).</w:t>
            </w:r>
          </w:p>
        </w:tc>
      </w:tr>
      <w:tr w:rsidR="00AD07A8" w14:paraId="5F730DFF" w14:textId="77777777"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A944" w14:textId="77777777" w:rsidR="00AD07A8" w:rsidRDefault="00000000">
            <w:pPr>
              <w:spacing w:line="252" w:lineRule="auto"/>
            </w:pPr>
            <w:r>
              <w:t>EU gas storage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6B62" w14:textId="77777777" w:rsidR="00AD07A8" w:rsidRDefault="00000000">
            <w:pPr>
              <w:spacing w:line="252" w:lineRule="auto"/>
            </w:pPr>
            <w:r>
              <w:t>GIE AGSI+ API (free key)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7059" w14:textId="77777777" w:rsidR="00AD07A8" w:rsidRDefault="00000000">
            <w:pPr>
              <w:spacing w:line="252" w:lineRule="auto"/>
            </w:pPr>
            <w:r>
              <w:t>Daily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CB1E" w14:textId="77777777" w:rsidR="00AD07A8" w:rsidRDefault="00000000">
            <w:pPr>
              <w:spacing w:line="252" w:lineRule="auto"/>
            </w:pPr>
            <w:r>
              <w:t>Fill levels / injections / withdrawals. Publishes D+1–2 — record event &amp; publish dates.</w:t>
            </w:r>
          </w:p>
        </w:tc>
      </w:tr>
      <w:tr w:rsidR="00AD07A8" w14:paraId="1BDFC124" w14:textId="77777777"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D025" w14:textId="77777777" w:rsidR="00AD07A8" w:rsidRDefault="00000000">
            <w:pPr>
              <w:spacing w:line="252" w:lineRule="auto"/>
            </w:pPr>
            <w:r>
              <w:t>LNG into Europe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F37C" w14:textId="77777777" w:rsidR="00AD07A8" w:rsidRDefault="00000000">
            <w:pPr>
              <w:spacing w:line="252" w:lineRule="auto"/>
            </w:pPr>
            <w:r>
              <w:t>GIE ALSI API (free key)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9FEE" w14:textId="77777777" w:rsidR="00AD07A8" w:rsidRDefault="00000000">
            <w:pPr>
              <w:spacing w:line="252" w:lineRule="auto"/>
            </w:pPr>
            <w:r>
              <w:t>Daily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5D08" w14:textId="77777777" w:rsidR="00AD07A8" w:rsidRDefault="00000000">
            <w:pPr>
              <w:spacing w:line="252" w:lineRule="auto"/>
            </w:pPr>
            <w:r>
              <w:t>Terminal inventory + send-out (regasification) flow = LNG actually entering the EU grid.</w:t>
            </w:r>
          </w:p>
        </w:tc>
      </w:tr>
      <w:tr w:rsidR="00AD07A8" w14:paraId="0D853B90" w14:textId="77777777"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559F" w14:textId="77777777" w:rsidR="00AD07A8" w:rsidRDefault="00000000">
            <w:pPr>
              <w:spacing w:line="252" w:lineRule="auto"/>
            </w:pPr>
            <w:r>
              <w:t>Weather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A2E8" w14:textId="77777777" w:rsidR="00AD07A8" w:rsidRDefault="00000000">
            <w:pPr>
              <w:spacing w:line="252" w:lineRule="auto"/>
            </w:pPr>
            <w:r>
              <w:t>Open-Meteo (no key)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7892" w14:textId="77777777" w:rsidR="00AD07A8" w:rsidRDefault="00000000">
            <w:pPr>
              <w:spacing w:line="252" w:lineRule="auto"/>
            </w:pPr>
            <w:r>
              <w:t>Daily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4E28" w14:textId="77777777" w:rsidR="00AD07A8" w:rsidRDefault="00000000">
            <w:pPr>
              <w:spacing w:line="252" w:lineRule="auto"/>
            </w:pPr>
            <w:r>
              <w:t>Convert to Heating Degree Days (HDD), population-weighted over key EU demand centres.</w:t>
            </w:r>
          </w:p>
        </w:tc>
      </w:tr>
      <w:tr w:rsidR="00AD07A8" w14:paraId="1995A67D" w14:textId="77777777"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AD6C" w14:textId="77777777" w:rsidR="00AD07A8" w:rsidRDefault="00000000">
            <w:pPr>
              <w:spacing w:line="252" w:lineRule="auto"/>
            </w:pPr>
            <w:r>
              <w:t>US LNG exports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E539" w14:textId="77777777" w:rsidR="00AD07A8" w:rsidRDefault="00000000">
            <w:pPr>
              <w:spacing w:line="252" w:lineRule="auto"/>
            </w:pPr>
            <w:r>
              <w:t>EIA / DOE monthly report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7F25" w14:textId="77777777" w:rsidR="00AD07A8" w:rsidRDefault="00000000">
            <w:pPr>
              <w:spacing w:line="252" w:lineRule="auto"/>
            </w:pPr>
            <w:r>
              <w:t>Monthly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7433" w14:textId="77777777" w:rsidR="00AD07A8" w:rsidRDefault="00000000">
            <w:pPr>
              <w:spacing w:line="252" w:lineRule="auto"/>
            </w:pPr>
            <w:r>
              <w:t>Coarse, lagged. Use only as a directional control, flagged as a lower-bound proxy.</w:t>
            </w:r>
          </w:p>
        </w:tc>
      </w:tr>
    </w:tbl>
    <w:p w14:paraId="1D20DAB6" w14:textId="77777777" w:rsidR="00AD07A8" w:rsidRDefault="00000000">
      <w:pPr>
        <w:pStyle w:val="1"/>
      </w:pPr>
      <w:r>
        <w:t>5.  Non-Negotiable Methodology Rules</w:t>
      </w:r>
    </w:p>
    <w:p w14:paraId="10732EAB" w14:textId="77777777" w:rsidR="00AD07A8" w:rsidRDefault="00000000">
      <w:pPr>
        <w:spacing w:after="120" w:line="276" w:lineRule="auto"/>
      </w:pPr>
      <w:r>
        <w:t>These are the things the rubric punishes hardest. Everyone follows them; the modelling pair enforces them.</w:t>
      </w:r>
    </w:p>
    <w:p w14:paraId="2DD21297" w14:textId="77777777" w:rsidR="00AD07A8" w:rsidRDefault="00000000">
      <w:pPr>
        <w:pStyle w:val="a4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R1 — Predict the spread in changes, prove it is modellable. </w:t>
      </w:r>
      <w:r>
        <w:t>Before any modelling, confirm the spread is stationary / mean-reverting (ADF test) and that JKM &amp; TTF are cointegrated. If not, we redefine the target.</w:t>
      </w:r>
    </w:p>
    <w:p w14:paraId="6F1FF4BB" w14:textId="77777777" w:rsidR="00AD07A8" w:rsidRDefault="00000000">
      <w:pPr>
        <w:pStyle w:val="a4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R2 — Two date columns on every series. </w:t>
      </w:r>
      <w:r>
        <w:t>Each row carries event_date (when it refers to) and publish_date (when it became public). Primary models run on event_date (Case A); the gap powers the timeliness-value analysis.</w:t>
      </w:r>
    </w:p>
    <w:p w14:paraId="37FCADE2" w14:textId="77777777" w:rsidR="00AD07A8" w:rsidRDefault="00000000">
      <w:pPr>
        <w:pStyle w:val="a4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R3 — No look-ahead, ever. </w:t>
      </w:r>
      <w:r>
        <w:t>A feature for predicting day t may only use information whose event_date ≤ t (Case A) and must be lag-shifted relative to the forward spread move we predict.</w:t>
      </w:r>
    </w:p>
    <w:p w14:paraId="73A78BFE" w14:textId="77777777" w:rsidR="00AD07A8" w:rsidRDefault="00000000">
      <w:pPr>
        <w:pStyle w:val="a4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R4 — Deseasonalise storage. </w:t>
      </w:r>
      <w:r>
        <w:t>Never feed raw storage level. Use “deviation from 5-year seasonal norm” or “days of cover.” Storage has a strong summer-fill / winter-draw cycle.</w:t>
      </w:r>
    </w:p>
    <w:p w14:paraId="7DB287C1" w14:textId="77777777" w:rsidR="00AD07A8" w:rsidRDefault="00000000">
      <w:pPr>
        <w:pStyle w:val="a4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R5 — Standardise scales. </w:t>
      </w:r>
      <w:r>
        <w:t>z-score all features (mean 0, sd 1) so bounded and unbounded variables are comparable and coefficients are interpretable.</w:t>
      </w:r>
    </w:p>
    <w:p w14:paraId="450EFA50" w14:textId="77777777" w:rsidR="00AD07A8" w:rsidRDefault="00000000">
      <w:pPr>
        <w:pStyle w:val="a4"/>
        <w:numPr>
          <w:ilvl w:val="0"/>
          <w:numId w:val="3"/>
        </w:numPr>
        <w:spacing w:after="80" w:line="268" w:lineRule="auto"/>
      </w:pPr>
      <w:r>
        <w:rPr>
          <w:b/>
          <w:bCs/>
        </w:rPr>
        <w:lastRenderedPageBreak/>
        <w:t xml:space="preserve">R6 — Treat 2022 as a regime break. </w:t>
      </w:r>
      <w:r>
        <w:t>Test for it (Chow test); prefer modelling the post-2022 “LNG era” rather than splicing in pre-2022 pipeline-era data. State the sample-size trade-off honestly.</w:t>
      </w:r>
    </w:p>
    <w:p w14:paraId="6AA5AAFF" w14:textId="77777777" w:rsidR="00AD07A8" w:rsidRDefault="00000000">
      <w:pPr>
        <w:pStyle w:val="a4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R7 — Show diagnostics, not just scores. </w:t>
      </w:r>
      <w:r>
        <w:t>Milestone 3 is explicit: residual scatter (homoscedasticity), multicollinearity (VIF), autocorrelation (Durbin-Watson) for LR; scree + elbow + loading interpretation for PCA.</w:t>
      </w:r>
    </w:p>
    <w:p w14:paraId="709DF3F7" w14:textId="77777777" w:rsidR="00AD07A8" w:rsidRDefault="00000000">
      <w:pPr>
        <w:pStyle w:val="1"/>
      </w:pPr>
      <w:r>
        <w:t>6.  The 15-Minute Pitch Structure (target output)</w:t>
      </w:r>
    </w:p>
    <w:p w14:paraId="76A54A2E" w14:textId="77777777" w:rsidR="00AD07A8" w:rsidRDefault="00000000">
      <w:pPr>
        <w:spacing w:after="120" w:line="276" w:lineRule="auto"/>
      </w:pPr>
      <w:r>
        <w:t>Everything we build should feed one of these five slots (mandated by the brief):</w:t>
      </w:r>
    </w:p>
    <w:p w14:paraId="3E1BC5DD" w14:textId="77777777" w:rsidR="00AD07A8" w:rsidRDefault="00000000">
      <w:pPr>
        <w:pStyle w:val="a4"/>
        <w:numPr>
          <w:ilvl w:val="0"/>
          <w:numId w:val="4"/>
        </w:numPr>
        <w:spacing w:after="80" w:line="268" w:lineRule="auto"/>
      </w:pPr>
      <w:r>
        <w:t>The Mosaic Thesis — the research question + the LNG-arbitrage economic logic.</w:t>
      </w:r>
    </w:p>
    <w:p w14:paraId="4A829291" w14:textId="77777777" w:rsidR="00AD07A8" w:rsidRDefault="00000000">
      <w:pPr>
        <w:pStyle w:val="a4"/>
        <w:numPr>
          <w:ilvl w:val="0"/>
          <w:numId w:val="4"/>
        </w:numPr>
        <w:spacing w:after="80" w:line="268" w:lineRule="auto"/>
      </w:pPr>
      <w:r>
        <w:t>The Data Pipeline &amp; Enrichment — ingestion hurdles, frequency matching, the mosaic.</w:t>
      </w:r>
    </w:p>
    <w:p w14:paraId="0E3D9201" w14:textId="77777777" w:rsidR="00AD07A8" w:rsidRDefault="00000000">
      <w:pPr>
        <w:pStyle w:val="a4"/>
        <w:numPr>
          <w:ilvl w:val="0"/>
          <w:numId w:val="4"/>
        </w:numPr>
        <w:spacing w:after="80" w:line="268" w:lineRule="auto"/>
      </w:pPr>
      <w:r>
        <w:t>Model Architecture &amp; Diagnostic Proof — LR / PCA walk-through WITH diagnostic plots.</w:t>
      </w:r>
    </w:p>
    <w:p w14:paraId="6B16F538" w14:textId="77777777" w:rsidR="00AD07A8" w:rsidRDefault="00000000">
      <w:pPr>
        <w:pStyle w:val="a4"/>
        <w:numPr>
          <w:ilvl w:val="0"/>
          <w:numId w:val="4"/>
        </w:numPr>
        <w:spacing w:after="80" w:line="268" w:lineRule="auto"/>
      </w:pPr>
      <w:r>
        <w:t>Operational Realities — turnover, bid-ask/roll costs, and the value-of-timeliness / buy-the-feed case.</w:t>
      </w:r>
    </w:p>
    <w:p w14:paraId="6ACA62C5" w14:textId="77777777" w:rsidR="00AD07A8" w:rsidRDefault="00000000">
      <w:pPr>
        <w:pStyle w:val="a4"/>
        <w:numPr>
          <w:ilvl w:val="0"/>
          <w:numId w:val="4"/>
        </w:numPr>
        <w:spacing w:after="80" w:line="268" w:lineRule="auto"/>
      </w:pPr>
      <w:r>
        <w:t>Q&amp;A — defend data choices, assumptions, conclusions.</w:t>
      </w:r>
    </w:p>
    <w:p w14:paraId="713C2250" w14:textId="77777777" w:rsidR="00AD07A8" w:rsidRDefault="00000000">
      <w:pPr>
        <w:pStyle w:val="1"/>
      </w:pPr>
      <w:r>
        <w:t>7.  Work Breakdown — Six Members</w:t>
      </w:r>
    </w:p>
    <w:p w14:paraId="2AFD55EB" w14:textId="77777777" w:rsidR="00AD07A8" w:rsidRDefault="00000000">
      <w:pPr>
        <w:spacing w:after="120" w:line="276" w:lineRule="auto"/>
      </w:pPr>
      <w:r>
        <w:t>Each member owns a workstream end-to-end (data → write-up → their slide). Ownership is mapped to a milestone and a rubric criterion so nothing falls through the cracks.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30"/>
        <w:gridCol w:w="1900"/>
        <w:gridCol w:w="1930"/>
      </w:tblGrid>
      <w:tr w:rsidR="00AD07A8" w14:paraId="39A3D203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DFC7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B31A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Workstream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D62B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Owns milestone</w:t>
            </w:r>
          </w:p>
        </w:tc>
        <w:tc>
          <w:tcPr>
            <w:tcW w:w="19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14C7" w14:textId="77777777" w:rsidR="00AD07A8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Owns rubric</w:t>
            </w:r>
          </w:p>
        </w:tc>
      </w:tr>
      <w:tr w:rsidR="00AD07A8" w14:paraId="47012C18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8E03" w14:textId="77777777" w:rsidR="00AD07A8" w:rsidRDefault="00000000">
            <w:pPr>
              <w:spacing w:line="252" w:lineRule="auto"/>
            </w:pPr>
            <w:r>
              <w:t>P1 — Lead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E986" w14:textId="77777777" w:rsidR="00AD07A8" w:rsidRDefault="00000000">
            <w:pPr>
              <w:spacing w:line="252" w:lineRule="auto"/>
            </w:pPr>
            <w:r>
              <w:t>Thesis, economic narrative, deck assembly, Q&amp;A prep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8AC0" w14:textId="77777777" w:rsidR="00AD07A8" w:rsidRDefault="00000000">
            <w:pPr>
              <w:spacing w:line="252" w:lineRule="auto"/>
            </w:pPr>
            <w:r>
              <w:t>M1 (thesis) + Final</w:t>
            </w:r>
          </w:p>
        </w:tc>
        <w:tc>
          <w:tcPr>
            <w:tcW w:w="19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D620" w14:textId="77777777" w:rsidR="00AD07A8" w:rsidRDefault="00000000">
            <w:pPr>
              <w:spacing w:line="252" w:lineRule="auto"/>
            </w:pPr>
            <w:r>
              <w:t>Criterion 1</w:t>
            </w:r>
          </w:p>
        </w:tc>
      </w:tr>
      <w:tr w:rsidR="00AD07A8" w14:paraId="69FB3955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5D7A" w14:textId="77777777" w:rsidR="00AD07A8" w:rsidRDefault="00000000">
            <w:pPr>
              <w:spacing w:line="252" w:lineRule="auto"/>
            </w:pPr>
            <w:r>
              <w:t>P2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DE92" w14:textId="77777777" w:rsidR="00AD07A8" w:rsidRDefault="00000000">
            <w:pPr>
              <w:spacing w:line="252" w:lineRule="auto"/>
            </w:pPr>
            <w:r>
              <w:t>Price data + spread + stationarity/cointegration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6B4B" w14:textId="77777777" w:rsidR="00AD07A8" w:rsidRDefault="00000000">
            <w:pPr>
              <w:spacing w:line="252" w:lineRule="auto"/>
            </w:pPr>
            <w:r>
              <w:t>Feeds M1 / M2</w:t>
            </w:r>
          </w:p>
        </w:tc>
        <w:tc>
          <w:tcPr>
            <w:tcW w:w="19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F76F" w14:textId="77777777" w:rsidR="00AD07A8" w:rsidRDefault="00000000">
            <w:pPr>
              <w:spacing w:line="252" w:lineRule="auto"/>
            </w:pPr>
            <w:r>
              <w:t>Criterion 3 (foundation)</w:t>
            </w:r>
          </w:p>
        </w:tc>
      </w:tr>
      <w:tr w:rsidR="00AD07A8" w14:paraId="5395531E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742D" w14:textId="77777777" w:rsidR="00AD07A8" w:rsidRDefault="00000000">
            <w:pPr>
              <w:spacing w:line="252" w:lineRule="auto"/>
            </w:pPr>
            <w:r>
              <w:t>P3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DDAD" w14:textId="77777777" w:rsidR="00AD07A8" w:rsidRDefault="00000000">
            <w:pPr>
              <w:spacing w:line="252" w:lineRule="auto"/>
            </w:pPr>
            <w:r>
              <w:t>Supply data (storage, LNG send-out) + PIT infrastructure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354C" w14:textId="77777777" w:rsidR="00AD07A8" w:rsidRDefault="00000000">
            <w:pPr>
              <w:spacing w:line="252" w:lineRule="auto"/>
            </w:pPr>
            <w:r>
              <w:t>M1 (Proof of Ingestion)</w:t>
            </w:r>
          </w:p>
        </w:tc>
        <w:tc>
          <w:tcPr>
            <w:tcW w:w="19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A3C3" w14:textId="77777777" w:rsidR="00AD07A8" w:rsidRDefault="00000000">
            <w:pPr>
              <w:spacing w:line="252" w:lineRule="auto"/>
            </w:pPr>
            <w:r>
              <w:t>Criterion 2</w:t>
            </w:r>
          </w:p>
        </w:tc>
      </w:tr>
      <w:tr w:rsidR="00AD07A8" w14:paraId="4545E14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9997" w14:textId="77777777" w:rsidR="00AD07A8" w:rsidRDefault="00000000">
            <w:pPr>
              <w:spacing w:line="252" w:lineRule="auto"/>
            </w:pPr>
            <w:r>
              <w:t>P4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FAB7" w14:textId="77777777" w:rsidR="00AD07A8" w:rsidRDefault="00000000">
            <w:pPr>
              <w:spacing w:line="252" w:lineRule="auto"/>
            </w:pPr>
            <w:r>
              <w:t>Demand data (HDD) + preprocessing &amp; EDA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158D" w14:textId="77777777" w:rsidR="00AD07A8" w:rsidRDefault="00000000">
            <w:pPr>
              <w:spacing w:line="252" w:lineRule="auto"/>
            </w:pPr>
            <w:r>
              <w:t>M2</w:t>
            </w:r>
          </w:p>
        </w:tc>
        <w:tc>
          <w:tcPr>
            <w:tcW w:w="19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7840" w14:textId="77777777" w:rsidR="00AD07A8" w:rsidRDefault="00000000">
            <w:pPr>
              <w:spacing w:line="252" w:lineRule="auto"/>
            </w:pPr>
            <w:r>
              <w:t>Criterion 2</w:t>
            </w:r>
          </w:p>
        </w:tc>
      </w:tr>
      <w:tr w:rsidR="00AD07A8" w14:paraId="46675BD9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2DB4" w14:textId="77777777" w:rsidR="00AD07A8" w:rsidRDefault="00000000">
            <w:pPr>
              <w:spacing w:line="252" w:lineRule="auto"/>
            </w:pPr>
            <w:r>
              <w:t>P5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06FD" w14:textId="77777777" w:rsidR="00AD07A8" w:rsidRDefault="00000000">
            <w:pPr>
              <w:spacing w:line="252" w:lineRule="auto"/>
            </w:pPr>
            <w:r>
              <w:t>Linear Regression + diagnostics + timeliness decay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0562" w14:textId="77777777" w:rsidR="00AD07A8" w:rsidRDefault="00000000">
            <w:pPr>
              <w:spacing w:line="252" w:lineRule="auto"/>
            </w:pPr>
            <w:r>
              <w:t>M3 (LR path)</w:t>
            </w:r>
          </w:p>
        </w:tc>
        <w:tc>
          <w:tcPr>
            <w:tcW w:w="19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429C" w14:textId="77777777" w:rsidR="00AD07A8" w:rsidRDefault="00000000">
            <w:pPr>
              <w:spacing w:line="252" w:lineRule="auto"/>
            </w:pPr>
            <w:r>
              <w:t>Criterion 3</w:t>
            </w:r>
          </w:p>
        </w:tc>
      </w:tr>
      <w:tr w:rsidR="00AD07A8" w14:paraId="4338FC2A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735F" w14:textId="77777777" w:rsidR="00AD07A8" w:rsidRDefault="00000000">
            <w:pPr>
              <w:spacing w:line="252" w:lineRule="auto"/>
            </w:pPr>
            <w:r>
              <w:t>P6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A754" w14:textId="77777777" w:rsidR="00AD07A8" w:rsidRDefault="00000000">
            <w:pPr>
              <w:spacing w:line="252" w:lineRule="auto"/>
            </w:pPr>
            <w:r>
              <w:t>PCA + diagnostics + Operational Realities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149D" w14:textId="77777777" w:rsidR="00AD07A8" w:rsidRDefault="00000000">
            <w:pPr>
              <w:spacing w:line="252" w:lineRule="auto"/>
            </w:pPr>
            <w:r>
              <w:t>M3 (PCA path) + Final</w:t>
            </w:r>
          </w:p>
        </w:tc>
        <w:tc>
          <w:tcPr>
            <w:tcW w:w="19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8F5E" w14:textId="77777777" w:rsidR="00AD07A8" w:rsidRDefault="00000000">
            <w:pPr>
              <w:spacing w:line="252" w:lineRule="auto"/>
            </w:pPr>
            <w:r>
              <w:t>Criterion 3 + 4</w:t>
            </w:r>
          </w:p>
        </w:tc>
      </w:tr>
    </w:tbl>
    <w:p w14:paraId="7C2EAA20" w14:textId="77777777" w:rsidR="00AD07A8" w:rsidRDefault="00000000">
      <w:pPr>
        <w:pStyle w:val="2"/>
      </w:pPr>
      <w:r>
        <w:t>P1 — Team Lead &amp; Thesis / Narrative</w:t>
      </w:r>
    </w:p>
    <w:p w14:paraId="254189C8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Own the mosaic thesis: write the crisp research question and the LNG destination-flexibility / arbitrage logic that makes the spread predictable.</w:t>
      </w:r>
    </w:p>
    <w:p w14:paraId="5E4F96BF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lastRenderedPageBreak/>
        <w:t>Draft the M1 memo Section A (Core Thesis) and stitch the whole 1-page memo together from the others’ inputs.</w:t>
      </w:r>
    </w:p>
    <w:p w14:paraId="2E56F61A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Run the schedule; assemble the final 15-min deck; coordinate Q&amp;A rehearsal and likely-question prep.</w:t>
      </w:r>
    </w:p>
    <w:p w14:paraId="592C1FAE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Deliverables: </w:t>
      </w:r>
      <w:r>
        <w:t>thesis paragraph + market-anomaly framing; assembled M1 memo; final deck; Q&amp;A brief.</w:t>
      </w:r>
    </w:p>
    <w:p w14:paraId="0CC8470E" w14:textId="77777777" w:rsidR="00AD07A8" w:rsidRDefault="00000000">
      <w:pPr>
        <w:pStyle w:val="2"/>
      </w:pPr>
      <w:r>
        <w:t>P2 — Price &amp; Target Engineering</w:t>
      </w:r>
    </w:p>
    <w:p w14:paraId="7A5AACB0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Pull TTF (Investing.com/Barchart) and JKM (Barchart/TradingEconomics); align calendars and convert both to a common $/MMBtu basis.</w:t>
      </w:r>
    </w:p>
    <w:p w14:paraId="039FDC85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Construct the spread and its log-changes; document the JKM-is-a-Platts-proxy caveat.</w:t>
      </w:r>
    </w:p>
    <w:p w14:paraId="26DB821B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Critical foundation: </w:t>
      </w:r>
      <w:r>
        <w:t>run ADF (stationarity) and Engle–Granger cointegration on the spread. This decides whether the whole “predict the spread” framing is valid — do this before anyone builds features.</w:t>
      </w:r>
    </w:p>
    <w:p w14:paraId="4E1B0A98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Deliverables: </w:t>
      </w:r>
      <w:r>
        <w:t>clean price &amp; spread series (with event/publish dates) + a short stationarity/cointegration report.</w:t>
      </w:r>
    </w:p>
    <w:p w14:paraId="7E723950" w14:textId="77777777" w:rsidR="00AD07A8" w:rsidRDefault="00000000">
      <w:pPr>
        <w:pStyle w:val="2"/>
      </w:pPr>
      <w:r>
        <w:t>P3 — Supply-Side Data &amp; Point-in-Time Infrastructure</w:t>
      </w:r>
    </w:p>
    <w:p w14:paraId="7F0DB8EE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Register for the GIE key; pull AGSI+ (underground storage) and ALSI (LNG terminal inventory + send-out flow) via API.</w:t>
      </w:r>
    </w:p>
    <w:p w14:paraId="4C7C80DD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Build the shared </w:t>
      </w:r>
      <w:r>
        <w:rPr>
          <w:b/>
          <w:bCs/>
        </w:rPr>
        <w:t>point-in-time table</w:t>
      </w:r>
      <w:r>
        <w:t>: every series stamped with event_date and publish_date (implements Rules R2/R3 for the whole team).</w:t>
      </w:r>
    </w:p>
    <w:p w14:paraId="5F68889B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Produce the </w:t>
      </w:r>
      <w:r>
        <w:rPr>
          <w:b/>
          <w:bCs/>
        </w:rPr>
        <w:t>M1 Proof of Ingestion</w:t>
      </w:r>
      <w:r>
        <w:t xml:space="preserve"> — the printed first 5 rows that show we cleared the access barrier.</w:t>
      </w:r>
    </w:p>
    <w:p w14:paraId="484D98D8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Deliverables: </w:t>
      </w:r>
      <w:r>
        <w:t>ingested supply dataset in PIT format; the dual-date join template the others build on; M1 ingestion snapshot.</w:t>
      </w:r>
    </w:p>
    <w:p w14:paraId="63ED7DF1" w14:textId="77777777" w:rsidR="00AD07A8" w:rsidRDefault="00000000">
      <w:pPr>
        <w:pStyle w:val="2"/>
      </w:pPr>
      <w:r>
        <w:t>P4 — Demand-Side Data &amp; Preprocessing (M2 owner)</w:t>
      </w:r>
    </w:p>
    <w:p w14:paraId="290580D6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Pull Open-Meteo weather for key EU demand centres; convert to population-weighted Heating Degree Days (HDD = how cold it is below the 18°C heating threshold).</w:t>
      </w:r>
    </w:p>
    <w:p w14:paraId="532C5600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Merge all sources onto one timeline; handle frequency mismatch, deseasonalise storage (R4), z-score everything (R5), and document missing-value / anomaly handling.</w:t>
      </w:r>
    </w:p>
    <w:p w14:paraId="66EC2A0B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Run the EDA: correlation matrix (check our features are not redundant), seasonality plots, before/after transformation plots.</w:t>
      </w:r>
    </w:p>
    <w:p w14:paraId="0D15E55B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Deliverables: </w:t>
      </w:r>
      <w:r>
        <w:t>the model-ready feature matrix + the full M2 write-up (alignment + scaling/missing data).</w:t>
      </w:r>
    </w:p>
    <w:p w14:paraId="1C0C831E" w14:textId="77777777" w:rsidR="00AD07A8" w:rsidRDefault="00000000">
      <w:pPr>
        <w:pStyle w:val="2"/>
      </w:pPr>
      <w:r>
        <w:t>P5 — Linear Regression + Diagnostics (M3 LR owner)</w:t>
      </w:r>
    </w:p>
    <w:p w14:paraId="270ECC13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Build the LR: </w:t>
      </w:r>
      <w:r>
        <w:rPr>
          <w:b/>
          <w:bCs/>
          <w:i/>
          <w:iCs/>
        </w:rPr>
        <w:t>forward spread change ~ lagged supply tightness + HDD anomaly + LNG send-out change</w:t>
      </w:r>
      <w:r>
        <w:t>, on event_date alignment (Case A).</w:t>
      </w:r>
    </w:p>
    <w:p w14:paraId="7DB7B4E3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Produce the three mandated diagnostics: residual-vs-fitted scatter (homoscedasticity), VIF (multicollinearity), Durbin-Watson / residual ACF (autocorrelation); report Newey-West </w:t>
      </w:r>
      <w:r>
        <w:lastRenderedPageBreak/>
        <w:t>robust standard errors (overlapping windows + vol clustering make plain OLS errors unreliable).</w:t>
      </w:r>
    </w:p>
    <w:p w14:paraId="0BA36D51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Run the </w:t>
      </w:r>
      <w:r>
        <w:rPr>
          <w:b/>
          <w:bCs/>
        </w:rPr>
        <w:t>information-decay experiment</w:t>
      </w:r>
      <w:r>
        <w:t>: refit with the signal lagged 0 / 1 / 2 / 4 weeks (event vs publish) and plot predictive power vs lag — this is our “value of real-time data” evidence.</w:t>
      </w:r>
    </w:p>
    <w:p w14:paraId="17A571DA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Deliverables: </w:t>
      </w:r>
      <w:r>
        <w:t>LR results table + 3 diagnostic plots + the decay curve.</w:t>
      </w:r>
    </w:p>
    <w:p w14:paraId="410D7F3A" w14:textId="77777777" w:rsidR="00AD07A8" w:rsidRDefault="00000000">
      <w:pPr>
        <w:pStyle w:val="2"/>
      </w:pPr>
      <w:r>
        <w:t>P6 — PCA + Operational Realities (M3 PCA owner + pitch part 4)</w:t>
      </w:r>
    </w:p>
    <w:p w14:paraId="3DD6B567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Run PCA on the basket of correlated inputs (e.g., multiple European hub prices / several supply indicators) to extract orthogonal components; feed components into the regression to kill multicollinearity (Nike-example style).</w:t>
      </w:r>
    </w:p>
    <w:p w14:paraId="70FA0862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>Produce the PCA diagnostics: scree plot with a visually justified elbow, and an interpretation of the top loading vectors as real economic themes (e.g., “European supply tightness,” “weather-driven demand”).</w:t>
      </w:r>
    </w:p>
    <w:p w14:paraId="43207AE2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t xml:space="preserve">Write the </w:t>
      </w:r>
      <w:r>
        <w:rPr>
          <w:b/>
          <w:bCs/>
        </w:rPr>
        <w:t>Operational Realities</w:t>
      </w:r>
      <w:r>
        <w:t xml:space="preserve"> section: futures liquidity, contract roll / term structure, turnover and transaction costs, and the business case built from P5’s decay curve (“signal exists but decays inside the free-data lag → a real-time feed is worth buying”).</w:t>
      </w:r>
    </w:p>
    <w:p w14:paraId="5016FD80" w14:textId="77777777" w:rsidR="00AD07A8" w:rsidRDefault="00000000">
      <w:pPr>
        <w:pStyle w:val="a4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Deliverables: </w:t>
      </w:r>
      <w:r>
        <w:t>PCA scree + loadings + interpretation; Operational Realities slides.</w:t>
      </w:r>
    </w:p>
    <w:p w14:paraId="1D0809B1" w14:textId="77777777" w:rsidR="00AD07A8" w:rsidRDefault="00000000">
      <w:pPr>
        <w:pStyle w:val="1"/>
      </w:pPr>
      <w:r>
        <w:t>8.  How the Pieces Connect</w:t>
      </w:r>
    </w:p>
    <w:p w14:paraId="58689E3F" w14:textId="77777777" w:rsidR="00AD07A8" w:rsidRDefault="00000000">
      <w:pPr>
        <w:spacing w:after="120" w:line="276" w:lineRule="auto"/>
      </w:pPr>
      <w:r>
        <w:rPr>
          <w:b/>
          <w:bCs/>
        </w:rPr>
        <w:t xml:space="preserve">Pipeline: </w:t>
      </w:r>
      <w:r>
        <w:t>P2 (price/spread + validity) and P3 (supply data + PIT table) and P4 (demand data + preprocessing) all feed a single merged, event-date-aligned feature matrix. P5 (LR) and P6 (PCA) model it in parallel. P1 wraps the economic story around the result and assembles the pitch; P6 closes with operational realities.</w:t>
      </w:r>
    </w:p>
    <w:p w14:paraId="408BB3A6" w14:textId="77777777" w:rsidR="00AD07A8" w:rsidRDefault="00000000">
      <w:pPr>
        <w:spacing w:after="120" w:line="276" w:lineRule="auto"/>
      </w:pPr>
      <w:r>
        <w:rPr>
          <w:b/>
          <w:bCs/>
        </w:rPr>
        <w:t xml:space="preserve">Dependency order: </w:t>
      </w:r>
      <w:r>
        <w:t>P2’s cointegration check and P3’s PIT table are upstream of everything — if either breaks, modelling waits. So P2 and P3 sprint first; P4 merges; P5/P6 model; P1 narrates throughout.</w:t>
      </w:r>
    </w:p>
    <w:p w14:paraId="4A77BC33" w14:textId="77777777" w:rsidR="00AD07A8" w:rsidRDefault="00AD07A8">
      <w:pPr>
        <w:pBdr>
          <w:bottom w:val="single" w:sz="6" w:space="1" w:color="1F4E79"/>
        </w:pBdr>
        <w:spacing w:after="120"/>
      </w:pPr>
    </w:p>
    <w:p w14:paraId="6E7BC2A5" w14:textId="77777777" w:rsidR="00AD07A8" w:rsidRDefault="00000000">
      <w:pPr>
        <w:spacing w:after="120" w:line="276" w:lineRule="auto"/>
      </w:pPr>
      <w:r>
        <w:rPr>
          <w:i/>
          <w:iCs/>
          <w:color w:val="555555"/>
        </w:rPr>
        <w:t>Reminder: depth on ONE clean LR + PCA with transparent diagnostics beats a pile of shallow models. The rubric rewards rigor and honesty about limitations, not complexity.</w:t>
      </w:r>
    </w:p>
    <w:sectPr w:rsidR="00AD07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30DF"/>
    <w:multiLevelType w:val="hybridMultilevel"/>
    <w:tmpl w:val="32809E1A"/>
    <w:lvl w:ilvl="0" w:tplc="F47CD126">
      <w:start w:val="1"/>
      <w:numFmt w:val="bullet"/>
      <w:lvlText w:val="●"/>
      <w:lvlJc w:val="left"/>
      <w:pPr>
        <w:ind w:left="720" w:hanging="360"/>
      </w:pPr>
    </w:lvl>
    <w:lvl w:ilvl="1" w:tplc="39CCBD1C">
      <w:start w:val="1"/>
      <w:numFmt w:val="bullet"/>
      <w:lvlText w:val="○"/>
      <w:lvlJc w:val="left"/>
      <w:pPr>
        <w:ind w:left="1440" w:hanging="360"/>
      </w:pPr>
    </w:lvl>
    <w:lvl w:ilvl="2" w:tplc="6B2CEA70">
      <w:start w:val="1"/>
      <w:numFmt w:val="bullet"/>
      <w:lvlText w:val="■"/>
      <w:lvlJc w:val="left"/>
      <w:pPr>
        <w:ind w:left="2160" w:hanging="360"/>
      </w:pPr>
    </w:lvl>
    <w:lvl w:ilvl="3" w:tplc="70608178">
      <w:start w:val="1"/>
      <w:numFmt w:val="bullet"/>
      <w:lvlText w:val="●"/>
      <w:lvlJc w:val="left"/>
      <w:pPr>
        <w:ind w:left="2880" w:hanging="360"/>
      </w:pPr>
    </w:lvl>
    <w:lvl w:ilvl="4" w:tplc="57AA882C">
      <w:start w:val="1"/>
      <w:numFmt w:val="bullet"/>
      <w:lvlText w:val="○"/>
      <w:lvlJc w:val="left"/>
      <w:pPr>
        <w:ind w:left="3600" w:hanging="360"/>
      </w:pPr>
    </w:lvl>
    <w:lvl w:ilvl="5" w:tplc="613839BC">
      <w:start w:val="1"/>
      <w:numFmt w:val="bullet"/>
      <w:lvlText w:val="■"/>
      <w:lvlJc w:val="left"/>
      <w:pPr>
        <w:ind w:left="4320" w:hanging="360"/>
      </w:pPr>
    </w:lvl>
    <w:lvl w:ilvl="6" w:tplc="6874B034">
      <w:start w:val="1"/>
      <w:numFmt w:val="bullet"/>
      <w:lvlText w:val="●"/>
      <w:lvlJc w:val="left"/>
      <w:pPr>
        <w:ind w:left="5040" w:hanging="360"/>
      </w:pPr>
    </w:lvl>
    <w:lvl w:ilvl="7" w:tplc="4FF0134C">
      <w:start w:val="1"/>
      <w:numFmt w:val="bullet"/>
      <w:lvlText w:val="●"/>
      <w:lvlJc w:val="left"/>
      <w:pPr>
        <w:ind w:left="5760" w:hanging="360"/>
      </w:pPr>
    </w:lvl>
    <w:lvl w:ilvl="8" w:tplc="BF8E61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614371"/>
    <w:multiLevelType w:val="hybridMultilevel"/>
    <w:tmpl w:val="04745126"/>
    <w:lvl w:ilvl="0" w:tplc="A16C37B6">
      <w:start w:val="1"/>
      <w:numFmt w:val="bullet"/>
      <w:lvlText w:val="•"/>
      <w:lvlJc w:val="left"/>
      <w:pPr>
        <w:ind w:left="540" w:hanging="280"/>
      </w:pPr>
    </w:lvl>
    <w:lvl w:ilvl="1" w:tplc="9E44145A">
      <w:numFmt w:val="decimal"/>
      <w:lvlText w:val=""/>
      <w:lvlJc w:val="left"/>
    </w:lvl>
    <w:lvl w:ilvl="2" w:tplc="1B86530C">
      <w:numFmt w:val="decimal"/>
      <w:lvlText w:val=""/>
      <w:lvlJc w:val="left"/>
    </w:lvl>
    <w:lvl w:ilvl="3" w:tplc="83421E2C">
      <w:numFmt w:val="decimal"/>
      <w:lvlText w:val=""/>
      <w:lvlJc w:val="left"/>
    </w:lvl>
    <w:lvl w:ilvl="4" w:tplc="0610D136">
      <w:numFmt w:val="decimal"/>
      <w:lvlText w:val=""/>
      <w:lvlJc w:val="left"/>
    </w:lvl>
    <w:lvl w:ilvl="5" w:tplc="7A6035DE">
      <w:numFmt w:val="decimal"/>
      <w:lvlText w:val=""/>
      <w:lvlJc w:val="left"/>
    </w:lvl>
    <w:lvl w:ilvl="6" w:tplc="EA66EE44">
      <w:numFmt w:val="decimal"/>
      <w:lvlText w:val=""/>
      <w:lvlJc w:val="left"/>
    </w:lvl>
    <w:lvl w:ilvl="7" w:tplc="325E97D4">
      <w:numFmt w:val="decimal"/>
      <w:lvlText w:val=""/>
      <w:lvlJc w:val="left"/>
    </w:lvl>
    <w:lvl w:ilvl="8" w:tplc="368C248E">
      <w:numFmt w:val="decimal"/>
      <w:lvlText w:val=""/>
      <w:lvlJc w:val="left"/>
    </w:lvl>
  </w:abstractNum>
  <w:abstractNum w:abstractNumId="2" w15:restartNumberingAfterBreak="0">
    <w:nsid w:val="6E2A7F14"/>
    <w:multiLevelType w:val="hybridMultilevel"/>
    <w:tmpl w:val="038C7D92"/>
    <w:lvl w:ilvl="0" w:tplc="D3B2E614">
      <w:start w:val="1"/>
      <w:numFmt w:val="decimal"/>
      <w:lvlText w:val="%1."/>
      <w:lvlJc w:val="left"/>
      <w:pPr>
        <w:ind w:left="540" w:hanging="300"/>
      </w:pPr>
    </w:lvl>
    <w:lvl w:ilvl="1" w:tplc="0EA4EDC8">
      <w:numFmt w:val="decimal"/>
      <w:lvlText w:val=""/>
      <w:lvlJc w:val="left"/>
    </w:lvl>
    <w:lvl w:ilvl="2" w:tplc="9AAEB434">
      <w:numFmt w:val="decimal"/>
      <w:lvlText w:val=""/>
      <w:lvlJc w:val="left"/>
    </w:lvl>
    <w:lvl w:ilvl="3" w:tplc="B5DADB3E">
      <w:numFmt w:val="decimal"/>
      <w:lvlText w:val=""/>
      <w:lvlJc w:val="left"/>
    </w:lvl>
    <w:lvl w:ilvl="4" w:tplc="551217F2">
      <w:numFmt w:val="decimal"/>
      <w:lvlText w:val=""/>
      <w:lvlJc w:val="left"/>
    </w:lvl>
    <w:lvl w:ilvl="5" w:tplc="16869494">
      <w:numFmt w:val="decimal"/>
      <w:lvlText w:val=""/>
      <w:lvlJc w:val="left"/>
    </w:lvl>
    <w:lvl w:ilvl="6" w:tplc="9FB0D0C6">
      <w:numFmt w:val="decimal"/>
      <w:lvlText w:val=""/>
      <w:lvlJc w:val="left"/>
    </w:lvl>
    <w:lvl w:ilvl="7" w:tplc="CE68E944">
      <w:numFmt w:val="decimal"/>
      <w:lvlText w:val=""/>
      <w:lvlJc w:val="left"/>
    </w:lvl>
    <w:lvl w:ilvl="8" w:tplc="7C1014B8">
      <w:numFmt w:val="decimal"/>
      <w:lvlText w:val=""/>
      <w:lvlJc w:val="left"/>
    </w:lvl>
  </w:abstractNum>
  <w:abstractNum w:abstractNumId="3" w15:restartNumberingAfterBreak="0">
    <w:nsid w:val="7FD26DFE"/>
    <w:multiLevelType w:val="hybridMultilevel"/>
    <w:tmpl w:val="1446082C"/>
    <w:lvl w:ilvl="0" w:tplc="EFA87ED6">
      <w:start w:val="1"/>
      <w:numFmt w:val="decimal"/>
      <w:lvlText w:val="%1."/>
      <w:lvlJc w:val="left"/>
      <w:pPr>
        <w:ind w:left="540" w:hanging="300"/>
      </w:pPr>
    </w:lvl>
    <w:lvl w:ilvl="1" w:tplc="46D4B370">
      <w:numFmt w:val="decimal"/>
      <w:lvlText w:val=""/>
      <w:lvlJc w:val="left"/>
    </w:lvl>
    <w:lvl w:ilvl="2" w:tplc="41B6527A">
      <w:numFmt w:val="decimal"/>
      <w:lvlText w:val=""/>
      <w:lvlJc w:val="left"/>
    </w:lvl>
    <w:lvl w:ilvl="3" w:tplc="90963D90">
      <w:numFmt w:val="decimal"/>
      <w:lvlText w:val=""/>
      <w:lvlJc w:val="left"/>
    </w:lvl>
    <w:lvl w:ilvl="4" w:tplc="3E06D386">
      <w:numFmt w:val="decimal"/>
      <w:lvlText w:val=""/>
      <w:lvlJc w:val="left"/>
    </w:lvl>
    <w:lvl w:ilvl="5" w:tplc="7804A298">
      <w:numFmt w:val="decimal"/>
      <w:lvlText w:val=""/>
      <w:lvlJc w:val="left"/>
    </w:lvl>
    <w:lvl w:ilvl="6" w:tplc="491ACD2A">
      <w:numFmt w:val="decimal"/>
      <w:lvlText w:val=""/>
      <w:lvlJc w:val="left"/>
    </w:lvl>
    <w:lvl w:ilvl="7" w:tplc="5770E554">
      <w:numFmt w:val="decimal"/>
      <w:lvlText w:val=""/>
      <w:lvlJc w:val="left"/>
    </w:lvl>
    <w:lvl w:ilvl="8" w:tplc="564025D6">
      <w:numFmt w:val="decimal"/>
      <w:lvlText w:val=""/>
      <w:lvlJc w:val="left"/>
    </w:lvl>
  </w:abstractNum>
  <w:num w:numId="1" w16cid:durableId="1539665658">
    <w:abstractNumId w:val="0"/>
    <w:lvlOverride w:ilvl="0">
      <w:startOverride w:val="1"/>
    </w:lvlOverride>
  </w:num>
  <w:num w:numId="2" w16cid:durableId="840899079">
    <w:abstractNumId w:val="1"/>
    <w:lvlOverride w:ilvl="0">
      <w:startOverride w:val="1"/>
    </w:lvlOverride>
  </w:num>
  <w:num w:numId="3" w16cid:durableId="592200115">
    <w:abstractNumId w:val="2"/>
    <w:lvlOverride w:ilvl="0">
      <w:startOverride w:val="1"/>
    </w:lvlOverride>
  </w:num>
  <w:num w:numId="4" w16cid:durableId="123813017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7A8"/>
    <w:rsid w:val="009C54E4"/>
    <w:rsid w:val="00AD07A8"/>
    <w:rsid w:val="00BD353A"/>
    <w:rsid w:val="00DF7972"/>
    <w:rsid w:val="00F9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201A53"/>
  <w15:docId w15:val="{1503F46C-D782-B24C-A11E-C6416B95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5E8C"/>
      <w:sz w:val="24"/>
      <w:szCs w:val="24"/>
    </w:rPr>
  </w:style>
  <w:style w:type="paragraph" w:styleId="3">
    <w:name w:val="heading 3"/>
    <w:uiPriority w:val="9"/>
    <w:unhideWhenUsed/>
    <w:qFormat/>
    <w:pPr>
      <w:spacing w:before="140" w:after="60"/>
      <w:outlineLvl w:val="2"/>
    </w:pPr>
    <w:rPr>
      <w:rFonts w:eastAsia="Arial"/>
      <w:b/>
      <w:b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1885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ケンゴ クツナ</cp:lastModifiedBy>
  <cp:revision>2</cp:revision>
  <dcterms:created xsi:type="dcterms:W3CDTF">2026-05-24T12:19:00Z</dcterms:created>
  <dcterms:modified xsi:type="dcterms:W3CDTF">2026-05-24T12:19:00Z</dcterms:modified>
</cp:coreProperties>
</file>