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97D"/>
          <w:sz w:val="30"/>
        </w:rPr>
        <w:t>QF632 Financial Data Science — Group Project</w:t>
      </w:r>
    </w:p>
    <w:p>
      <w:pPr>
        <w:spacing w:after="40"/>
      </w:pPr>
      <w:r>
        <w:rPr>
          <w:b/>
          <w:sz w:val="24"/>
        </w:rPr>
        <w:t>Milestone 2  ·  Preprocessing &amp; Exploratory Data Analysis</w:t>
      </w:r>
    </w:p>
    <w:p>
      <w:pPr>
        <w:spacing w:after="40"/>
      </w:pPr>
      <w:r>
        <w:rPr>
          <w:i/>
          <w:color w:val="6A6A6A"/>
          <w:sz w:val="19"/>
        </w:rPr>
        <w:t>Group 4      ·      6 June 2026</w:t>
      </w:r>
    </w:p>
    <w:p>
      <w:pPr>
        <w:spacing w:after="200"/>
        <w:pBdr>
          <w:bottom w:val="single" w:sz="12" w:space="1" w:color="1F497D"/>
        </w:pBdr>
      </w:pPr>
    </w:p>
    <w:p>
      <w:pPr>
        <w:pStyle w:val="Heading1"/>
      </w:pPr>
      <w:r>
        <w:t>1. Dataset &amp; Pipeline Overview</w:t>
      </w:r>
    </w:p>
    <w:p>
      <w:pPr>
        <w:spacing w:after="120"/>
        <w:jc w:val="both"/>
      </w:pPr>
      <w:r>
        <w:rPr>
          <w:sz w:val="20"/>
        </w:rPr>
        <w:t>We test whether the pricing linkage between European (TTF), U.S. (Henry Hub) and Asian (JKM) natural-gas benchmarks — normally disciplined by LNG arbitrage (Law of One Price) — becomes regime-dependent under geopolitical supply stress. This milestone documents the data engineering behind that test: a reproducible ingestion layer, a point-in-time (PIT) alignment that prevents look-ahead bias, and the missing-data and scaling decisions that make the mosaic model-ready.</w:t>
      </w:r>
    </w:p>
    <w:p>
      <w:pPr>
        <w:spacing w:after="120"/>
        <w:jc w:val="both"/>
      </w:pPr>
      <w:r>
        <w:rPr>
          <w:sz w:val="20"/>
        </w:rPr>
        <w:t>All series were re-acquired from public sources over 2019-01-02 → 2026-06-05 and reconciled row-for-row against the Milestone 1 proof of ingestion (Appendix A). The aligned master spans 1,870 gas trading days.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6" w:type="dxa"/>
          <w:bottom w:w="46" w:type="dxa"/>
          <w:left w:w="110" w:type="dxa"/>
          <w:right w:w="110" w:type="dxa"/>
        </w:tblCellMar>
      </w:tblPr>
      <w:tblGrid>
        <w:gridCol w:w="1728"/>
        <w:gridCol w:w="1728"/>
        <w:gridCol w:w="1728"/>
        <w:gridCol w:w="1728"/>
        <w:gridCol w:w="1728"/>
      </w:tblGrid>
      <w:tr>
        <w:trPr>
          <w:cantSplit/>
          <w:tblHeader/>
        </w:trPr>
        <w:tc>
          <w:tcPr>
            <w:tcW w:type="dxa" w:w="2232"/>
            <w:tcBorders>
              <w:top w:val="single" w:sz="12" w:space="0" w:color="1F497D"/>
              <w:bottom w:val="single" w:sz="8" w:space="0" w:color="1F497D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b/>
                <w:color w:val="1F497D"/>
                <w:sz w:val="17"/>
              </w:rPr>
              <w:t>Source family</w:t>
            </w:r>
          </w:p>
        </w:tc>
        <w:tc>
          <w:tcPr>
            <w:tcW w:type="dxa" w:w="2808"/>
            <w:tcBorders>
              <w:top w:val="single" w:sz="12" w:space="0" w:color="1F497D"/>
              <w:bottom w:val="single" w:sz="8" w:space="0" w:color="1F497D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b/>
                <w:color w:val="1F497D"/>
                <w:sz w:val="17"/>
              </w:rPr>
              <w:t>Series (M1 columns)</w:t>
            </w:r>
          </w:p>
        </w:tc>
        <w:tc>
          <w:tcPr>
            <w:tcW w:type="dxa" w:w="864"/>
            <w:tcBorders>
              <w:top w:val="single" w:sz="12" w:space="0" w:color="1F497D"/>
              <w:bottom w:val="single" w:sz="8" w:space="0" w:color="1F497D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b/>
                <w:color w:val="1F497D"/>
                <w:sz w:val="17"/>
              </w:rPr>
              <w:t>Freq.</w:t>
            </w:r>
          </w:p>
        </w:tc>
        <w:tc>
          <w:tcPr>
            <w:tcW w:type="dxa" w:w="1296"/>
            <w:tcBorders>
              <w:top w:val="single" w:sz="12" w:space="0" w:color="1F497D"/>
              <w:bottom w:val="single" w:sz="8" w:space="0" w:color="1F497D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b/>
                <w:color w:val="1F497D"/>
                <w:sz w:val="17"/>
              </w:rPr>
              <w:t>Access</w:t>
            </w:r>
          </w:p>
        </w:tc>
        <w:tc>
          <w:tcPr>
            <w:tcW w:type="dxa" w:w="2160"/>
            <w:tcBorders>
              <w:top w:val="single" w:sz="12" w:space="0" w:color="1F497D"/>
              <w:bottom w:val="single" w:sz="8" w:space="0" w:color="1F497D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b/>
                <w:color w:val="1F497D"/>
                <w:sz w:val="17"/>
              </w:rPr>
              <w:t>Coverage</w:t>
            </w:r>
          </w:p>
        </w:tc>
      </w:tr>
      <w:tr>
        <w:trPr>
          <w:cantSplit/>
        </w:trPr>
        <w:tc>
          <w:tcPr>
            <w:tcW w:type="dxa" w:w="223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Market (Yahoo / yfinance)</w:t>
            </w:r>
          </w:p>
        </w:tc>
        <w:tc>
          <w:tcPr>
            <w:tcW w:type="dxa" w:w="280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HH, TTF, JKM, Brent, EUR/USD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daily</w:t>
            </w:r>
          </w:p>
        </w:tc>
        <w:tc>
          <w:tcPr>
            <w:tcW w:type="dxa" w:w="129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keyless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2019–2026 · exact</w:t>
            </w:r>
          </w:p>
        </w:tc>
      </w:tr>
      <w:tr>
        <w:trPr>
          <w:cantSplit/>
        </w:trPr>
        <w:tc>
          <w:tcPr>
            <w:tcW w:type="dxa" w:w="223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Macro (FRED)</w:t>
            </w:r>
          </w:p>
        </w:tc>
        <w:tc>
          <w:tcPr>
            <w:tcW w:type="dxa" w:w="280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US INDPRO; Euro IP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monthly</w:t>
            </w:r>
          </w:p>
        </w:tc>
        <w:tc>
          <w:tcPr>
            <w:tcW w:type="dxa" w:w="129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keyless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US→2026; euro→2024*</w:t>
            </w:r>
          </w:p>
        </w:tc>
      </w:tr>
      <w:tr>
        <w:trPr>
          <w:cantSplit/>
        </w:trPr>
        <w:tc>
          <w:tcPr>
            <w:tcW w:type="dxa" w:w="223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US storage (EIA)</w:t>
            </w:r>
          </w:p>
        </w:tc>
        <w:tc>
          <w:tcPr>
            <w:tcW w:type="dxa" w:w="280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Lower-48 working gas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weekly</w:t>
            </w:r>
          </w:p>
        </w:tc>
        <w:tc>
          <w:tcPr>
            <w:tcW w:type="dxa" w:w="129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keyless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2019–2026</w:t>
            </w:r>
          </w:p>
        </w:tc>
      </w:tr>
      <w:tr>
        <w:trPr>
          <w:cantSplit/>
        </w:trPr>
        <w:tc>
          <w:tcPr>
            <w:tcW w:type="dxa" w:w="223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EU storage (GIE AGSI+)</w:t>
            </w:r>
          </w:p>
        </w:tc>
        <w:tc>
          <w:tcPr>
            <w:tcW w:type="dxa" w:w="280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DE % full; TWh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daily</w:t>
            </w:r>
          </w:p>
        </w:tc>
        <w:tc>
          <w:tcPr>
            <w:tcW w:type="dxa" w:w="129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x-key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2019–2026 · exact</w:t>
            </w:r>
          </w:p>
        </w:tc>
      </w:tr>
      <w:tr>
        <w:trPr>
          <w:cantSplit/>
        </w:trPr>
        <w:tc>
          <w:tcPr>
            <w:tcW w:type="dxa" w:w="223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EU LNG (GIE ALSI)</w:t>
            </w:r>
          </w:p>
        </w:tc>
        <w:tc>
          <w:tcPr>
            <w:tcW w:type="dxa" w:w="280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ES send-out; inventory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daily</w:t>
            </w:r>
          </w:p>
        </w:tc>
        <w:tc>
          <w:tcPr>
            <w:tcW w:type="dxa" w:w="129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x-key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2019–2026 · exact</w:t>
            </w:r>
          </w:p>
        </w:tc>
      </w:tr>
      <w:tr>
        <w:trPr>
          <w:cantSplit/>
        </w:trPr>
        <w:tc>
          <w:tcPr>
            <w:tcW w:type="dxa" w:w="223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Weather (Open-Meteo ERA5)</w:t>
            </w:r>
          </w:p>
        </w:tc>
        <w:tc>
          <w:tcPr>
            <w:tcW w:type="dxa" w:w="280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HDD AMS / CHI / BEI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daily</w:t>
            </w:r>
          </w:p>
        </w:tc>
        <w:tc>
          <w:tcPr>
            <w:tcW w:type="dxa" w:w="129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keyless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2019–2026</w:t>
            </w:r>
          </w:p>
        </w:tc>
      </w:tr>
      <w:tr>
        <w:trPr>
          <w:cantSplit/>
        </w:trPr>
        <w:tc>
          <w:tcPr>
            <w:tcW w:type="dxa" w:w="223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Risk (Caldara–Iacoviello)</w:t>
            </w:r>
          </w:p>
        </w:tc>
        <w:tc>
          <w:tcPr>
            <w:tcW w:type="dxa" w:w="280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GPR / GPRT / GPRA / GPRC_RUS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monthly</w:t>
            </w:r>
          </w:p>
        </w:tc>
        <w:tc>
          <w:tcPr>
            <w:tcW w:type="dxa" w:w="129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keyless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2019–2026 · exact</w:t>
            </w:r>
          </w:p>
        </w:tc>
      </w:tr>
      <w:tr>
        <w:trPr>
          <w:cantSplit/>
        </w:trPr>
        <w:tc>
          <w:tcPr>
            <w:tcW w:type="dxa" w:w="2232"/>
            <w:tcBorders>
              <w:top w:val="nil"/>
              <w:bottom w:val="single" w:sz="12" w:space="0" w:color="1F497D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17"/>
              </w:rPr>
              <w:t>Risk (policyuncertainty)</w:t>
            </w:r>
          </w:p>
        </w:tc>
        <w:tc>
          <w:tcPr>
            <w:tcW w:type="dxa" w:w="2808"/>
            <w:tcBorders>
              <w:top w:val="nil"/>
              <w:bottom w:val="single" w:sz="12" w:space="0" w:color="1F497D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17"/>
              </w:rPr>
              <w:t>EU EPU</w:t>
            </w:r>
          </w:p>
        </w:tc>
        <w:tc>
          <w:tcPr>
            <w:tcW w:type="dxa" w:w="864"/>
            <w:tcBorders>
              <w:top w:val="nil"/>
              <w:bottom w:val="single" w:sz="12" w:space="0" w:color="1F497D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17"/>
              </w:rPr>
              <w:t>monthly</w:t>
            </w:r>
          </w:p>
        </w:tc>
        <w:tc>
          <w:tcPr>
            <w:tcW w:type="dxa" w:w="1296"/>
            <w:tcBorders>
              <w:top w:val="nil"/>
              <w:bottom w:val="single" w:sz="12" w:space="0" w:color="1F497D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17"/>
              </w:rPr>
              <w:t>keyless</w:t>
            </w:r>
          </w:p>
        </w:tc>
        <w:tc>
          <w:tcPr>
            <w:tcW w:type="dxa" w:w="2160"/>
            <w:tcBorders>
              <w:top w:val="nil"/>
              <w:bottom w:val="single" w:sz="12" w:space="0" w:color="1F497D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17"/>
              </w:rPr>
              <w:t>2019–2026</w:t>
            </w:r>
          </w:p>
        </w:tc>
      </w:tr>
    </w:tbl>
    <w:p>
      <w:pPr>
        <w:spacing w:after="40"/>
      </w:pPr>
    </w:p>
    <w:p>
      <w:pPr>
        <w:spacing w:after="160"/>
        <w:jc w:val="both"/>
      </w:pPr>
      <w:r>
        <w:rPr>
          <w:i/>
          <w:color w:val="6A6A6A"/>
          <w:sz w:val="17"/>
        </w:rPr>
        <w:t>*Euro IP (OECD MEI series) was discontinued in 2024; it is retained but reverts to NaN thereafter (staleness rule, §2). Russian→EU pipeline flow (ENTSOG) is deferred to Milestone 3 (point-key resolution pending) — it is highly collinear with the war-regime indicator and the EU-storage drawdown, so M2 does not depend on it.</w:t>
      </w:r>
    </w:p>
    <w:p>
      <w:pPr>
        <w:pStyle w:val="Heading1"/>
      </w:pPr>
      <w:r>
        <w:t>2. Time-Series Structural Alignment</w:t>
      </w:r>
    </w:p>
    <w:p>
      <w:pPr>
        <w:spacing w:after="120"/>
        <w:jc w:val="both"/>
      </w:pPr>
      <w:r>
        <w:rPr>
          <w:b/>
          <w:color w:val="1F497D"/>
          <w:sz w:val="20"/>
        </w:rPr>
        <w:t xml:space="preserve">Master calendar. </w:t>
      </w:r>
      <w:r>
        <w:rPr>
          <w:sz w:val="20"/>
        </w:rPr>
        <w:t>The decision grid is the union of gas trading days. Every observation carries two dates: event_date (the period it describes) and available_at (when it was first publishable in reality). All joins use pandas.merge_asof(direction='backward') keyed on available_at — never on event_date — so a value enters the grid only once a market participant could actually have known it.</w:t>
      </w:r>
    </w:p>
    <w:p>
      <w:pPr>
        <w:spacing w:after="120"/>
        <w:jc w:val="both"/>
      </w:pPr>
      <w:r>
        <w:rPr>
          <w:b/>
          <w:color w:val="1F497D"/>
          <w:sz w:val="20"/>
        </w:rPr>
        <w:t xml:space="preserve">Publication lags. </w:t>
      </w:r>
      <w:r>
        <w:rPr>
          <w:sz w:val="20"/>
        </w:rPr>
        <w:t>Each series carries a conservative (upper-bound) release rule and a frequency-based staleness tolerance, beyond which a discontinued series reverts to NaN rather than being carried forward indefinitely: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6" w:type="dxa"/>
          <w:bottom w:w="46" w:type="dxa"/>
          <w:left w:w="110" w:type="dxa"/>
          <w:right w:w="110" w:type="dxa"/>
        </w:tblCellMar>
      </w:tblPr>
      <w:tblGrid>
        <w:gridCol w:w="2160"/>
        <w:gridCol w:w="2160"/>
        <w:gridCol w:w="2160"/>
        <w:gridCol w:w="2160"/>
      </w:tblGrid>
      <w:tr>
        <w:trPr>
          <w:cantSplit/>
          <w:tblHeader/>
        </w:trPr>
        <w:tc>
          <w:tcPr>
            <w:tcW w:type="dxa" w:w="1440"/>
            <w:tcBorders>
              <w:top w:val="single" w:sz="12" w:space="0" w:color="1F497D"/>
              <w:bottom w:val="single" w:sz="8" w:space="0" w:color="1F497D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b/>
                <w:color w:val="1F497D"/>
                <w:sz w:val="17"/>
              </w:rPr>
              <w:t>Series</w:t>
            </w:r>
          </w:p>
        </w:tc>
        <w:tc>
          <w:tcPr>
            <w:tcW w:type="dxa" w:w="1656"/>
            <w:tcBorders>
              <w:top w:val="single" w:sz="12" w:space="0" w:color="1F497D"/>
              <w:bottom w:val="single" w:sz="8" w:space="0" w:color="1F497D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b/>
                <w:color w:val="1F497D"/>
                <w:sz w:val="17"/>
              </w:rPr>
              <w:t>Freq.</w:t>
            </w:r>
          </w:p>
        </w:tc>
        <w:tc>
          <w:tcPr>
            <w:tcW w:type="dxa" w:w="5112"/>
            <w:tcBorders>
              <w:top w:val="single" w:sz="12" w:space="0" w:color="1F497D"/>
              <w:bottom w:val="single" w:sz="8" w:space="0" w:color="1F497D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b/>
                <w:color w:val="1F497D"/>
                <w:sz w:val="17"/>
              </w:rPr>
              <w:t>available_at rule</w:t>
            </w:r>
          </w:p>
        </w:tc>
        <w:tc>
          <w:tcPr>
            <w:tcW w:type="dxa" w:w="1152"/>
            <w:tcBorders>
              <w:top w:val="single" w:sz="12" w:space="0" w:color="1F497D"/>
              <w:bottom w:val="single" w:sz="8" w:space="0" w:color="1F497D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b/>
                <w:color w:val="1F497D"/>
                <w:sz w:val="17"/>
              </w:rPr>
              <w:t>Stale tol.</w:t>
            </w:r>
          </w:p>
        </w:tc>
      </w:tr>
      <w:tr>
        <w:trPr>
          <w:cantSplit/>
        </w:trPr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market</w:t>
            </w:r>
          </w:p>
        </w:tc>
        <w:tc>
          <w:tcPr>
            <w:tcW w:type="dxa" w:w="165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daily (trading)</w:t>
            </w:r>
          </w:p>
        </w:tc>
        <w:tc>
          <w:tcPr>
            <w:tcW w:type="dxa" w:w="511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T+0 exchange settle (known at close of day)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7 d</w:t>
            </w:r>
          </w:p>
        </w:tc>
      </w:tr>
      <w:tr>
        <w:trPr>
          <w:cantSplit/>
        </w:trPr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us_storage</w:t>
            </w:r>
          </w:p>
        </w:tc>
        <w:tc>
          <w:tcPr>
            <w:tcW w:type="dxa" w:w="165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weekly</w:t>
            </w:r>
          </w:p>
        </w:tc>
        <w:tc>
          <w:tcPr>
            <w:tcW w:type="dxa" w:w="511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EIA weekly report: week-ending Fri released following Thu (≈T+6)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14 d</w:t>
            </w:r>
          </w:p>
        </w:tc>
      </w:tr>
      <w:tr>
        <w:trPr>
          <w:cantSplit/>
        </w:trPr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de_storage</w:t>
            </w:r>
          </w:p>
        </w:tc>
        <w:tc>
          <w:tcPr>
            <w:tcW w:type="dxa" w:w="165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daily (gas-day)</w:t>
            </w:r>
          </w:p>
        </w:tc>
        <w:tc>
          <w:tcPr>
            <w:tcW w:type="dxa" w:w="511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GIE AGSI+ gas-day published next morning (T+1)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10 d</w:t>
            </w:r>
          </w:p>
        </w:tc>
      </w:tr>
      <w:tr>
        <w:trPr>
          <w:cantSplit/>
        </w:trPr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es_lng</w:t>
            </w:r>
          </w:p>
        </w:tc>
        <w:tc>
          <w:tcPr>
            <w:tcW w:type="dxa" w:w="165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daily (gas-day)</w:t>
            </w:r>
          </w:p>
        </w:tc>
        <w:tc>
          <w:tcPr>
            <w:tcW w:type="dxa" w:w="511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GIE ALSI gas-day published next morning (T+1)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10 d</w:t>
            </w:r>
          </w:p>
        </w:tc>
      </w:tr>
      <w:tr>
        <w:trPr>
          <w:cantSplit/>
        </w:trPr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hdd</w:t>
            </w:r>
          </w:p>
        </w:tc>
        <w:tc>
          <w:tcPr>
            <w:tcW w:type="dxa" w:w="165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daily</w:t>
            </w:r>
          </w:p>
        </w:tc>
        <w:tc>
          <w:tcPr>
            <w:tcW w:type="dxa" w:w="511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Open-Meteo ERA5 reanalysis lag ≈ T+5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14 d</w:t>
            </w:r>
          </w:p>
        </w:tc>
      </w:tr>
      <w:tr>
        <w:trPr>
          <w:cantSplit/>
        </w:trPr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us_ip</w:t>
            </w:r>
          </w:p>
        </w:tc>
        <w:tc>
          <w:tcPr>
            <w:tcW w:type="dxa" w:w="165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monthly</w:t>
            </w:r>
          </w:p>
        </w:tc>
        <w:tc>
          <w:tcPr>
            <w:tcW w:type="dxa" w:w="511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FRED INDPRO released mid next month (conservative month-end +20d)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45 d</w:t>
            </w:r>
          </w:p>
        </w:tc>
      </w:tr>
      <w:tr>
        <w:trPr>
          <w:cantSplit/>
        </w:trPr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euro_ip</w:t>
            </w:r>
          </w:p>
        </w:tc>
        <w:tc>
          <w:tcPr>
            <w:tcW w:type="dxa" w:w="165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monthly</w:t>
            </w:r>
          </w:p>
        </w:tc>
        <w:tc>
          <w:tcPr>
            <w:tcW w:type="dxa" w:w="511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Eurostat euro-area IP released ≈ month-end +45d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45 d</w:t>
            </w:r>
          </w:p>
        </w:tc>
      </w:tr>
      <w:tr>
        <w:trPr>
          <w:cantSplit/>
        </w:trPr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gpr</w:t>
            </w:r>
          </w:p>
        </w:tc>
        <w:tc>
          <w:tcPr>
            <w:tcW w:type="dxa" w:w="165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monthly</w:t>
            </w:r>
          </w:p>
        </w:tc>
        <w:tc>
          <w:tcPr>
            <w:tcW w:type="dxa" w:w="511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Caldara-Iacoviello GPR updated ≈ 10th of next month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45 d</w:t>
            </w:r>
          </w:p>
        </w:tc>
      </w:tr>
      <w:tr>
        <w:trPr>
          <w:cantSplit/>
        </w:trPr>
        <w:tc>
          <w:tcPr>
            <w:tcW w:type="dxa" w:w="1440"/>
            <w:tcBorders>
              <w:top w:val="nil"/>
              <w:bottom w:val="single" w:sz="12" w:space="0" w:color="1F497D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17"/>
              </w:rPr>
              <w:t>epu</w:t>
            </w:r>
          </w:p>
        </w:tc>
        <w:tc>
          <w:tcPr>
            <w:tcW w:type="dxa" w:w="1656"/>
            <w:tcBorders>
              <w:top w:val="nil"/>
              <w:bottom w:val="single" w:sz="12" w:space="0" w:color="1F497D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17"/>
              </w:rPr>
              <w:t>monthly</w:t>
            </w:r>
          </w:p>
        </w:tc>
        <w:tc>
          <w:tcPr>
            <w:tcW w:type="dxa" w:w="5112"/>
            <w:tcBorders>
              <w:top w:val="nil"/>
              <w:bottom w:val="single" w:sz="12" w:space="0" w:color="1F497D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17"/>
              </w:rPr>
              <w:t>EPU Europe published early next month (≈ month-end +7d)</w:t>
            </w:r>
          </w:p>
        </w:tc>
        <w:tc>
          <w:tcPr>
            <w:tcW w:type="dxa" w:w="1152"/>
            <w:tcBorders>
              <w:top w:val="nil"/>
              <w:bottom w:val="single" w:sz="12" w:space="0" w:color="1F497D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17"/>
              </w:rPr>
              <w:t>45 d</w:t>
            </w:r>
          </w:p>
        </w:tc>
      </w:tr>
    </w:tbl>
    <w:p>
      <w:pPr>
        <w:spacing w:after="40"/>
      </w:pPr>
    </w:p>
    <w:p>
      <w:pPr>
        <w:spacing w:after="120"/>
        <w:jc w:val="both"/>
      </w:pPr>
      <w:r>
        <w:rPr>
          <w:b/>
          <w:color w:val="1F497D"/>
          <w:sz w:val="20"/>
        </w:rPr>
        <w:t xml:space="preserve">Leakage proof. </w:t>
      </w:r>
      <w:r>
        <w:rPr>
          <w:sz w:val="20"/>
        </w:rPr>
        <w:t>A point-in-time snapshot on 2022-02-25 (first trading day after the Russian invasion) makes the lag structure explicit — on that day the model knew only January macro/risk values, not February's: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6" w:type="dxa"/>
          <w:bottom w:w="46" w:type="dxa"/>
          <w:left w:w="110" w:type="dxa"/>
          <w:right w:w="110" w:type="dxa"/>
        </w:tblCellMar>
      </w:tblPr>
      <w:tblGrid>
        <w:gridCol w:w="1728"/>
        <w:gridCol w:w="1728"/>
        <w:gridCol w:w="1728"/>
        <w:gridCol w:w="1728"/>
        <w:gridCol w:w="1728"/>
      </w:tblGrid>
      <w:tr>
        <w:trPr>
          <w:cantSplit/>
          <w:tblHeader/>
        </w:trPr>
        <w:tc>
          <w:tcPr>
            <w:tcW w:type="dxa" w:w="1656"/>
            <w:tcBorders>
              <w:top w:val="single" w:sz="12" w:space="0" w:color="1F497D"/>
              <w:bottom w:val="single" w:sz="8" w:space="0" w:color="1F497D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b/>
                <w:color w:val="1F497D"/>
                <w:sz w:val="17"/>
              </w:rPr>
              <w:t>Series</w:t>
            </w:r>
          </w:p>
        </w:tc>
        <w:tc>
          <w:tcPr>
            <w:tcW w:type="dxa" w:w="1800"/>
            <w:tcBorders>
              <w:top w:val="single" w:sz="12" w:space="0" w:color="1F497D"/>
              <w:bottom w:val="single" w:sz="8" w:space="0" w:color="1F497D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b/>
                <w:color w:val="1F497D"/>
                <w:sz w:val="17"/>
              </w:rPr>
              <w:t>Freq.</w:t>
            </w:r>
          </w:p>
        </w:tc>
        <w:tc>
          <w:tcPr>
            <w:tcW w:type="dxa" w:w="1656"/>
            <w:tcBorders>
              <w:top w:val="single" w:sz="12" w:space="0" w:color="1F497D"/>
              <w:bottom w:val="single" w:sz="8" w:space="0" w:color="1F497D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b/>
                <w:color w:val="1F497D"/>
                <w:sz w:val="17"/>
              </w:rPr>
              <w:t>event_date</w:t>
            </w:r>
          </w:p>
        </w:tc>
        <w:tc>
          <w:tcPr>
            <w:tcW w:type="dxa" w:w="1656"/>
            <w:tcBorders>
              <w:top w:val="single" w:sz="12" w:space="0" w:color="1F497D"/>
              <w:bottom w:val="single" w:sz="8" w:space="0" w:color="1F497D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b/>
                <w:color w:val="1F497D"/>
                <w:sz w:val="17"/>
              </w:rPr>
              <w:t>available_at</w:t>
            </w:r>
          </w:p>
        </w:tc>
        <w:tc>
          <w:tcPr>
            <w:tcW w:type="dxa" w:w="1152"/>
            <w:tcBorders>
              <w:top w:val="single" w:sz="12" w:space="0" w:color="1F497D"/>
              <w:bottom w:val="single" w:sz="8" w:space="0" w:color="1F497D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b/>
                <w:color w:val="1F497D"/>
                <w:sz w:val="17"/>
              </w:rPr>
              <w:t>age (d)</w:t>
            </w:r>
          </w:p>
        </w:tc>
      </w:tr>
      <w:tr>
        <w:trPr>
          <w:cantSplit/>
        </w:trPr>
        <w:tc>
          <w:tcPr>
            <w:tcW w:type="dxa" w:w="165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market</w:t>
            </w:r>
          </w:p>
        </w:tc>
        <w:tc>
          <w:tcPr>
            <w:tcW w:type="dxa" w:w="180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daily (trading)</w:t>
            </w:r>
          </w:p>
        </w:tc>
        <w:tc>
          <w:tcPr>
            <w:tcW w:type="dxa" w:w="165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2022-02-25</w:t>
            </w:r>
          </w:p>
        </w:tc>
        <w:tc>
          <w:tcPr>
            <w:tcW w:type="dxa" w:w="165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2022-02-25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165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us_storage</w:t>
            </w:r>
          </w:p>
        </w:tc>
        <w:tc>
          <w:tcPr>
            <w:tcW w:type="dxa" w:w="180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weekly</w:t>
            </w:r>
          </w:p>
        </w:tc>
        <w:tc>
          <w:tcPr>
            <w:tcW w:type="dxa" w:w="165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2022-02-18</w:t>
            </w:r>
          </w:p>
        </w:tc>
        <w:tc>
          <w:tcPr>
            <w:tcW w:type="dxa" w:w="165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2022-02-24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165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de_storage</w:t>
            </w:r>
          </w:p>
        </w:tc>
        <w:tc>
          <w:tcPr>
            <w:tcW w:type="dxa" w:w="180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daily (gas-day)</w:t>
            </w:r>
          </w:p>
        </w:tc>
        <w:tc>
          <w:tcPr>
            <w:tcW w:type="dxa" w:w="165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2022-02-24</w:t>
            </w:r>
          </w:p>
        </w:tc>
        <w:tc>
          <w:tcPr>
            <w:tcW w:type="dxa" w:w="165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2022-02-25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165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es_lng</w:t>
            </w:r>
          </w:p>
        </w:tc>
        <w:tc>
          <w:tcPr>
            <w:tcW w:type="dxa" w:w="180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daily (gas-day)</w:t>
            </w:r>
          </w:p>
        </w:tc>
        <w:tc>
          <w:tcPr>
            <w:tcW w:type="dxa" w:w="165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2022-02-24</w:t>
            </w:r>
          </w:p>
        </w:tc>
        <w:tc>
          <w:tcPr>
            <w:tcW w:type="dxa" w:w="165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2022-02-25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165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hdd</w:t>
            </w:r>
          </w:p>
        </w:tc>
        <w:tc>
          <w:tcPr>
            <w:tcW w:type="dxa" w:w="180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daily</w:t>
            </w:r>
          </w:p>
        </w:tc>
        <w:tc>
          <w:tcPr>
            <w:tcW w:type="dxa" w:w="165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2022-02-20</w:t>
            </w:r>
          </w:p>
        </w:tc>
        <w:tc>
          <w:tcPr>
            <w:tcW w:type="dxa" w:w="165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2022-02-25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165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us_ip</w:t>
            </w:r>
          </w:p>
        </w:tc>
        <w:tc>
          <w:tcPr>
            <w:tcW w:type="dxa" w:w="180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monthly</w:t>
            </w:r>
          </w:p>
        </w:tc>
        <w:tc>
          <w:tcPr>
            <w:tcW w:type="dxa" w:w="165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2022-01-01</w:t>
            </w:r>
          </w:p>
        </w:tc>
        <w:tc>
          <w:tcPr>
            <w:tcW w:type="dxa" w:w="165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2022-02-20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7"/>
              </w:rPr>
              <w:t>55</w:t>
            </w:r>
          </w:p>
        </w:tc>
      </w:tr>
      <w:tr>
        <w:trPr>
          <w:cantSplit/>
        </w:trPr>
        <w:tc>
          <w:tcPr>
            <w:tcW w:type="dxa" w:w="165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euro_ip</w:t>
            </w:r>
          </w:p>
        </w:tc>
        <w:tc>
          <w:tcPr>
            <w:tcW w:type="dxa" w:w="180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monthly</w:t>
            </w:r>
          </w:p>
        </w:tc>
        <w:tc>
          <w:tcPr>
            <w:tcW w:type="dxa" w:w="165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2021-12-01</w:t>
            </w:r>
          </w:p>
        </w:tc>
        <w:tc>
          <w:tcPr>
            <w:tcW w:type="dxa" w:w="165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2022-02-14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7"/>
              </w:rPr>
              <w:t>86</w:t>
            </w:r>
          </w:p>
        </w:tc>
      </w:tr>
      <w:tr>
        <w:trPr>
          <w:cantSplit/>
        </w:trPr>
        <w:tc>
          <w:tcPr>
            <w:tcW w:type="dxa" w:w="165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gpr</w:t>
            </w:r>
          </w:p>
        </w:tc>
        <w:tc>
          <w:tcPr>
            <w:tcW w:type="dxa" w:w="180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monthly</w:t>
            </w:r>
          </w:p>
        </w:tc>
        <w:tc>
          <w:tcPr>
            <w:tcW w:type="dxa" w:w="165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2022-01-01</w:t>
            </w:r>
          </w:p>
        </w:tc>
        <w:tc>
          <w:tcPr>
            <w:tcW w:type="dxa" w:w="165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2022-02-10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7"/>
              </w:rPr>
              <w:t>55</w:t>
            </w:r>
          </w:p>
        </w:tc>
      </w:tr>
      <w:tr>
        <w:trPr>
          <w:cantSplit/>
        </w:trPr>
        <w:tc>
          <w:tcPr>
            <w:tcW w:type="dxa" w:w="1656"/>
            <w:tcBorders>
              <w:top w:val="nil"/>
              <w:bottom w:val="single" w:sz="12" w:space="0" w:color="1F497D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17"/>
              </w:rPr>
              <w:t>epu</w:t>
            </w:r>
          </w:p>
        </w:tc>
        <w:tc>
          <w:tcPr>
            <w:tcW w:type="dxa" w:w="1800"/>
            <w:tcBorders>
              <w:top w:val="nil"/>
              <w:bottom w:val="single" w:sz="12" w:space="0" w:color="1F497D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17"/>
              </w:rPr>
              <w:t>monthly</w:t>
            </w:r>
          </w:p>
        </w:tc>
        <w:tc>
          <w:tcPr>
            <w:tcW w:type="dxa" w:w="1656"/>
            <w:tcBorders>
              <w:top w:val="nil"/>
              <w:bottom w:val="single" w:sz="12" w:space="0" w:color="1F497D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17"/>
              </w:rPr>
              <w:t>2022-01-01</w:t>
            </w:r>
          </w:p>
        </w:tc>
        <w:tc>
          <w:tcPr>
            <w:tcW w:type="dxa" w:w="1656"/>
            <w:tcBorders>
              <w:top w:val="nil"/>
              <w:bottom w:val="single" w:sz="12" w:space="0" w:color="1F497D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17"/>
              </w:rPr>
              <w:t>2022-02-07</w:t>
            </w:r>
          </w:p>
        </w:tc>
        <w:tc>
          <w:tcPr>
            <w:tcW w:type="dxa" w:w="1152"/>
            <w:tcBorders>
              <w:top w:val="nil"/>
              <w:bottom w:val="single" w:sz="12" w:space="0" w:color="1F497D"/>
              <w:left w:val="nil"/>
              <w:right w:val="nil"/>
            </w:tcBorders>
          </w:tcPr>
          <w:p>
            <w:pPr>
              <w:jc w:val="right"/>
            </w:pPr>
            <w:r/>
            <w:r>
              <w:rPr>
                <w:sz w:val="17"/>
              </w:rPr>
              <w:t>55</w:t>
            </w:r>
          </w:p>
        </w:tc>
      </w:tr>
    </w:tbl>
    <w:p>
      <w:pPr>
        <w:spacing w:after="40"/>
      </w:pPr>
    </w:p>
    <w:p>
      <w:pPr>
        <w:spacing w:after="120"/>
        <w:jc w:val="both"/>
      </w:pPr>
      <w:r>
        <w:rPr>
          <w:sz w:val="20"/>
        </w:rPr>
        <w:t>A unit-test suite (tests/test_alignment.py) asserts available_at ≤ cutoff and event_date ≤ cutoff for all nine series across all 1,870 days, that T+1 fundamentals are never used same-day, and that no series is stale-forwarded beyond tolerance — all five tests pass.</w:t>
      </w:r>
    </w:p>
    <w:p>
      <w:pPr>
        <w:pStyle w:val="Heading1"/>
      </w:pPr>
      <w:r>
        <w:t>3. Scale Disparities &amp; Missing Data</w:t>
      </w:r>
    </w:p>
    <w:p>
      <w:pPr>
        <w:spacing w:after="120"/>
        <w:jc w:val="both"/>
      </w:pPr>
      <w:r>
        <w:rPr>
          <w:b/>
          <w:color w:val="1F497D"/>
          <w:sz w:val="20"/>
        </w:rPr>
        <w:t xml:space="preserve">Missing data. </w:t>
      </w:r>
      <w:r>
        <w:rPr>
          <w:sz w:val="20"/>
        </w:rPr>
        <w:t>Values are handled by mechanism, with provenance flags — never silently imputed: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6" w:type="dxa"/>
          <w:bottom w:w="46" w:type="dxa"/>
          <w:left w:w="110" w:type="dxa"/>
          <w:right w:w="110" w:type="dxa"/>
        </w:tblCellMar>
      </w:tblPr>
      <w:tblGrid>
        <w:gridCol w:w="2880"/>
        <w:gridCol w:w="2880"/>
        <w:gridCol w:w="2880"/>
      </w:tblGrid>
      <w:tr>
        <w:trPr>
          <w:cantSplit/>
          <w:tblHeader/>
        </w:trPr>
        <w:tc>
          <w:tcPr>
            <w:tcW w:type="dxa" w:w="2952"/>
            <w:tcBorders>
              <w:top w:val="single" w:sz="12" w:space="0" w:color="1F497D"/>
              <w:bottom w:val="single" w:sz="8" w:space="0" w:color="1F497D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b/>
                <w:color w:val="1F497D"/>
                <w:sz w:val="17"/>
              </w:rPr>
              <w:t>Situation</w:t>
            </w:r>
          </w:p>
        </w:tc>
        <w:tc>
          <w:tcPr>
            <w:tcW w:type="dxa" w:w="3240"/>
            <w:tcBorders>
              <w:top w:val="single" w:sz="12" w:space="0" w:color="1F497D"/>
              <w:bottom w:val="single" w:sz="8" w:space="0" w:color="1F497D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b/>
                <w:color w:val="1F497D"/>
                <w:sz w:val="17"/>
              </w:rPr>
              <w:t>Treatment</w:t>
            </w:r>
          </w:p>
        </w:tc>
        <w:tc>
          <w:tcPr>
            <w:tcW w:type="dxa" w:w="3168"/>
            <w:tcBorders>
              <w:top w:val="single" w:sz="12" w:space="0" w:color="1F497D"/>
              <w:bottom w:val="single" w:sz="8" w:space="0" w:color="1F497D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b/>
                <w:color w:val="1F497D"/>
                <w:sz w:val="17"/>
              </w:rPr>
              <w:t>Rationale</w:t>
            </w:r>
          </w:p>
        </w:tc>
      </w:tr>
      <w:tr>
        <w:trPr>
          <w:cantSplit/>
        </w:trPr>
        <w:tc>
          <w:tcPr>
            <w:tcW w:type="dxa" w:w="295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Cross-market holidays (price/FX)</w:t>
            </w:r>
          </w:p>
        </w:tc>
        <w:tc>
          <w:tcPr>
            <w:tcW w:type="dxa" w:w="324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forward-fill ≤ 2 trading days, flag stale</w:t>
            </w:r>
          </w:p>
        </w:tc>
        <w:tc>
          <w:tcPr>
            <w:tcW w:type="dxa" w:w="316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short-horizon mean-reverting; 2–3 cells/series</w:t>
            </w:r>
          </w:p>
        </w:tc>
      </w:tr>
      <w:tr>
        <w:trPr>
          <w:cantSplit/>
        </w:trPr>
        <w:tc>
          <w:tcPr>
            <w:tcW w:type="dxa" w:w="295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Monthly/weekly before first release</w:t>
            </w:r>
          </w:p>
        </w:tc>
        <w:tc>
          <w:tcPr>
            <w:tcW w:type="dxa" w:w="324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leave NaN (no backfill)</w:t>
            </w:r>
          </w:p>
        </w:tc>
        <w:tc>
          <w:tcPr>
            <w:tcW w:type="dxa" w:w="316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back-filling would fabricate early signal</w:t>
            </w:r>
          </w:p>
        </w:tc>
      </w:tr>
      <w:tr>
        <w:trPr>
          <w:cantSplit/>
        </w:trPr>
        <w:tc>
          <w:tcPr>
            <w:tcW w:type="dxa" w:w="295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Discontinued series (euro IP)</w:t>
            </w:r>
          </w:p>
        </w:tc>
        <w:tc>
          <w:tcPr>
            <w:tcW w:type="dxa" w:w="324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NaN past tolerance window</w:t>
            </w:r>
          </w:p>
        </w:tc>
        <w:tc>
          <w:tcPr>
            <w:tcW w:type="dxa" w:w="316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7"/>
              </w:rPr>
              <w:t>avoid propagating a years-old value</w:t>
            </w:r>
          </w:p>
        </w:tc>
      </w:tr>
      <w:tr>
        <w:trPr>
          <w:cantSplit/>
        </w:trPr>
        <w:tc>
          <w:tcPr>
            <w:tcW w:type="dxa" w:w="2952"/>
            <w:tcBorders>
              <w:top w:val="nil"/>
              <w:bottom w:val="single" w:sz="12" w:space="0" w:color="1F497D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17"/>
              </w:rPr>
              <w:t>ENTSOG flow = 0 (when added)</w:t>
            </w:r>
          </w:p>
        </w:tc>
        <w:tc>
          <w:tcPr>
            <w:tcW w:type="dxa" w:w="3240"/>
            <w:tcBorders>
              <w:top w:val="nil"/>
              <w:bottom w:val="single" w:sz="12" w:space="0" w:color="1F497D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17"/>
              </w:rPr>
              <w:t>keep 0, flag zero</w:t>
            </w:r>
          </w:p>
        </w:tc>
        <w:tc>
          <w:tcPr>
            <w:tcW w:type="dxa" w:w="3168"/>
            <w:tcBorders>
              <w:top w:val="nil"/>
              <w:bottom w:val="single" w:sz="12" w:space="0" w:color="1F497D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17"/>
              </w:rPr>
              <w:t>0 is a real pipeline shut-in, not missing</w:t>
            </w:r>
          </w:p>
        </w:tc>
      </w:tr>
    </w:tbl>
    <w:p>
      <w:pPr>
        <w:spacing w:after="40"/>
      </w:pPr>
    </w:p>
    <w:p>
      <w:pPr>
        <w:spacing w:after="120"/>
        <w:jc w:val="both"/>
      </w:pPr>
      <w:r>
        <w:rPr>
          <w:b/>
          <w:color w:val="1F497D"/>
          <w:sz w:val="20"/>
        </w:rPr>
        <w:t xml:space="preserve">Outliers. </w:t>
      </w:r>
      <w:r>
        <w:rPr>
          <w:sz w:val="20"/>
        </w:rPr>
        <w:t>Extremes are flagged, never winsorized — the 2020/2022/2026 regime extremes ARE the object of study. A rolling 30-day robust-MAD screen (k=6) writes 161 flags to outliers.csv; as a sanity check the invasion window (2022-02-24…03-15) surfaces TTF, JKM and both spreads. The screen also exposes JKM's low-liquidity quoting (flat runs punctuated by jumps), an operational caveat carried into the pitch.</w:t>
      </w:r>
    </w:p>
    <w:p>
      <w:pPr>
        <w:spacing w:after="120"/>
        <w:jc w:val="both"/>
      </w:pPr>
      <w:r>
        <w:rPr>
          <w:b/>
          <w:color w:val="1F497D"/>
          <w:sz w:val="20"/>
        </w:rPr>
        <w:t xml:space="preserve">Scaling. </w:t>
      </w:r>
      <w:r>
        <w:rPr>
          <w:sz w:val="20"/>
        </w:rPr>
        <w:t>Dual-track and strictly causal. Levels (with spreads) live in master_clean.parquet; the modelling matrix master_scaled.parquet uses log-returns and a rolling 252-day z-score (min 126) — never full-sample statistics, which would leak the future. Bounded storage % uses a logit; LNG send-out uses log1p; index levels use YoY. TTF is converted to USD/MMBtu (× EUR/USD ÷ 3.41214) so the spreads are unit-consistent.</w:t>
      </w:r>
    </w:p>
    <w:p>
      <w:pPr>
        <w:pStyle w:val="Heading1"/>
      </w:pPr>
      <w:r>
        <w:t>4. Exploratory Findings</w:t>
      </w:r>
    </w:p>
    <w:p>
      <w:pPr>
        <w:spacing w:after="120"/>
        <w:jc w:val="both"/>
      </w:pPr>
      <w:r>
        <w:rPr>
          <w:sz w:val="20"/>
        </w:rPr>
        <w:t>The cross-basin spreads collapse to near-zero in calm periods (Law of One Price) and blow out under supply stress: TTF–HH peaks near 90 USD/MMBtu during the 2022 energy crisis and re-widens during the 2026 Hormuz closure, while U.S. Henry Hub barely moves — it is insulated from the chokepoint.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26600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sprea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60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1F497D"/>
          <w:sz w:val="17"/>
        </w:rPr>
        <w:t xml:space="preserve">Figure 1.  </w:t>
      </w:r>
      <w:r>
        <w:rPr>
          <w:i/>
          <w:color w:val="6A6A6A"/>
          <w:sz w:val="17"/>
        </w:rPr>
        <w:t>Cross-basin spreads (USD/MMBtu) with regime shading. Near-zero under Law-of-One-Price; TTF–HH blows out to ~90 in the 2022 war and re-widens in the 2026 Hormuz closure.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26600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pri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60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1F497D"/>
          <w:sz w:val="17"/>
        </w:rPr>
        <w:t xml:space="preserve">Figure 2.  </w:t>
      </w:r>
      <w:r>
        <w:rPr>
          <w:i/>
          <w:color w:val="6A6A6A"/>
          <w:sz w:val="17"/>
        </w:rPr>
        <w:t>Benchmarks in common units, Brent on the right axis. Henry Hub stays low and stable while TTF and JKM spike together under stress.</w:t>
      </w:r>
    </w:p>
    <w:p>
      <w:pPr>
        <w:spacing w:after="120"/>
        <w:jc w:val="both"/>
      </w:pPr>
      <w:r>
        <w:rPr>
          <w:sz w:val="20"/>
        </w:rPr>
        <w:t>Regime means confirm the structure: the European supply premium and Russia-specific geopolitical risk peak in the 2022 war, while the 2026 Hormuz closure lifts TTF, JKM and Brent together as Henry Hub stays flat.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6" w:type="dxa"/>
          <w:bottom w:w="46" w:type="dxa"/>
          <w:left w:w="110" w:type="dxa"/>
          <w:right w:w="110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cantSplit/>
          <w:tblHeader/>
        </w:trPr>
        <w:tc>
          <w:tcPr>
            <w:tcW w:type="dxa" w:w="1656"/>
            <w:tcBorders>
              <w:top w:val="single" w:sz="12" w:space="0" w:color="1F497D"/>
              <w:bottom w:val="single" w:sz="8" w:space="0" w:color="1F497D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b/>
                <w:color w:val="1F497D"/>
                <w:sz w:val="18"/>
              </w:rPr>
              <w:t>regime</w:t>
            </w:r>
          </w:p>
        </w:tc>
        <w:tc>
          <w:tcPr>
            <w:tcW w:type="dxa" w:w="1368"/>
            <w:tcBorders>
              <w:top w:val="single" w:sz="12" w:space="0" w:color="1F497D"/>
              <w:bottom w:val="single" w:sz="8" w:space="0" w:color="1F497D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b/>
                <w:color w:val="1F497D"/>
                <w:sz w:val="18"/>
              </w:rPr>
              <w:t>TTF–HH</w:t>
            </w:r>
          </w:p>
        </w:tc>
        <w:tc>
          <w:tcPr>
            <w:tcW w:type="dxa" w:w="1368"/>
            <w:tcBorders>
              <w:top w:val="single" w:sz="12" w:space="0" w:color="1F497D"/>
              <w:bottom w:val="single" w:sz="8" w:space="0" w:color="1F497D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b/>
                <w:color w:val="1F497D"/>
                <w:sz w:val="18"/>
              </w:rPr>
              <w:t>TTF–JKM</w:t>
            </w:r>
          </w:p>
        </w:tc>
        <w:tc>
          <w:tcPr>
            <w:tcW w:type="dxa" w:w="1152"/>
            <w:tcBorders>
              <w:top w:val="single" w:sz="12" w:space="0" w:color="1F497D"/>
              <w:bottom w:val="single" w:sz="8" w:space="0" w:color="1F497D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b/>
                <w:color w:val="1F497D"/>
                <w:sz w:val="18"/>
              </w:rPr>
              <w:t>TTF</w:t>
            </w:r>
          </w:p>
        </w:tc>
        <w:tc>
          <w:tcPr>
            <w:tcW w:type="dxa" w:w="1008"/>
            <w:tcBorders>
              <w:top w:val="single" w:sz="12" w:space="0" w:color="1F497D"/>
              <w:bottom w:val="single" w:sz="8" w:space="0" w:color="1F497D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b/>
                <w:color w:val="1F497D"/>
                <w:sz w:val="18"/>
              </w:rPr>
              <w:t>HH</w:t>
            </w:r>
          </w:p>
        </w:tc>
        <w:tc>
          <w:tcPr>
            <w:tcW w:type="dxa" w:w="1152"/>
            <w:tcBorders>
              <w:top w:val="single" w:sz="12" w:space="0" w:color="1F497D"/>
              <w:bottom w:val="single" w:sz="8" w:space="0" w:color="1F497D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b/>
                <w:color w:val="1F497D"/>
                <w:sz w:val="18"/>
              </w:rPr>
              <w:t>GPR</w:t>
            </w:r>
          </w:p>
        </w:tc>
        <w:tc>
          <w:tcPr>
            <w:tcW w:type="dxa" w:w="1656"/>
            <w:tcBorders>
              <w:top w:val="single" w:sz="12" w:space="0" w:color="1F497D"/>
              <w:bottom w:val="single" w:sz="8" w:space="0" w:color="1F497D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b/>
                <w:color w:val="1F497D"/>
                <w:sz w:val="18"/>
              </w:rPr>
              <w:t>GPRC_RUS</w:t>
            </w:r>
          </w:p>
        </w:tc>
      </w:tr>
      <w:tr>
        <w:trPr>
          <w:cantSplit/>
        </w:trPr>
        <w:tc>
          <w:tcPr>
            <w:tcW w:type="dxa" w:w="165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8"/>
              </w:rPr>
              <w:t>normal</w:t>
            </w:r>
          </w:p>
        </w:tc>
        <w:tc>
          <w:tcPr>
            <w:tcW w:type="dxa" w:w="136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8"/>
              </w:rPr>
              <w:t>7.44</w:t>
            </w:r>
          </w:p>
        </w:tc>
        <w:tc>
          <w:tcPr>
            <w:tcW w:type="dxa" w:w="136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8"/>
              </w:rPr>
              <w:t>-0.88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8"/>
              </w:rPr>
              <w:t>10.46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8"/>
              </w:rPr>
              <w:t>3.02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8"/>
              </w:rPr>
              <w:t>109.45</w:t>
            </w:r>
          </w:p>
        </w:tc>
        <w:tc>
          <w:tcPr>
            <w:tcW w:type="dxa" w:w="165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8"/>
              </w:rPr>
              <w:t>1.17</w:t>
            </w:r>
          </w:p>
        </w:tc>
      </w:tr>
      <w:tr>
        <w:trPr>
          <w:cantSplit/>
        </w:trPr>
        <w:tc>
          <w:tcPr>
            <w:tcW w:type="dxa" w:w="165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8"/>
              </w:rPr>
              <w:t>covid</w:t>
            </w:r>
          </w:p>
        </w:tc>
        <w:tc>
          <w:tcPr>
            <w:tcW w:type="dxa" w:w="136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8"/>
              </w:rPr>
              <w:t>0.23</w:t>
            </w:r>
          </w:p>
        </w:tc>
        <w:tc>
          <w:tcPr>
            <w:tcW w:type="dxa" w:w="136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8"/>
              </w:rPr>
              <w:t>-0.43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8"/>
              </w:rPr>
              <w:t>1.98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8"/>
              </w:rPr>
              <w:t>1.74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8"/>
              </w:rPr>
              <w:t>74.17</w:t>
            </w:r>
          </w:p>
        </w:tc>
        <w:tc>
          <w:tcPr>
            <w:tcW w:type="dxa" w:w="165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8"/>
              </w:rPr>
              <w:t>0.45</w:t>
            </w:r>
          </w:p>
        </w:tc>
      </w:tr>
      <w:tr>
        <w:trPr>
          <w:cantSplit/>
        </w:trPr>
        <w:tc>
          <w:tcPr>
            <w:tcW w:type="dxa" w:w="165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8"/>
              </w:rPr>
              <w:t>ru_war</w:t>
            </w:r>
          </w:p>
        </w:tc>
        <w:tc>
          <w:tcPr>
            <w:tcW w:type="dxa" w:w="136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8"/>
              </w:rPr>
              <w:t>22.22</w:t>
            </w:r>
          </w:p>
        </w:tc>
        <w:tc>
          <w:tcPr>
            <w:tcW w:type="dxa" w:w="136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8"/>
              </w:rPr>
              <w:t>2.80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8"/>
              </w:rPr>
              <w:t>26.85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8"/>
              </w:rPr>
              <w:t>4.62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8"/>
              </w:rPr>
              <w:t>139.07</w:t>
            </w:r>
          </w:p>
        </w:tc>
        <w:tc>
          <w:tcPr>
            <w:tcW w:type="dxa" w:w="165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8"/>
              </w:rPr>
              <w:t>2.88</w:t>
            </w:r>
          </w:p>
        </w:tc>
      </w:tr>
      <w:tr>
        <w:trPr>
          <w:cantSplit/>
        </w:trPr>
        <w:tc>
          <w:tcPr>
            <w:tcW w:type="dxa" w:w="165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8"/>
              </w:rPr>
              <w:t>iran_war_2025</w:t>
            </w:r>
          </w:p>
        </w:tc>
        <w:tc>
          <w:tcPr>
            <w:tcW w:type="dxa" w:w="136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8"/>
              </w:rPr>
              <w:t>9.34</w:t>
            </w:r>
          </w:p>
        </w:tc>
        <w:tc>
          <w:tcPr>
            <w:tcW w:type="dxa" w:w="136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8"/>
              </w:rPr>
              <w:t>-0.65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8"/>
              </w:rPr>
              <w:t>13.09</w:t>
            </w:r>
          </w:p>
        </w:tc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8"/>
              </w:rPr>
              <w:t>3.75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8"/>
              </w:rPr>
              <w:t>166.05</w:t>
            </w:r>
          </w:p>
        </w:tc>
        <w:tc>
          <w:tcPr>
            <w:tcW w:type="dxa" w:w="165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8"/>
              </w:rPr>
              <w:t>1.49</w:t>
            </w:r>
          </w:p>
        </w:tc>
      </w:tr>
      <w:tr>
        <w:trPr>
          <w:cantSplit/>
        </w:trPr>
        <w:tc>
          <w:tcPr>
            <w:tcW w:type="dxa" w:w="1656"/>
            <w:tcBorders>
              <w:top w:val="nil"/>
              <w:bottom w:val="single" w:sz="12" w:space="0" w:color="1F497D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18"/>
              </w:rPr>
              <w:t>hormuz_2026</w:t>
            </w:r>
          </w:p>
        </w:tc>
        <w:tc>
          <w:tcPr>
            <w:tcW w:type="dxa" w:w="1368"/>
            <w:tcBorders>
              <w:top w:val="nil"/>
              <w:bottom w:val="single" w:sz="12" w:space="0" w:color="1F497D"/>
              <w:left w:val="nil"/>
              <w:right w:val="nil"/>
            </w:tcBorders>
          </w:tcPr>
          <w:p>
            <w:pPr>
              <w:jc w:val="right"/>
            </w:pPr>
            <w:r/>
            <w:r>
              <w:rPr>
                <w:sz w:val="18"/>
              </w:rPr>
              <w:t>13.63</w:t>
            </w:r>
          </w:p>
        </w:tc>
        <w:tc>
          <w:tcPr>
            <w:tcW w:type="dxa" w:w="1368"/>
            <w:tcBorders>
              <w:top w:val="nil"/>
              <w:bottom w:val="single" w:sz="12" w:space="0" w:color="1F497D"/>
              <w:left w:val="nil"/>
              <w:right w:val="nil"/>
            </w:tcBorders>
          </w:tcPr>
          <w:p>
            <w:pPr>
              <w:jc w:val="right"/>
            </w:pPr>
            <w:r/>
            <w:r>
              <w:rPr>
                <w:sz w:val="18"/>
              </w:rPr>
              <w:t>-1.47</w:t>
            </w:r>
          </w:p>
        </w:tc>
        <w:tc>
          <w:tcPr>
            <w:tcW w:type="dxa" w:w="1152"/>
            <w:tcBorders>
              <w:top w:val="nil"/>
              <w:bottom w:val="single" w:sz="12" w:space="0" w:color="1F497D"/>
              <w:left w:val="nil"/>
              <w:right w:val="nil"/>
            </w:tcBorders>
          </w:tcPr>
          <w:p>
            <w:pPr>
              <w:jc w:val="right"/>
            </w:pPr>
            <w:r/>
            <w:r>
              <w:rPr>
                <w:sz w:val="18"/>
              </w:rPr>
              <w:t>16.54</w:t>
            </w:r>
          </w:p>
        </w:tc>
        <w:tc>
          <w:tcPr>
            <w:tcW w:type="dxa" w:w="1008"/>
            <w:tcBorders>
              <w:top w:val="nil"/>
              <w:bottom w:val="single" w:sz="12" w:space="0" w:color="1F497D"/>
              <w:left w:val="nil"/>
              <w:right w:val="nil"/>
            </w:tcBorders>
          </w:tcPr>
          <w:p>
            <w:pPr>
              <w:jc w:val="right"/>
            </w:pPr>
            <w:r/>
            <w:r>
              <w:rPr>
                <w:sz w:val="18"/>
              </w:rPr>
              <w:t>2.91</w:t>
            </w:r>
          </w:p>
        </w:tc>
        <w:tc>
          <w:tcPr>
            <w:tcW w:type="dxa" w:w="1152"/>
            <w:tcBorders>
              <w:top w:val="nil"/>
              <w:bottom w:val="single" w:sz="12" w:space="0" w:color="1F497D"/>
              <w:left w:val="nil"/>
              <w:right w:val="nil"/>
            </w:tcBorders>
          </w:tcPr>
          <w:p>
            <w:pPr>
              <w:jc w:val="right"/>
            </w:pPr>
            <w:r/>
            <w:r>
              <w:rPr>
                <w:sz w:val="18"/>
              </w:rPr>
              <w:t>225.83</w:t>
            </w:r>
          </w:p>
        </w:tc>
        <w:tc>
          <w:tcPr>
            <w:tcW w:type="dxa" w:w="1656"/>
            <w:tcBorders>
              <w:top w:val="nil"/>
              <w:bottom w:val="single" w:sz="12" w:space="0" w:color="1F497D"/>
              <w:left w:val="nil"/>
              <w:right w:val="nil"/>
            </w:tcBorders>
          </w:tcPr>
          <w:p>
            <w:pPr>
              <w:jc w:val="right"/>
            </w:pPr>
            <w:r/>
            <w:r>
              <w:rPr>
                <w:sz w:val="18"/>
              </w:rPr>
              <w:t>1.84</w:t>
            </w:r>
          </w:p>
        </w:tc>
      </w:tr>
    </w:tbl>
    <w:p>
      <w:pPr>
        <w:spacing w:after="40"/>
      </w:pP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53560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corr_by_regi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6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1F497D"/>
          <w:sz w:val="17"/>
        </w:rPr>
        <w:t xml:space="preserve">Figure 3.  </w:t>
      </w:r>
      <w:r>
        <w:rPr>
          <w:i/>
          <w:color w:val="6A6A6A"/>
          <w:sz w:val="17"/>
        </w:rPr>
        <w:t>Correlation structure by regime (|r| ≥ 0.3 annotated). Cross-basin co-movement reorganises as supply stress sets in.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3604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missing_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0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1F497D"/>
          <w:sz w:val="17"/>
        </w:rPr>
        <w:t xml:space="preserve">Figure 4.  </w:t>
      </w:r>
      <w:r>
        <w:rPr>
          <w:i/>
          <w:color w:val="6A6A6A"/>
          <w:sz w:val="17"/>
        </w:rPr>
        <w:t>Missingness of the PIT-aligned master (black = NaN): pre-first-release gaps and the euro-IP discontinuation — no fabricated fills.</w:t>
      </w:r>
    </w:p>
    <w:p>
      <w:pPr>
        <w:keepNext/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25080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pc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08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1F497D"/>
          <w:sz w:val="17"/>
        </w:rPr>
        <w:t xml:space="preserve">Figure 5.  </w:t>
      </w:r>
      <w:r>
        <w:rPr>
          <w:i/>
          <w:color w:val="6A6A6A"/>
          <w:sz w:val="17"/>
        </w:rPr>
        <w:t>PCA preview (M3). PC1 (~29%) contrasts geopolitical risk with storage; the first three components explain ≈ 56% of variance.</w:t>
      </w:r>
    </w:p>
    <w:p>
      <w:pPr>
        <w:spacing w:after="120"/>
        <w:jc w:val="both"/>
      </w:pPr>
      <w:r>
        <w:rPr>
          <w:sz w:val="20"/>
        </w:rPr>
        <w:t>Stationarity (ADF + KPSS, reports/stationarity.csv): spread_ttf_hh is non-stationary in levels (persistent regime level-shifts), so Milestone 3 will difference it or condition on regime; spread_ttf_jkm and all z-scored daily features are stationary. Regime validation (validate_regimes.py): the structural break lands exactly on 2026-03-02 (TTF +39% in one day, Henry Hub −9%), confirming the Hormuz boundary data-drivenly.</w:t>
      </w:r>
    </w:p>
    <w:p>
      <w:pPr>
        <w:pStyle w:val="Heading1"/>
      </w:pPr>
      <w:r>
        <w:t>5. Operational Notes (pitch readiness)</w:t>
      </w:r>
    </w:p>
    <w:p>
      <w:pPr>
        <w:pStyle w:val="ListBullet"/>
      </w:pPr>
      <w:r>
        <w:rPr>
          <w:sz w:val="20"/>
        </w:rPr>
        <w:t>JKM is thinly traded — stale quotes punctuated by jumps; any cross-basin strategy faces real execution friction and bid-ask cost on the Asian leg.</w:t>
      </w:r>
    </w:p>
    <w:p>
      <w:pPr>
        <w:pStyle w:val="ListBullet"/>
      </w:pPr>
      <w:r>
        <w:rPr>
          <w:sz w:val="20"/>
        </w:rPr>
        <w:t>Regimes are calibrated to verified event dates: COVID (control), 2022 Russia (positive control), the Jun-2025 Twelve-Day War (precursor — strait stayed open), and the Feb–Mar 2026 Hormuz closure (candidate chokepoint regime).</w:t>
      </w:r>
    </w:p>
    <w:p>
      <w:pPr>
        <w:pStyle w:val="ListBullet"/>
      </w:pPr>
      <w:r>
        <w:rPr>
          <w:sz w:val="20"/>
        </w:rPr>
        <w:t>The pipeline is reproducible end-to-end (ingest → align → clean → eda → report); API keys live in .env and are never committed.</w:t>
      </w:r>
    </w:p>
    <w:p>
      <w:r>
        <w:br w:type="page"/>
      </w:r>
    </w:p>
    <w:p>
      <w:pPr>
        <w:pStyle w:val="Heading1"/>
      </w:pPr>
      <w:r>
        <w:t>Appendix A — Proof of Ingestion (first 5 rows)</w:t>
      </w:r>
    </w:p>
    <w:p>
      <w:pPr>
        <w:spacing w:after="160"/>
        <w:jc w:val="both"/>
      </w:pPr>
      <w:r>
        <w:rPr>
          <w:sz w:val="20"/>
        </w:rPr>
        <w:t>Re-ingested from public sources; values match the Milestone 1 submission exactly.</w:t>
      </w:r>
    </w:p>
    <w:p>
      <w:pPr>
        <w:keepNext/>
        <w:spacing w:before="120"/>
      </w:pPr>
      <w:r>
        <w:rPr>
          <w:b/>
          <w:color w:val="1F497D"/>
          <w:sz w:val="19"/>
        </w:rPr>
        <w:t>Market — prices &amp; FX (Yahoo)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6" w:type="dxa"/>
          <w:bottom w:w="46" w:type="dxa"/>
          <w:left w:w="110" w:type="dxa"/>
          <w:right w:w="110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  <w:tblHeader/>
        </w:trPr>
        <w:tc>
          <w:tcPr>
            <w:tcW w:type="dxa" w:w="1296"/>
            <w:tcBorders>
              <w:top w:val="single" w:sz="12" w:space="0" w:color="1F497D"/>
              <w:bottom w:val="single" w:sz="8" w:space="0" w:color="1F497D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b/>
                <w:color w:val="1F497D"/>
                <w:sz w:val="16"/>
              </w:rPr>
              <w:t>date</w:t>
            </w:r>
          </w:p>
        </w:tc>
        <w:tc>
          <w:tcPr>
            <w:tcW w:type="dxa" w:w="1728"/>
            <w:tcBorders>
              <w:top w:val="single" w:sz="12" w:space="0" w:color="1F497D"/>
              <w:bottom w:val="single" w:sz="8" w:space="0" w:color="1F497D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b/>
                <w:color w:val="1F497D"/>
                <w:sz w:val="16"/>
              </w:rPr>
              <w:t>hh_fut_usd_mmbtu</w:t>
            </w:r>
          </w:p>
        </w:tc>
        <w:tc>
          <w:tcPr>
            <w:tcW w:type="dxa" w:w="1584"/>
            <w:tcBorders>
              <w:top w:val="single" w:sz="12" w:space="0" w:color="1F497D"/>
              <w:bottom w:val="single" w:sz="8" w:space="0" w:color="1F497D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b/>
                <w:color w:val="1F497D"/>
                <w:sz w:val="16"/>
              </w:rPr>
              <w:t>ttf_eur_mwh</w:t>
            </w:r>
          </w:p>
        </w:tc>
        <w:tc>
          <w:tcPr>
            <w:tcW w:type="dxa" w:w="1584"/>
            <w:tcBorders>
              <w:top w:val="single" w:sz="12" w:space="0" w:color="1F497D"/>
              <w:bottom w:val="single" w:sz="8" w:space="0" w:color="1F497D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b/>
                <w:color w:val="1F497D"/>
                <w:sz w:val="16"/>
              </w:rPr>
              <w:t>jkm_usd_mmbtu</w:t>
            </w:r>
          </w:p>
        </w:tc>
        <w:tc>
          <w:tcPr>
            <w:tcW w:type="dxa" w:w="1584"/>
            <w:tcBorders>
              <w:top w:val="single" w:sz="12" w:space="0" w:color="1F497D"/>
              <w:bottom w:val="single" w:sz="8" w:space="0" w:color="1F497D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b/>
                <w:color w:val="1F497D"/>
                <w:sz w:val="16"/>
              </w:rPr>
              <w:t>brent_usd_bbl</w:t>
            </w:r>
          </w:p>
        </w:tc>
        <w:tc>
          <w:tcPr>
            <w:tcW w:type="dxa" w:w="1584"/>
            <w:tcBorders>
              <w:top w:val="single" w:sz="12" w:space="0" w:color="1F497D"/>
              <w:bottom w:val="single" w:sz="8" w:space="0" w:color="1F497D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b/>
                <w:color w:val="1F497D"/>
                <w:sz w:val="16"/>
              </w:rPr>
              <w:t>eurusd</w:t>
            </w:r>
          </w:p>
        </w:tc>
      </w:tr>
      <w:tr>
        <w:trPr>
          <w:cantSplit/>
        </w:trPr>
        <w:tc>
          <w:tcPr>
            <w:tcW w:type="dxa" w:w="129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6"/>
              </w:rPr>
              <w:t>2019-01-02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6"/>
              </w:rPr>
              <w:t>2.958</w:t>
            </w:r>
          </w:p>
        </w:tc>
        <w:tc>
          <w:tcPr>
            <w:tcW w:type="dxa" w:w="158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6"/>
              </w:rPr>
              <w:t>22.475</w:t>
            </w:r>
          </w:p>
        </w:tc>
        <w:tc>
          <w:tcPr>
            <w:tcW w:type="dxa" w:w="158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6"/>
              </w:rPr>
              <w:t>8.970</w:t>
            </w:r>
          </w:p>
        </w:tc>
        <w:tc>
          <w:tcPr>
            <w:tcW w:type="dxa" w:w="158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6"/>
              </w:rPr>
              <w:t>54.91</w:t>
            </w:r>
          </w:p>
        </w:tc>
        <w:tc>
          <w:tcPr>
            <w:tcW w:type="dxa" w:w="158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6"/>
              </w:rPr>
              <w:t>1.1462</w:t>
            </w:r>
          </w:p>
        </w:tc>
      </w:tr>
      <w:tr>
        <w:trPr>
          <w:cantSplit/>
        </w:trPr>
        <w:tc>
          <w:tcPr>
            <w:tcW w:type="dxa" w:w="129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6"/>
              </w:rPr>
              <w:t>2019-01-03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6"/>
              </w:rPr>
              <w:t>2.945</w:t>
            </w:r>
          </w:p>
        </w:tc>
        <w:tc>
          <w:tcPr>
            <w:tcW w:type="dxa" w:w="158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6"/>
              </w:rPr>
              <w:t>22.255</w:t>
            </w:r>
          </w:p>
        </w:tc>
        <w:tc>
          <w:tcPr>
            <w:tcW w:type="dxa" w:w="158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6"/>
              </w:rPr>
              <w:t>8.945</w:t>
            </w:r>
          </w:p>
        </w:tc>
        <w:tc>
          <w:tcPr>
            <w:tcW w:type="dxa" w:w="158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6"/>
              </w:rPr>
              <w:t>55.95</w:t>
            </w:r>
          </w:p>
        </w:tc>
        <w:tc>
          <w:tcPr>
            <w:tcW w:type="dxa" w:w="158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6"/>
              </w:rPr>
              <w:t>1.1318</w:t>
            </w:r>
          </w:p>
        </w:tc>
      </w:tr>
      <w:tr>
        <w:trPr>
          <w:cantSplit/>
        </w:trPr>
        <w:tc>
          <w:tcPr>
            <w:tcW w:type="dxa" w:w="129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6"/>
              </w:rPr>
              <w:t>2019-01-04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6"/>
              </w:rPr>
              <w:t>3.044</w:t>
            </w:r>
          </w:p>
        </w:tc>
        <w:tc>
          <w:tcPr>
            <w:tcW w:type="dxa" w:w="158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6"/>
              </w:rPr>
              <w:t>22.930</w:t>
            </w:r>
          </w:p>
        </w:tc>
        <w:tc>
          <w:tcPr>
            <w:tcW w:type="dxa" w:w="158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6"/>
              </w:rPr>
              <w:t>8.885</w:t>
            </w:r>
          </w:p>
        </w:tc>
        <w:tc>
          <w:tcPr>
            <w:tcW w:type="dxa" w:w="158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6"/>
              </w:rPr>
              <w:t>57.06</w:t>
            </w:r>
          </w:p>
        </w:tc>
        <w:tc>
          <w:tcPr>
            <w:tcW w:type="dxa" w:w="158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6"/>
              </w:rPr>
              <w:t>1.1391</w:t>
            </w:r>
          </w:p>
        </w:tc>
      </w:tr>
      <w:tr>
        <w:trPr>
          <w:cantSplit/>
        </w:trPr>
        <w:tc>
          <w:tcPr>
            <w:tcW w:type="dxa" w:w="129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6"/>
              </w:rPr>
              <w:t>2019-01-07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6"/>
              </w:rPr>
              <w:t>2.944</w:t>
            </w:r>
          </w:p>
        </w:tc>
        <w:tc>
          <w:tcPr>
            <w:tcW w:type="dxa" w:w="158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6"/>
              </w:rPr>
              <w:t>21.530</w:t>
            </w:r>
          </w:p>
        </w:tc>
        <w:tc>
          <w:tcPr>
            <w:tcW w:type="dxa" w:w="158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6"/>
              </w:rPr>
              <w:t>8.830</w:t>
            </w:r>
          </w:p>
        </w:tc>
        <w:tc>
          <w:tcPr>
            <w:tcW w:type="dxa" w:w="158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6"/>
              </w:rPr>
              <w:t>57.33</w:t>
            </w:r>
          </w:p>
        </w:tc>
        <w:tc>
          <w:tcPr>
            <w:tcW w:type="dxa" w:w="158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6"/>
              </w:rPr>
              <w:t>1.1410</w:t>
            </w:r>
          </w:p>
        </w:tc>
      </w:tr>
      <w:tr>
        <w:trPr>
          <w:cantSplit/>
        </w:trPr>
        <w:tc>
          <w:tcPr>
            <w:tcW w:type="dxa" w:w="1296"/>
            <w:tcBorders>
              <w:top w:val="nil"/>
              <w:bottom w:val="single" w:sz="12" w:space="0" w:color="1F497D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16"/>
              </w:rPr>
              <w:t>2019-01-08</w:t>
            </w:r>
          </w:p>
        </w:tc>
        <w:tc>
          <w:tcPr>
            <w:tcW w:type="dxa" w:w="1728"/>
            <w:tcBorders>
              <w:top w:val="nil"/>
              <w:bottom w:val="single" w:sz="12" w:space="0" w:color="1F497D"/>
              <w:left w:val="nil"/>
              <w:right w:val="nil"/>
            </w:tcBorders>
          </w:tcPr>
          <w:p>
            <w:pPr>
              <w:jc w:val="right"/>
            </w:pPr>
            <w:r/>
            <w:r>
              <w:rPr>
                <w:sz w:val="16"/>
              </w:rPr>
              <w:t>2.967</w:t>
            </w:r>
          </w:p>
        </w:tc>
        <w:tc>
          <w:tcPr>
            <w:tcW w:type="dxa" w:w="1584"/>
            <w:tcBorders>
              <w:top w:val="nil"/>
              <w:bottom w:val="single" w:sz="12" w:space="0" w:color="1F497D"/>
              <w:left w:val="nil"/>
              <w:right w:val="nil"/>
            </w:tcBorders>
          </w:tcPr>
          <w:p>
            <w:pPr>
              <w:jc w:val="right"/>
            </w:pPr>
            <w:r/>
            <w:r>
              <w:rPr>
                <w:sz w:val="16"/>
              </w:rPr>
              <w:t>22.090</w:t>
            </w:r>
          </w:p>
        </w:tc>
        <w:tc>
          <w:tcPr>
            <w:tcW w:type="dxa" w:w="1584"/>
            <w:tcBorders>
              <w:top w:val="nil"/>
              <w:bottom w:val="single" w:sz="12" w:space="0" w:color="1F497D"/>
              <w:left w:val="nil"/>
              <w:right w:val="nil"/>
            </w:tcBorders>
          </w:tcPr>
          <w:p>
            <w:pPr>
              <w:jc w:val="right"/>
            </w:pPr>
            <w:r/>
            <w:r>
              <w:rPr>
                <w:sz w:val="16"/>
              </w:rPr>
              <w:t>8.820</w:t>
            </w:r>
          </w:p>
        </w:tc>
        <w:tc>
          <w:tcPr>
            <w:tcW w:type="dxa" w:w="1584"/>
            <w:tcBorders>
              <w:top w:val="nil"/>
              <w:bottom w:val="single" w:sz="12" w:space="0" w:color="1F497D"/>
              <w:left w:val="nil"/>
              <w:right w:val="nil"/>
            </w:tcBorders>
          </w:tcPr>
          <w:p>
            <w:pPr>
              <w:jc w:val="right"/>
            </w:pPr>
            <w:r/>
            <w:r>
              <w:rPr>
                <w:sz w:val="16"/>
              </w:rPr>
              <w:t>58.72</w:t>
            </w:r>
          </w:p>
        </w:tc>
        <w:tc>
          <w:tcPr>
            <w:tcW w:type="dxa" w:w="1584"/>
            <w:tcBorders>
              <w:top w:val="nil"/>
              <w:bottom w:val="single" w:sz="12" w:space="0" w:color="1F497D"/>
              <w:left w:val="nil"/>
              <w:right w:val="nil"/>
            </w:tcBorders>
          </w:tcPr>
          <w:p>
            <w:pPr>
              <w:jc w:val="right"/>
            </w:pPr>
            <w:r/>
            <w:r>
              <w:rPr>
                <w:sz w:val="16"/>
              </w:rPr>
              <w:t>1.1480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b/>
          <w:color w:val="1F497D"/>
          <w:sz w:val="19"/>
        </w:rPr>
        <w:t>Physical — EU gas storage, Germany (GIE AGSI+)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6" w:type="dxa"/>
          <w:bottom w:w="46" w:type="dxa"/>
          <w:left w:w="110" w:type="dxa"/>
          <w:right w:w="110" w:type="dxa"/>
        </w:tblCellMar>
      </w:tblPr>
      <w:tblGrid>
        <w:gridCol w:w="2880"/>
        <w:gridCol w:w="2880"/>
        <w:gridCol w:w="2880"/>
      </w:tblGrid>
      <w:tr>
        <w:trPr>
          <w:cantSplit/>
          <w:tblHeader/>
        </w:trPr>
        <w:tc>
          <w:tcPr>
            <w:tcW w:type="dxa" w:w="2880"/>
            <w:tcBorders>
              <w:top w:val="single" w:sz="12" w:space="0" w:color="1F497D"/>
              <w:bottom w:val="single" w:sz="8" w:space="0" w:color="1F497D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b/>
                <w:color w:val="1F497D"/>
                <w:sz w:val="16"/>
              </w:rPr>
              <w:t>date</w:t>
            </w:r>
          </w:p>
        </w:tc>
        <w:tc>
          <w:tcPr>
            <w:tcW w:type="dxa" w:w="2880"/>
            <w:tcBorders>
              <w:top w:val="single" w:sz="12" w:space="0" w:color="1F497D"/>
              <w:bottom w:val="single" w:sz="8" w:space="0" w:color="1F497D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b/>
                <w:color w:val="1F497D"/>
                <w:sz w:val="16"/>
              </w:rPr>
              <w:t>de_storage_pct</w:t>
            </w:r>
          </w:p>
        </w:tc>
        <w:tc>
          <w:tcPr>
            <w:tcW w:type="dxa" w:w="2880"/>
            <w:tcBorders>
              <w:top w:val="single" w:sz="12" w:space="0" w:color="1F497D"/>
              <w:bottom w:val="single" w:sz="8" w:space="0" w:color="1F497D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b/>
                <w:color w:val="1F497D"/>
                <w:sz w:val="16"/>
              </w:rPr>
              <w:t>de_gas_twh</w:t>
            </w:r>
          </w:p>
        </w:tc>
      </w:tr>
      <w:tr>
        <w:trPr>
          <w:cantSplit/>
        </w:trP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6"/>
              </w:rPr>
              <w:t>2019-01-01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6"/>
              </w:rPr>
              <w:t>75.23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6"/>
              </w:rPr>
              <w:t>189.1272</w:t>
            </w:r>
          </w:p>
        </w:tc>
      </w:tr>
      <w:tr>
        <w:trPr>
          <w:cantSplit/>
        </w:trP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6"/>
              </w:rPr>
              <w:t>2019-01-02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6"/>
              </w:rPr>
              <w:t>75.01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6"/>
              </w:rPr>
              <w:t>188.5782</w:t>
            </w:r>
          </w:p>
        </w:tc>
      </w:tr>
      <w:tr>
        <w:trPr>
          <w:cantSplit/>
        </w:trP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6"/>
              </w:rPr>
              <w:t>2019-01-03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6"/>
              </w:rPr>
              <w:t>74.47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6"/>
              </w:rPr>
              <w:t>187.2198</w:t>
            </w:r>
          </w:p>
        </w:tc>
      </w:tr>
      <w:tr>
        <w:trPr>
          <w:cantSplit/>
        </w:trP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6"/>
              </w:rPr>
              <w:t>2019-01-04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6"/>
              </w:rPr>
              <w:t>74.10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6"/>
              </w:rPr>
              <w:t>186.2821</w:t>
            </w:r>
          </w:p>
        </w:tc>
      </w:tr>
      <w:tr>
        <w:trPr>
          <w:cantSplit/>
        </w:trPr>
        <w:tc>
          <w:tcPr>
            <w:tcW w:type="dxa" w:w="2880"/>
            <w:tcBorders>
              <w:top w:val="nil"/>
              <w:bottom w:val="single" w:sz="12" w:space="0" w:color="1F497D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16"/>
              </w:rPr>
              <w:t>2019-01-05</w:t>
            </w:r>
          </w:p>
        </w:tc>
        <w:tc>
          <w:tcPr>
            <w:tcW w:type="dxa" w:w="2880"/>
            <w:tcBorders>
              <w:top w:val="nil"/>
              <w:bottom w:val="single" w:sz="12" w:space="0" w:color="1F497D"/>
              <w:left w:val="nil"/>
              <w:right w:val="nil"/>
            </w:tcBorders>
          </w:tcPr>
          <w:p>
            <w:pPr>
              <w:jc w:val="right"/>
            </w:pPr>
            <w:r/>
            <w:r>
              <w:rPr>
                <w:sz w:val="16"/>
              </w:rPr>
              <w:t>73.96</w:t>
            </w:r>
          </w:p>
        </w:tc>
        <w:tc>
          <w:tcPr>
            <w:tcW w:type="dxa" w:w="2880"/>
            <w:tcBorders>
              <w:top w:val="nil"/>
              <w:bottom w:val="single" w:sz="12" w:space="0" w:color="1F497D"/>
              <w:left w:val="nil"/>
              <w:right w:val="nil"/>
            </w:tcBorders>
          </w:tcPr>
          <w:p>
            <w:pPr>
              <w:jc w:val="right"/>
            </w:pPr>
            <w:r/>
            <w:r>
              <w:rPr>
                <w:sz w:val="16"/>
              </w:rPr>
              <w:t>185.9276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b/>
          <w:color w:val="1F497D"/>
          <w:sz w:val="19"/>
        </w:rPr>
        <w:t>Physical — EU LNG send-out &amp; inventory, Spain (ALSI)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6" w:type="dxa"/>
          <w:bottom w:w="46" w:type="dxa"/>
          <w:left w:w="110" w:type="dxa"/>
          <w:right w:w="110" w:type="dxa"/>
        </w:tblCellMar>
      </w:tblPr>
      <w:tblGrid>
        <w:gridCol w:w="2880"/>
        <w:gridCol w:w="2880"/>
        <w:gridCol w:w="2880"/>
      </w:tblGrid>
      <w:tr>
        <w:trPr>
          <w:cantSplit/>
          <w:tblHeader/>
        </w:trPr>
        <w:tc>
          <w:tcPr>
            <w:tcW w:type="dxa" w:w="2880"/>
            <w:tcBorders>
              <w:top w:val="single" w:sz="12" w:space="0" w:color="1F497D"/>
              <w:bottom w:val="single" w:sz="8" w:space="0" w:color="1F497D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b/>
                <w:color w:val="1F497D"/>
                <w:sz w:val="16"/>
              </w:rPr>
              <w:t>date</w:t>
            </w:r>
          </w:p>
        </w:tc>
        <w:tc>
          <w:tcPr>
            <w:tcW w:type="dxa" w:w="2880"/>
            <w:tcBorders>
              <w:top w:val="single" w:sz="12" w:space="0" w:color="1F497D"/>
              <w:bottom w:val="single" w:sz="8" w:space="0" w:color="1F497D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b/>
                <w:color w:val="1F497D"/>
                <w:sz w:val="16"/>
              </w:rPr>
              <w:t>es_lng_sendout_gwh</w:t>
            </w:r>
          </w:p>
        </w:tc>
        <w:tc>
          <w:tcPr>
            <w:tcW w:type="dxa" w:w="2880"/>
            <w:tcBorders>
              <w:top w:val="single" w:sz="12" w:space="0" w:color="1F497D"/>
              <w:bottom w:val="single" w:sz="8" w:space="0" w:color="1F497D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b/>
                <w:color w:val="1F497D"/>
                <w:sz w:val="16"/>
              </w:rPr>
              <w:t>es_lng_inv_twh</w:t>
            </w:r>
          </w:p>
        </w:tc>
      </w:tr>
      <w:tr>
        <w:trPr>
          <w:cantSplit/>
        </w:trP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6"/>
              </w:rPr>
              <w:t>2019-01-01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6"/>
              </w:rPr>
              <w:t>338.7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6"/>
              </w:rPr>
              <w:t>2259.35</w:t>
            </w:r>
          </w:p>
        </w:tc>
      </w:tr>
      <w:tr>
        <w:trPr>
          <w:cantSplit/>
        </w:trP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6"/>
              </w:rPr>
              <w:t>2019-01-02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6"/>
              </w:rPr>
              <w:t>461.2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6"/>
              </w:rPr>
              <w:t>2297.99</w:t>
            </w:r>
          </w:p>
        </w:tc>
      </w:tr>
      <w:tr>
        <w:trPr>
          <w:cantSplit/>
        </w:trP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6"/>
              </w:rPr>
              <w:t>2019-01-03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6"/>
              </w:rPr>
              <w:t>538.6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6"/>
              </w:rPr>
              <w:t>2229.83</w:t>
            </w:r>
          </w:p>
        </w:tc>
      </w:tr>
      <w:tr>
        <w:trPr>
          <w:cantSplit/>
        </w:trP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6"/>
              </w:rPr>
              <w:t>2019-01-04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6"/>
              </w:rPr>
              <w:t>547.1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6"/>
              </w:rPr>
              <w:t>2143.05</w:t>
            </w:r>
          </w:p>
        </w:tc>
      </w:tr>
      <w:tr>
        <w:trPr>
          <w:cantSplit/>
        </w:trPr>
        <w:tc>
          <w:tcPr>
            <w:tcW w:type="dxa" w:w="2880"/>
            <w:tcBorders>
              <w:top w:val="nil"/>
              <w:bottom w:val="single" w:sz="12" w:space="0" w:color="1F497D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16"/>
              </w:rPr>
              <w:t>2019-01-05</w:t>
            </w:r>
          </w:p>
        </w:tc>
        <w:tc>
          <w:tcPr>
            <w:tcW w:type="dxa" w:w="2880"/>
            <w:tcBorders>
              <w:top w:val="nil"/>
              <w:bottom w:val="single" w:sz="12" w:space="0" w:color="1F497D"/>
              <w:left w:val="nil"/>
              <w:right w:val="nil"/>
            </w:tcBorders>
          </w:tcPr>
          <w:p>
            <w:pPr>
              <w:jc w:val="right"/>
            </w:pPr>
            <w:r/>
            <w:r>
              <w:rPr>
                <w:sz w:val="16"/>
              </w:rPr>
              <w:t>407.0</w:t>
            </w:r>
          </w:p>
        </w:tc>
        <w:tc>
          <w:tcPr>
            <w:tcW w:type="dxa" w:w="2880"/>
            <w:tcBorders>
              <w:top w:val="nil"/>
              <w:bottom w:val="single" w:sz="12" w:space="0" w:color="1F497D"/>
              <w:left w:val="nil"/>
              <w:right w:val="nil"/>
            </w:tcBorders>
          </w:tcPr>
          <w:p>
            <w:pPr>
              <w:jc w:val="right"/>
            </w:pPr>
            <w:r/>
            <w:r>
              <w:rPr>
                <w:sz w:val="16"/>
              </w:rPr>
              <w:t>2359.09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b/>
          <w:color w:val="1F497D"/>
          <w:sz w:val="19"/>
        </w:rPr>
        <w:t>Physical — US Lower-48 weekly storage (EIA)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6" w:type="dxa"/>
          <w:bottom w:w="46" w:type="dxa"/>
          <w:left w:w="110" w:type="dxa"/>
          <w:right w:w="110" w:type="dxa"/>
        </w:tblCellMar>
      </w:tblPr>
      <w:tblGrid>
        <w:gridCol w:w="4320"/>
        <w:gridCol w:w="4320"/>
      </w:tblGrid>
      <w:tr>
        <w:trPr>
          <w:cantSplit/>
          <w:tblHeader/>
        </w:trPr>
        <w:tc>
          <w:tcPr>
            <w:tcW w:type="dxa" w:w="4320"/>
            <w:tcBorders>
              <w:top w:val="single" w:sz="12" w:space="0" w:color="1F497D"/>
              <w:bottom w:val="single" w:sz="8" w:space="0" w:color="1F497D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b/>
                <w:color w:val="1F497D"/>
                <w:sz w:val="16"/>
              </w:rPr>
              <w:t>date</w:t>
            </w:r>
          </w:p>
        </w:tc>
        <w:tc>
          <w:tcPr>
            <w:tcW w:type="dxa" w:w="4320"/>
            <w:tcBorders>
              <w:top w:val="single" w:sz="12" w:space="0" w:color="1F497D"/>
              <w:bottom w:val="single" w:sz="8" w:space="0" w:color="1F497D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b/>
                <w:color w:val="1F497D"/>
                <w:sz w:val="16"/>
              </w:rPr>
              <w:t>us_working_gas_bcf</w:t>
            </w:r>
          </w:p>
        </w:tc>
      </w:tr>
      <w:tr>
        <w:trPr>
          <w:cantSplit/>
        </w:trPr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6"/>
              </w:rPr>
              <w:t>2019-01-04</w:t>
            </w:r>
          </w:p>
        </w:tc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6"/>
              </w:rPr>
              <w:t>2614</w:t>
            </w:r>
          </w:p>
        </w:tc>
      </w:tr>
      <w:tr>
        <w:trPr>
          <w:cantSplit/>
        </w:trPr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6"/>
              </w:rPr>
              <w:t>2019-01-11</w:t>
            </w:r>
          </w:p>
        </w:tc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6"/>
              </w:rPr>
              <w:t>2533</w:t>
            </w:r>
          </w:p>
        </w:tc>
      </w:tr>
      <w:tr>
        <w:trPr>
          <w:cantSplit/>
        </w:trPr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6"/>
              </w:rPr>
              <w:t>2019-01-18</w:t>
            </w:r>
          </w:p>
        </w:tc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6"/>
              </w:rPr>
              <w:t>2370</w:t>
            </w:r>
          </w:p>
        </w:tc>
      </w:tr>
      <w:tr>
        <w:trPr>
          <w:cantSplit/>
        </w:trPr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6"/>
              </w:rPr>
              <w:t>2019-01-25</w:t>
            </w:r>
          </w:p>
        </w:tc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6"/>
              </w:rPr>
              <w:t>2197</w:t>
            </w:r>
          </w:p>
        </w:tc>
      </w:tr>
      <w:tr>
        <w:trPr>
          <w:cantSplit/>
        </w:trPr>
        <w:tc>
          <w:tcPr>
            <w:tcW w:type="dxa" w:w="4320"/>
            <w:tcBorders>
              <w:top w:val="nil"/>
              <w:bottom w:val="single" w:sz="12" w:space="0" w:color="1F497D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16"/>
              </w:rPr>
              <w:t>2019-02-01</w:t>
            </w:r>
          </w:p>
        </w:tc>
        <w:tc>
          <w:tcPr>
            <w:tcW w:type="dxa" w:w="4320"/>
            <w:tcBorders>
              <w:top w:val="nil"/>
              <w:bottom w:val="single" w:sz="12" w:space="0" w:color="1F497D"/>
              <w:left w:val="nil"/>
              <w:right w:val="nil"/>
            </w:tcBorders>
          </w:tcPr>
          <w:p>
            <w:pPr>
              <w:jc w:val="right"/>
            </w:pPr>
            <w:r/>
            <w:r>
              <w:rPr>
                <w:sz w:val="16"/>
              </w:rPr>
              <w:t>1960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b/>
          <w:color w:val="1F497D"/>
          <w:sz w:val="19"/>
        </w:rPr>
        <w:t>Physical — Weather HDD (Open-Meteo)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6" w:type="dxa"/>
          <w:bottom w:w="46" w:type="dxa"/>
          <w:left w:w="110" w:type="dxa"/>
          <w:right w:w="110" w:type="dxa"/>
        </w:tblCellMar>
      </w:tblPr>
      <w:tblGrid>
        <w:gridCol w:w="2160"/>
        <w:gridCol w:w="2160"/>
        <w:gridCol w:w="2160"/>
        <w:gridCol w:w="2160"/>
      </w:tblGrid>
      <w:tr>
        <w:trPr>
          <w:cantSplit/>
          <w:tblHeader/>
        </w:trPr>
        <w:tc>
          <w:tcPr>
            <w:tcW w:type="dxa" w:w="2160"/>
            <w:tcBorders>
              <w:top w:val="single" w:sz="12" w:space="0" w:color="1F497D"/>
              <w:bottom w:val="single" w:sz="8" w:space="0" w:color="1F497D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b/>
                <w:color w:val="1F497D"/>
                <w:sz w:val="16"/>
              </w:rPr>
              <w:t>date</w:t>
            </w:r>
          </w:p>
        </w:tc>
        <w:tc>
          <w:tcPr>
            <w:tcW w:type="dxa" w:w="2160"/>
            <w:tcBorders>
              <w:top w:val="single" w:sz="12" w:space="0" w:color="1F497D"/>
              <w:bottom w:val="single" w:sz="8" w:space="0" w:color="1F497D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b/>
                <w:color w:val="1F497D"/>
                <w:sz w:val="16"/>
              </w:rPr>
              <w:t>hdd_amsterdam</w:t>
            </w:r>
          </w:p>
        </w:tc>
        <w:tc>
          <w:tcPr>
            <w:tcW w:type="dxa" w:w="2160"/>
            <w:tcBorders>
              <w:top w:val="single" w:sz="12" w:space="0" w:color="1F497D"/>
              <w:bottom w:val="single" w:sz="8" w:space="0" w:color="1F497D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b/>
                <w:color w:val="1F497D"/>
                <w:sz w:val="16"/>
              </w:rPr>
              <w:t>hdd_chicago</w:t>
            </w:r>
          </w:p>
        </w:tc>
        <w:tc>
          <w:tcPr>
            <w:tcW w:type="dxa" w:w="2160"/>
            <w:tcBorders>
              <w:top w:val="single" w:sz="12" w:space="0" w:color="1F497D"/>
              <w:bottom w:val="single" w:sz="8" w:space="0" w:color="1F497D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b/>
                <w:color w:val="1F497D"/>
                <w:sz w:val="16"/>
              </w:rPr>
              <w:t>hdd_beijing</w:t>
            </w:r>
          </w:p>
        </w:tc>
      </w:tr>
      <w:tr>
        <w:trPr>
          <w:cantSplit/>
        </w:trPr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6"/>
              </w:rPr>
              <w:t>2019-01-01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6"/>
              </w:rPr>
              <w:t>10.1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6"/>
              </w:rPr>
              <w:t>18.0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6"/>
              </w:rPr>
              <w:t>23.0</w:t>
            </w:r>
          </w:p>
        </w:tc>
      </w:tr>
      <w:tr>
        <w:trPr>
          <w:cantSplit/>
        </w:trPr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6"/>
              </w:rPr>
              <w:t>2019-01-02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6"/>
              </w:rPr>
              <w:t>12.1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6"/>
              </w:rPr>
              <w:t>19.8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6"/>
              </w:rPr>
              <w:t>23.3</w:t>
            </w:r>
          </w:p>
        </w:tc>
      </w:tr>
      <w:tr>
        <w:trPr>
          <w:cantSplit/>
        </w:trPr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6"/>
              </w:rPr>
              <w:t>2019-01-03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6"/>
              </w:rPr>
              <w:t>13.1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6"/>
              </w:rPr>
              <w:t>19.5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6"/>
              </w:rPr>
              <w:t>21.5</w:t>
            </w:r>
          </w:p>
        </w:tc>
      </w:tr>
      <w:tr>
        <w:trPr>
          <w:cantSplit/>
        </w:trPr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6"/>
              </w:rPr>
              <w:t>2019-01-04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6"/>
              </w:rPr>
              <w:t>12.3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6"/>
              </w:rPr>
              <w:t>16.1</w:t>
            </w:r>
          </w:p>
        </w:tc>
        <w:tc>
          <w:tcPr>
            <w:tcW w:type="dxa" w:w="216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6"/>
              </w:rPr>
              <w:t>21.9</w:t>
            </w:r>
          </w:p>
        </w:tc>
      </w:tr>
      <w:tr>
        <w:trPr>
          <w:cantSplit/>
        </w:trPr>
        <w:tc>
          <w:tcPr>
            <w:tcW w:type="dxa" w:w="2160"/>
            <w:tcBorders>
              <w:top w:val="nil"/>
              <w:bottom w:val="single" w:sz="12" w:space="0" w:color="1F497D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16"/>
              </w:rPr>
              <w:t>2019-01-05</w:t>
            </w:r>
          </w:p>
        </w:tc>
        <w:tc>
          <w:tcPr>
            <w:tcW w:type="dxa" w:w="2160"/>
            <w:tcBorders>
              <w:top w:val="nil"/>
              <w:bottom w:val="single" w:sz="12" w:space="0" w:color="1F497D"/>
              <w:left w:val="nil"/>
              <w:right w:val="nil"/>
            </w:tcBorders>
          </w:tcPr>
          <w:p>
            <w:pPr>
              <w:jc w:val="right"/>
            </w:pPr>
            <w:r/>
            <w:r>
              <w:rPr>
                <w:sz w:val="16"/>
              </w:rPr>
              <w:t>10.5</w:t>
            </w:r>
          </w:p>
        </w:tc>
        <w:tc>
          <w:tcPr>
            <w:tcW w:type="dxa" w:w="2160"/>
            <w:tcBorders>
              <w:top w:val="nil"/>
              <w:bottom w:val="single" w:sz="12" w:space="0" w:color="1F497D"/>
              <w:left w:val="nil"/>
              <w:right w:val="nil"/>
            </w:tcBorders>
          </w:tcPr>
          <w:p>
            <w:pPr>
              <w:jc w:val="right"/>
            </w:pPr>
            <w:r/>
            <w:r>
              <w:rPr>
                <w:sz w:val="16"/>
              </w:rPr>
              <w:t>15.1</w:t>
            </w:r>
          </w:p>
        </w:tc>
        <w:tc>
          <w:tcPr>
            <w:tcW w:type="dxa" w:w="2160"/>
            <w:tcBorders>
              <w:top w:val="nil"/>
              <w:bottom w:val="single" w:sz="12" w:space="0" w:color="1F497D"/>
              <w:left w:val="nil"/>
              <w:right w:val="nil"/>
            </w:tcBorders>
          </w:tcPr>
          <w:p>
            <w:pPr>
              <w:jc w:val="right"/>
            </w:pPr>
            <w:r/>
            <w:r>
              <w:rPr>
                <w:sz w:val="16"/>
              </w:rPr>
              <w:t>22.2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b/>
          <w:color w:val="1F497D"/>
          <w:sz w:val="19"/>
        </w:rPr>
        <w:t>Risk — Geopolitical Risk incl. Russia (Caldara–Iacoviello)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6" w:type="dxa"/>
          <w:bottom w:w="46" w:type="dxa"/>
          <w:left w:w="110" w:type="dxa"/>
          <w:right w:w="110" w:type="dxa"/>
        </w:tblCellMar>
      </w:tblPr>
      <w:tblGrid>
        <w:gridCol w:w="1728"/>
        <w:gridCol w:w="1728"/>
        <w:gridCol w:w="1728"/>
        <w:gridCol w:w="1728"/>
        <w:gridCol w:w="1728"/>
      </w:tblGrid>
      <w:tr>
        <w:trPr>
          <w:cantSplit/>
          <w:tblHeader/>
        </w:trPr>
        <w:tc>
          <w:tcPr>
            <w:tcW w:type="dxa" w:w="1728"/>
            <w:tcBorders>
              <w:top w:val="single" w:sz="12" w:space="0" w:color="1F497D"/>
              <w:bottom w:val="single" w:sz="8" w:space="0" w:color="1F497D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b/>
                <w:color w:val="1F497D"/>
                <w:sz w:val="16"/>
              </w:rPr>
              <w:t>date</w:t>
            </w:r>
          </w:p>
        </w:tc>
        <w:tc>
          <w:tcPr>
            <w:tcW w:type="dxa" w:w="1728"/>
            <w:tcBorders>
              <w:top w:val="single" w:sz="12" w:space="0" w:color="1F497D"/>
              <w:bottom w:val="single" w:sz="8" w:space="0" w:color="1F497D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b/>
                <w:color w:val="1F497D"/>
                <w:sz w:val="16"/>
              </w:rPr>
              <w:t>GPR</w:t>
            </w:r>
          </w:p>
        </w:tc>
        <w:tc>
          <w:tcPr>
            <w:tcW w:type="dxa" w:w="1728"/>
            <w:tcBorders>
              <w:top w:val="single" w:sz="12" w:space="0" w:color="1F497D"/>
              <w:bottom w:val="single" w:sz="8" w:space="0" w:color="1F497D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b/>
                <w:color w:val="1F497D"/>
                <w:sz w:val="16"/>
              </w:rPr>
              <w:t>GPRT</w:t>
            </w:r>
          </w:p>
        </w:tc>
        <w:tc>
          <w:tcPr>
            <w:tcW w:type="dxa" w:w="1728"/>
            <w:tcBorders>
              <w:top w:val="single" w:sz="12" w:space="0" w:color="1F497D"/>
              <w:bottom w:val="single" w:sz="8" w:space="0" w:color="1F497D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b/>
                <w:color w:val="1F497D"/>
                <w:sz w:val="16"/>
              </w:rPr>
              <w:t>GPRA</w:t>
            </w:r>
          </w:p>
        </w:tc>
        <w:tc>
          <w:tcPr>
            <w:tcW w:type="dxa" w:w="1728"/>
            <w:tcBorders>
              <w:top w:val="single" w:sz="12" w:space="0" w:color="1F497D"/>
              <w:bottom w:val="single" w:sz="8" w:space="0" w:color="1F497D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b/>
                <w:color w:val="1F497D"/>
                <w:sz w:val="16"/>
              </w:rPr>
              <w:t>GPRC_RUS</w:t>
            </w:r>
          </w:p>
        </w:tc>
      </w:tr>
      <w:tr>
        <w:trPr>
          <w:cantSplit/>
        </w:trPr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6"/>
              </w:rPr>
              <w:t>2019-01-01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6"/>
              </w:rPr>
              <w:t>87.4241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6"/>
              </w:rPr>
              <w:t>112.9805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6"/>
              </w:rPr>
              <w:t>55.7335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6"/>
              </w:rPr>
              <w:t>0.9987</w:t>
            </w:r>
          </w:p>
        </w:tc>
      </w:tr>
      <w:tr>
        <w:trPr>
          <w:cantSplit/>
        </w:trPr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6"/>
              </w:rPr>
              <w:t>2019-02-01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6"/>
              </w:rPr>
              <w:t>96.8002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6"/>
              </w:rPr>
              <w:t>127.8574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6"/>
              </w:rPr>
              <w:t>57.5117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6"/>
              </w:rPr>
              <w:t>1.0575</w:t>
            </w:r>
          </w:p>
        </w:tc>
      </w:tr>
      <w:tr>
        <w:trPr>
          <w:cantSplit/>
        </w:trPr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6"/>
              </w:rPr>
              <w:t>2019-03-01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6"/>
              </w:rPr>
              <w:t>82.3283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6"/>
              </w:rPr>
              <w:t>90.7896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6"/>
              </w:rPr>
              <w:t>66.6412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6"/>
              </w:rPr>
              <w:t>0.5631</w:t>
            </w:r>
          </w:p>
        </w:tc>
      </w:tr>
      <w:tr>
        <w:trPr>
          <w:cantSplit/>
        </w:trPr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6"/>
              </w:rPr>
              <w:t>2019-04-01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6"/>
              </w:rPr>
              <w:t>79.2534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6"/>
              </w:rPr>
              <w:t>95.4554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6"/>
              </w:rPr>
              <w:t>57.5155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6"/>
              </w:rPr>
              <w:t>0.8058</w:t>
            </w:r>
          </w:p>
        </w:tc>
      </w:tr>
      <w:tr>
        <w:trPr>
          <w:cantSplit/>
        </w:trPr>
        <w:tc>
          <w:tcPr>
            <w:tcW w:type="dxa" w:w="1728"/>
            <w:tcBorders>
              <w:top w:val="nil"/>
              <w:bottom w:val="single" w:sz="12" w:space="0" w:color="1F497D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16"/>
              </w:rPr>
              <w:t>2019-05-01</w:t>
            </w:r>
          </w:p>
        </w:tc>
        <w:tc>
          <w:tcPr>
            <w:tcW w:type="dxa" w:w="1728"/>
            <w:tcBorders>
              <w:top w:val="nil"/>
              <w:bottom w:val="single" w:sz="12" w:space="0" w:color="1F497D"/>
              <w:left w:val="nil"/>
              <w:right w:val="nil"/>
            </w:tcBorders>
          </w:tcPr>
          <w:p>
            <w:pPr>
              <w:jc w:val="right"/>
            </w:pPr>
            <w:r/>
            <w:r>
              <w:rPr>
                <w:sz w:val="16"/>
              </w:rPr>
              <w:t>106.4719</w:t>
            </w:r>
          </w:p>
        </w:tc>
        <w:tc>
          <w:tcPr>
            <w:tcW w:type="dxa" w:w="1728"/>
            <w:tcBorders>
              <w:top w:val="nil"/>
              <w:bottom w:val="single" w:sz="12" w:space="0" w:color="1F497D"/>
              <w:left w:val="nil"/>
              <w:right w:val="nil"/>
            </w:tcBorders>
          </w:tcPr>
          <w:p>
            <w:pPr>
              <w:jc w:val="right"/>
            </w:pPr>
            <w:r/>
            <w:r>
              <w:rPr>
                <w:sz w:val="16"/>
              </w:rPr>
              <w:t>134.9725</w:t>
            </w:r>
          </w:p>
        </w:tc>
        <w:tc>
          <w:tcPr>
            <w:tcW w:type="dxa" w:w="1728"/>
            <w:tcBorders>
              <w:top w:val="nil"/>
              <w:bottom w:val="single" w:sz="12" w:space="0" w:color="1F497D"/>
              <w:left w:val="nil"/>
              <w:right w:val="nil"/>
            </w:tcBorders>
          </w:tcPr>
          <w:p>
            <w:pPr>
              <w:jc w:val="right"/>
            </w:pPr>
            <w:r/>
            <w:r>
              <w:rPr>
                <w:sz w:val="16"/>
              </w:rPr>
              <w:t>64.6634</w:t>
            </w:r>
          </w:p>
        </w:tc>
        <w:tc>
          <w:tcPr>
            <w:tcW w:type="dxa" w:w="1728"/>
            <w:tcBorders>
              <w:top w:val="nil"/>
              <w:bottom w:val="single" w:sz="12" w:space="0" w:color="1F497D"/>
              <w:left w:val="nil"/>
              <w:right w:val="nil"/>
            </w:tcBorders>
          </w:tcPr>
          <w:p>
            <w:pPr>
              <w:jc w:val="right"/>
            </w:pPr>
            <w:r/>
            <w:r>
              <w:rPr>
                <w:sz w:val="16"/>
              </w:rPr>
              <w:t>0.9714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b/>
          <w:color w:val="1F497D"/>
          <w:sz w:val="19"/>
        </w:rPr>
        <w:t>Risk — European EPU (policyuncertainty)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6" w:type="dxa"/>
          <w:bottom w:w="46" w:type="dxa"/>
          <w:left w:w="110" w:type="dxa"/>
          <w:right w:w="110" w:type="dxa"/>
        </w:tblCellMar>
      </w:tblPr>
      <w:tblGrid>
        <w:gridCol w:w="4320"/>
        <w:gridCol w:w="4320"/>
      </w:tblGrid>
      <w:tr>
        <w:trPr>
          <w:cantSplit/>
          <w:tblHeader/>
        </w:trPr>
        <w:tc>
          <w:tcPr>
            <w:tcW w:type="dxa" w:w="4320"/>
            <w:tcBorders>
              <w:top w:val="single" w:sz="12" w:space="0" w:color="1F497D"/>
              <w:bottom w:val="single" w:sz="8" w:space="0" w:color="1F497D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b/>
                <w:color w:val="1F497D"/>
                <w:sz w:val="16"/>
              </w:rPr>
              <w:t>date</w:t>
            </w:r>
          </w:p>
        </w:tc>
        <w:tc>
          <w:tcPr>
            <w:tcW w:type="dxa" w:w="4320"/>
            <w:tcBorders>
              <w:top w:val="single" w:sz="12" w:space="0" w:color="1F497D"/>
              <w:bottom w:val="single" w:sz="8" w:space="0" w:color="1F497D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b/>
                <w:color w:val="1F497D"/>
                <w:sz w:val="16"/>
              </w:rPr>
              <w:t>epu_europe</w:t>
            </w:r>
          </w:p>
        </w:tc>
      </w:tr>
      <w:tr>
        <w:trPr>
          <w:cantSplit/>
        </w:trPr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6"/>
              </w:rPr>
              <w:t>2019-01-01</w:t>
            </w:r>
          </w:p>
        </w:tc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6"/>
              </w:rPr>
              <w:t>247.6771</w:t>
            </w:r>
          </w:p>
        </w:tc>
      </w:tr>
      <w:tr>
        <w:trPr>
          <w:cantSplit/>
        </w:trPr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6"/>
              </w:rPr>
              <w:t>2019-02-01</w:t>
            </w:r>
          </w:p>
        </w:tc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6"/>
              </w:rPr>
              <w:t>230.1516</w:t>
            </w:r>
          </w:p>
        </w:tc>
      </w:tr>
      <w:tr>
        <w:trPr>
          <w:cantSplit/>
        </w:trPr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6"/>
              </w:rPr>
              <w:t>2019-03-01</w:t>
            </w:r>
          </w:p>
        </w:tc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6"/>
              </w:rPr>
              <w:t>229.3842</w:t>
            </w:r>
          </w:p>
        </w:tc>
      </w:tr>
      <w:tr>
        <w:trPr>
          <w:cantSplit/>
        </w:trPr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6"/>
              </w:rPr>
              <w:t>2019-04-01</w:t>
            </w:r>
          </w:p>
        </w:tc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6"/>
              </w:rPr>
              <w:t>214.2044</w:t>
            </w:r>
          </w:p>
        </w:tc>
      </w:tr>
      <w:tr>
        <w:trPr>
          <w:cantSplit/>
        </w:trPr>
        <w:tc>
          <w:tcPr>
            <w:tcW w:type="dxa" w:w="4320"/>
            <w:tcBorders>
              <w:top w:val="nil"/>
              <w:bottom w:val="single" w:sz="12" w:space="0" w:color="1F497D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16"/>
              </w:rPr>
              <w:t>2019-05-01</w:t>
            </w:r>
          </w:p>
        </w:tc>
        <w:tc>
          <w:tcPr>
            <w:tcW w:type="dxa" w:w="4320"/>
            <w:tcBorders>
              <w:top w:val="nil"/>
              <w:bottom w:val="single" w:sz="12" w:space="0" w:color="1F497D"/>
              <w:left w:val="nil"/>
              <w:right w:val="nil"/>
            </w:tcBorders>
          </w:tcPr>
          <w:p>
            <w:pPr>
              <w:jc w:val="right"/>
            </w:pPr>
            <w:r/>
            <w:r>
              <w:rPr>
                <w:sz w:val="16"/>
              </w:rPr>
              <w:t>196.3067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b/>
          <w:color w:val="1F497D"/>
          <w:sz w:val="19"/>
        </w:rPr>
        <w:t>Macro — industrial production (FRED)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6" w:type="dxa"/>
          <w:bottom w:w="46" w:type="dxa"/>
          <w:left w:w="110" w:type="dxa"/>
          <w:right w:w="110" w:type="dxa"/>
        </w:tblCellMar>
      </w:tblPr>
      <w:tblGrid>
        <w:gridCol w:w="2880"/>
        <w:gridCol w:w="2880"/>
        <w:gridCol w:w="2880"/>
      </w:tblGrid>
      <w:tr>
        <w:trPr>
          <w:cantSplit/>
          <w:tblHeader/>
        </w:trPr>
        <w:tc>
          <w:tcPr>
            <w:tcW w:type="dxa" w:w="2880"/>
            <w:tcBorders>
              <w:top w:val="single" w:sz="12" w:space="0" w:color="1F497D"/>
              <w:bottom w:val="single" w:sz="8" w:space="0" w:color="1F497D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b/>
                <w:color w:val="1F497D"/>
                <w:sz w:val="16"/>
              </w:rPr>
              <w:t>date</w:t>
            </w:r>
          </w:p>
        </w:tc>
        <w:tc>
          <w:tcPr>
            <w:tcW w:type="dxa" w:w="2880"/>
            <w:tcBorders>
              <w:top w:val="single" w:sz="12" w:space="0" w:color="1F497D"/>
              <w:bottom w:val="single" w:sz="8" w:space="0" w:color="1F497D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b/>
                <w:color w:val="1F497D"/>
                <w:sz w:val="16"/>
              </w:rPr>
              <w:t>us_ip_index</w:t>
            </w:r>
          </w:p>
        </w:tc>
        <w:tc>
          <w:tcPr>
            <w:tcW w:type="dxa" w:w="2880"/>
            <w:tcBorders>
              <w:top w:val="single" w:sz="12" w:space="0" w:color="1F497D"/>
              <w:bottom w:val="single" w:sz="8" w:space="0" w:color="1F497D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b/>
                <w:color w:val="1F497D"/>
                <w:sz w:val="16"/>
              </w:rPr>
              <w:t>euro_ip_index</w:t>
            </w:r>
          </w:p>
        </w:tc>
      </w:tr>
      <w:tr>
        <w:trPr>
          <w:cantSplit/>
        </w:trP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6"/>
              </w:rPr>
              <w:t>2019-01-01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6"/>
              </w:rPr>
              <w:t>103.4021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6"/>
              </w:rPr>
              <w:t>106.4</w:t>
            </w:r>
          </w:p>
        </w:tc>
      </w:tr>
      <w:tr>
        <w:trPr>
          <w:cantSplit/>
        </w:trP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6"/>
              </w:rPr>
              <w:t>2019-02-01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6"/>
              </w:rPr>
              <w:t>102.8371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6"/>
              </w:rPr>
              <w:t>106.4</w:t>
            </w:r>
          </w:p>
        </w:tc>
      </w:tr>
      <w:tr>
        <w:trPr>
          <w:cantSplit/>
        </w:trP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6"/>
              </w:rPr>
              <w:t>2019-03-01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6"/>
              </w:rPr>
              <w:t>102.8757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6"/>
              </w:rPr>
              <w:t>106.6</w:t>
            </w:r>
          </w:p>
        </w:tc>
      </w:tr>
      <w:tr>
        <w:trPr>
          <w:cantSplit/>
        </w:trP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left"/>
            </w:pPr>
            <w:r/>
            <w:r>
              <w:rPr>
                <w:sz w:val="16"/>
              </w:rPr>
              <w:t>2019-04-01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6"/>
              </w:rPr>
              <w:t>102.2740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jc w:val="right"/>
            </w:pPr>
            <w:r/>
            <w:r>
              <w:rPr>
                <w:sz w:val="16"/>
              </w:rPr>
              <w:t>106.1</w:t>
            </w:r>
          </w:p>
        </w:tc>
      </w:tr>
      <w:tr>
        <w:trPr>
          <w:cantSplit/>
        </w:trPr>
        <w:tc>
          <w:tcPr>
            <w:tcW w:type="dxa" w:w="2880"/>
            <w:tcBorders>
              <w:top w:val="nil"/>
              <w:bottom w:val="single" w:sz="12" w:space="0" w:color="1F497D"/>
              <w:left w:val="nil"/>
              <w:right w:val="nil"/>
            </w:tcBorders>
          </w:tcPr>
          <w:p>
            <w:pPr>
              <w:jc w:val="left"/>
            </w:pPr>
            <w:r/>
            <w:r>
              <w:rPr>
                <w:sz w:val="16"/>
              </w:rPr>
              <w:t>2019-05-01</w:t>
            </w:r>
          </w:p>
        </w:tc>
        <w:tc>
          <w:tcPr>
            <w:tcW w:type="dxa" w:w="2880"/>
            <w:tcBorders>
              <w:top w:val="nil"/>
              <w:bottom w:val="single" w:sz="12" w:space="0" w:color="1F497D"/>
              <w:left w:val="nil"/>
              <w:right w:val="nil"/>
            </w:tcBorders>
          </w:tcPr>
          <w:p>
            <w:pPr>
              <w:jc w:val="right"/>
            </w:pPr>
            <w:r/>
            <w:r>
              <w:rPr>
                <w:sz w:val="16"/>
              </w:rPr>
              <w:t>102.3920</w:t>
            </w:r>
          </w:p>
        </w:tc>
        <w:tc>
          <w:tcPr>
            <w:tcW w:type="dxa" w:w="2880"/>
            <w:tcBorders>
              <w:top w:val="nil"/>
              <w:bottom w:val="single" w:sz="12" w:space="0" w:color="1F497D"/>
              <w:left w:val="nil"/>
              <w:right w:val="nil"/>
            </w:tcBorders>
          </w:tcPr>
          <w:p>
            <w:pPr>
              <w:jc w:val="right"/>
            </w:pPr>
            <w:r/>
            <w:r>
              <w:rPr>
                <w:sz w:val="16"/>
              </w:rPr>
              <w:t>106.4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pBdr>
        <w:top w:val="single" w:sz="4" w:space="4" w:color="CCCCCC"/>
      </w:pBdr>
    </w:pPr>
    <w:r/>
    <w:r>
      <w:rPr>
        <w:color w:val="6A6A6A"/>
        <w:sz w:val="16"/>
      </w:rPr>
      <w:t>QF632 Milestone 2  ·  Group 4</w:t>
    </w:r>
    <w:r>
      <w:rPr>
        <w:sz w:val="16"/>
      </w:rPr>
      <w:tab/>
      <w:t xml:space="preserve">Page </w:t>
    </w:r>
    <w:r>
      <w:rPr>
        <w:color w:val="6A6A6A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