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360"/>
            <w:shd w:val="clear" w:color="auto" w:fill="1F497D"/>
          </w:tcPr>
          <w:p>
            <w:pPr>
              <w:jc w:val="center"/>
            </w:pPr>
            <w:r>
              <w:rPr>
                <w:b/>
                <w:color w:val="FFFFFF"/>
                <w:sz w:val="44"/>
              </w:rPr>
              <w:br/>
              <w:br/>
              <w:t>[YOUR COMPANY NAME]</w:t>
              <w:br/>
            </w:r>
            <w:r>
              <w:rPr>
                <w:color w:val="FFFFFF"/>
                <w:sz w:val="28"/>
              </w:rPr>
              <w:t>Software Development Proposal</w:t>
              <w:br/>
            </w:r>
          </w:p>
        </w:tc>
      </w:tr>
    </w:tbl>
    <w:p>
      <w:pPr>
        <w:spacing w:after="400" w:before="0"/>
      </w:pPr>
    </w:p>
    <w:p>
      <w:pPr>
        <w:jc w:val="center"/>
      </w:pPr>
      <w:r>
        <w:rPr>
          <w:b/>
          <w:color w:val="1F497D"/>
          <w:sz w:val="56"/>
        </w:rPr>
        <w:t>Zdravdom Platform</w:t>
      </w:r>
    </w:p>
    <w:p>
      <w:pPr>
        <w:jc w:val="center"/>
      </w:pPr>
      <w:r>
        <w:rPr>
          <w:i/>
          <w:color w:val="404040"/>
          <w:sz w:val="28"/>
        </w:rPr>
        <w:t>Home Healthcare Platform — Backend Development &amp; DevOps</w:t>
      </w:r>
    </w:p>
    <w:p>
      <w:pPr>
        <w:spacing w:after="200" w:before="0"/>
      </w:pPr>
    </w:p>
    <w:p>
      <w:pPr>
        <w:jc w:val="center"/>
      </w:pPr>
      <w:r>
        <w:rPr>
          <w:color w:val="404040"/>
          <w:sz w:val="22"/>
        </w:rPr>
        <w:t>Proposal prepared for Zdravdom — March 2026</w:t>
      </w:r>
    </w:p>
    <w:p>
      <w:pPr>
        <w:spacing w:after="600" w:before="0"/>
      </w:pP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D9E2F3"/>
          </w:tcPr>
          <w:p>
            <w:r>
              <w:rPr>
                <w:b/>
              </w:rPr>
              <w:t>Prepared by:</w:t>
            </w:r>
          </w:p>
        </w:tc>
        <w:tc>
          <w:tcPr>
            <w:tcW w:type="dxa" w:w="4703"/>
            <w:shd w:val="clear" w:color="auto" w:fill="FFFFFF"/>
          </w:tcPr>
          <w:p>
            <w:r>
              <w:t>[Your Company Name]</w:t>
            </w:r>
          </w:p>
        </w:tc>
      </w:tr>
      <w:tr>
        <w:tc>
          <w:tcPr>
            <w:tcW w:type="dxa" w:w="4703"/>
            <w:shd w:val="clear" w:color="auto" w:fill="D9E2F3"/>
          </w:tcPr>
          <w:p>
            <w:r>
              <w:rPr>
                <w:b/>
              </w:rPr>
              <w:t>Prepared for:</w:t>
            </w:r>
          </w:p>
        </w:tc>
        <w:tc>
          <w:tcPr>
            <w:tcW w:type="dxa" w:w="4703"/>
            <w:shd w:val="clear" w:color="auto" w:fill="FFFFFF"/>
          </w:tcPr>
          <w:p>
            <w:r>
              <w:t>Zdravdom</w:t>
            </w:r>
          </w:p>
        </w:tc>
      </w:tr>
      <w:tr>
        <w:tc>
          <w:tcPr>
            <w:tcW w:type="dxa" w:w="4703"/>
            <w:shd w:val="clear" w:color="auto" w:fill="D9E2F3"/>
          </w:tcPr>
          <w:p>
            <w:r>
              <w:rPr>
                <w:b/>
              </w:rPr>
              <w:t>Date:</w:t>
            </w:r>
          </w:p>
        </w:tc>
        <w:tc>
          <w:tcPr>
            <w:tcW w:type="dxa" w:w="4703"/>
            <w:shd w:val="clear" w:color="auto" w:fill="FFFFFF"/>
          </w:tcPr>
          <w:p>
            <w:r>
              <w:t>March 2026</w:t>
            </w:r>
          </w:p>
        </w:tc>
      </w:tr>
      <w:tr>
        <w:tc>
          <w:tcPr>
            <w:tcW w:type="dxa" w:w="4703"/>
            <w:shd w:val="clear" w:color="auto" w:fill="D9E2F3"/>
          </w:tcPr>
          <w:p>
            <w:r>
              <w:rPr>
                <w:b/>
              </w:rPr>
              <w:t>Proposal version:</w:t>
            </w:r>
          </w:p>
        </w:tc>
        <w:tc>
          <w:tcPr>
            <w:tcW w:type="dxa" w:w="4703"/>
            <w:shd w:val="clear" w:color="auto" w:fill="FFFFFF"/>
          </w:tcPr>
          <w:p>
            <w:r>
              <w:t>v1.0</w:t>
            </w:r>
          </w:p>
        </w:tc>
      </w:tr>
      <w:tr>
        <w:tc>
          <w:tcPr>
            <w:tcW w:type="dxa" w:w="4703"/>
            <w:shd w:val="clear" w:color="auto" w:fill="D9E2F3"/>
          </w:tcPr>
          <w:p>
            <w:r>
              <w:rPr>
                <w:b/>
              </w:rPr>
              <w:t>Status:</w:t>
            </w:r>
          </w:p>
        </w:tc>
        <w:tc>
          <w:tcPr>
            <w:tcW w:type="dxa" w:w="4703"/>
            <w:shd w:val="clear" w:color="auto" w:fill="FFFFFF"/>
          </w:tcPr>
          <w:p>
            <w:r>
              <w:t>Confidential</w:t>
            </w:r>
          </w:p>
        </w:tc>
      </w:tr>
    </w:tbl>
    <w:p>
      <w:pPr>
        <w:spacing w:after="400" w:before="0"/>
      </w:pPr>
    </w:p>
    <w:p>
      <w:pPr>
        <w:jc w:val="center"/>
      </w:pPr>
      <w:r>
        <w:rPr>
          <w:i/>
          <w:color w:val="808080"/>
          <w:sz w:val="18"/>
        </w:rPr>
        <w:t>This document is confidential and intended solely for Zdravdom. It may not be reproduced or shared with third parties without prior written consent.</w:t>
      </w:r>
    </w:p>
    <w:p>
      <w:r>
        <w:br w:type="page"/>
      </w:r>
    </w:p>
    <w:p>
      <w:pPr>
        <w:pStyle w:val="Heading1"/>
      </w:pPr>
      <w:r>
        <w:t>1. Executive Summary</w:t>
      </w:r>
    </w:p>
    <w:p>
      <w:pPr>
        <w:spacing w:after="120"/>
        <w:jc w:val="left"/>
      </w:pPr>
      <w:r>
        <w:rPr>
          <w:b w:val="0"/>
          <w:i w:val="0"/>
        </w:rPr>
        <w:t>[Your Company Name] is pleased to submit this proposal for the design, development, and delivery of the Zdravdom home healthcare platform backend, along with full DevOps infrastructure, CI/CD pipelines, and cloud operations.</w:t>
      </w:r>
    </w:p>
    <w:p>
      <w:pPr>
        <w:spacing w:after="120"/>
        <w:jc w:val="left"/>
      </w:pPr>
      <w:r>
        <w:rPr>
          <w:b w:val="0"/>
          <w:i w:val="0"/>
        </w:rPr>
        <w:t>Our proposed solution is a Java Spring Boot backend on AWS or Hetzner infrastructure, with PostgreSQL, Redis, and S3 for storage. The backend exposes a secure REST API consumed by React Native mobile applications (patient and provider) and an admin web portal — all built by separate teams as outlined in your brief.</w:t>
      </w:r>
    </w:p>
    <w:p>
      <w:pPr>
        <w:spacing w:after="120"/>
        <w:jc w:val="left"/>
      </w:pPr>
      <w:r>
        <w:rPr>
          <w:b w:val="0"/>
          <w:i w:val="0"/>
        </w:rPr>
        <w:t>We propose a phased delivery starting with an MVP (Phase 1–2), followed by operational scale improvements and then full healthcare system integrations. This approach reduces initial risk, allows real-world validation after MVP launch, and keeps external integration dependencies — which carry legal and certification complexity — for later phases.</w:t>
      </w:r>
    </w:p>
    <w:p>
      <w:pPr>
        <w:spacing w:after="120" w:before="0"/>
      </w:pPr>
    </w:p>
    <w:p>
      <w:pPr>
        <w:spacing w:before="80" w:after="80"/>
        <w:pBdr>
          <w:bottom w:val="single" w:sz="6" w:space="1" w:color="1F497D"/>
        </w:pBdr>
      </w:pPr>
    </w:p>
    <w:p>
      <w:pPr>
        <w:pStyle w:val="Heading1"/>
      </w:pPr>
      <w:r>
        <w:t>2. Understanding of Requirements</w:t>
      </w:r>
    </w:p>
    <w:p>
      <w:pPr>
        <w:spacing w:after="120"/>
        <w:jc w:val="left"/>
      </w:pPr>
      <w:r>
        <w:rPr>
          <w:b w:val="0"/>
          <w:i w:val="0"/>
        </w:rPr>
        <w:t>Based on the Zdravdom Development Scope &amp; Estimation Brief, we understand that Zdravdom is a home healthcare platform connecting patients and families with verified healthcare providers who deliver care at the patient's home. The primary market is Slovenia, with future multi-language and regional growth potential.</w:t>
      </w:r>
    </w:p>
    <w:p>
      <w:pPr>
        <w:pStyle w:val="Heading2"/>
      </w:pPr>
      <w:r>
        <w:t>2.1 Platform Components</w:t>
      </w:r>
    </w:p>
    <w:p>
      <w:pPr>
        <w:pStyle w:val="ListBullet"/>
        <w:spacing w:after="60"/>
        <w:ind w:left="432"/>
      </w:pPr>
      <w:r>
        <w:rPr>
          <w:b/>
        </w:rPr>
        <w:t xml:space="preserve">Patient Mobile App: </w:t>
      </w:r>
      <w:r/>
      <w:r>
        <w:t>iOS and Android app built with React Native — for patients and families to book home healthcare services, manage profiles, track visits, and pay.</w:t>
      </w:r>
    </w:p>
    <w:p>
      <w:pPr>
        <w:pStyle w:val="ListBullet"/>
        <w:spacing w:after="60"/>
        <w:ind w:left="432"/>
      </w:pPr>
      <w:r>
        <w:rPr>
          <w:b/>
        </w:rPr>
        <w:t xml:space="preserve">Provider Mobile App: </w:t>
      </w:r>
      <w:r/>
      <w:r>
        <w:t>iOS and Android app built with React Native — for nurses, physiotherapists, doctors, and other providers to manage availability, receive bookings, and complete visit documentation.</w:t>
      </w:r>
    </w:p>
    <w:p>
      <w:pPr>
        <w:pStyle w:val="ListBullet"/>
        <w:spacing w:after="60"/>
        <w:ind w:left="432"/>
      </w:pPr>
      <w:r>
        <w:rPr>
          <w:b/>
        </w:rPr>
        <w:t xml:space="preserve">Admin / Operations Web Portal: </w:t>
      </w:r>
      <w:r/>
      <w:r>
        <w:t>Web application for Zdravdom operations staff to manage users, bookings, providers, content, analytics, and support workflows.</w:t>
      </w:r>
    </w:p>
    <w:p>
      <w:pPr>
        <w:pStyle w:val="ListBullet"/>
        <w:spacing w:after="60"/>
        <w:ind w:left="432"/>
      </w:pPr>
      <w:r>
        <w:rPr>
          <w:b/>
        </w:rPr>
        <w:t xml:space="preserve">Backend Platform: </w:t>
      </w:r>
      <w:r/>
      <w:r>
        <w:t>API gateway, core services, database, storage, notifications, analytics, CMS, and integrations layer. This is the scope of our proposal.</w:t>
      </w:r>
    </w:p>
    <w:p>
      <w:pPr>
        <w:pStyle w:val="Heading2"/>
      </w:pPr>
      <w:r>
        <w:t>2.2 Key Functional Requirements</w:t>
      </w:r>
    </w:p>
    <w:p>
      <w:pPr>
        <w:pStyle w:val="ListBullet"/>
        <w:spacing w:after="60"/>
        <w:ind w:left="432"/>
      </w:pPr>
      <w:r>
        <w:t>Multi-sided platform: patients, providers, operators, admins — each with role-specific access</w:t>
      </w:r>
    </w:p>
    <w:p>
      <w:pPr>
        <w:pStyle w:val="ListBullet"/>
        <w:spacing w:after="60"/>
        <w:ind w:left="432"/>
      </w:pPr>
      <w:r>
        <w:t>Booking lifecycle: request, confirmation, in-progress, completed, rated — with cancellation policy enforcement</w:t>
      </w:r>
    </w:p>
    <w:p>
      <w:pPr>
        <w:pStyle w:val="ListBullet"/>
        <w:spacing w:after="60"/>
        <w:ind w:left="432"/>
      </w:pPr>
      <w:r>
        <w:t>Provider matching algorithm based on geography, specialization, rating, availability, and load</w:t>
      </w:r>
    </w:p>
    <w:p>
      <w:pPr>
        <w:pStyle w:val="ListBullet"/>
        <w:spacing w:after="60"/>
        <w:ind w:left="432"/>
      </w:pPr>
      <w:r>
        <w:t>Structured visit forms for nursing, physiotherapy, and other clinical services</w:t>
      </w:r>
    </w:p>
    <w:p>
      <w:pPr>
        <w:pStyle w:val="ListBullet"/>
        <w:spacing w:after="60"/>
        <w:ind w:left="432"/>
      </w:pPr>
      <w:r>
        <w:t>Vital signs capture, photo documentation, e-signature, and PDF report generation</w:t>
      </w:r>
    </w:p>
    <w:p>
      <w:pPr>
        <w:pStyle w:val="ListBullet"/>
        <w:spacing w:after="60"/>
        <w:ind w:left="432"/>
      </w:pPr>
      <w:r>
        <w:t>Stripe card payments + invoice/UPN, refund logic, commission calculation, provider payouts</w:t>
      </w:r>
    </w:p>
    <w:p>
      <w:pPr>
        <w:pStyle w:val="ListBullet"/>
        <w:spacing w:after="60"/>
        <w:ind w:left="432"/>
      </w:pPr>
      <w:r>
        <w:t>Push notifications (FCM/APNs), SMS, and email with scheduled reminders</w:t>
      </w:r>
    </w:p>
    <w:p>
      <w:pPr>
        <w:pStyle w:val="ListBullet"/>
        <w:spacing w:after="60"/>
        <w:ind w:left="432"/>
      </w:pPr>
      <w:r>
        <w:t>Operational analytics: DAU/MAU, conversion rates, NPS, CAC, LTV, MRR, churn, repeat visits</w:t>
      </w:r>
    </w:p>
    <w:p>
      <w:pPr>
        <w:pStyle w:val="ListBullet"/>
        <w:spacing w:after="60"/>
        <w:ind w:left="432"/>
      </w:pPr>
      <w:r>
        <w:t>GDPR compliance: data export, delete, audit logging, consent management, 10-year health record retention</w:t>
      </w:r>
    </w:p>
    <w:p>
      <w:pPr>
        <w:pStyle w:val="ListBullet"/>
        <w:spacing w:after="60"/>
        <w:ind w:left="432"/>
      </w:pPr>
      <w:r>
        <w:t>External integrations: eZdravje/NIJZ, BIRPIS/ZZZS, medical suppliers, hospital EHR systems</w:t>
      </w:r>
    </w:p>
    <w:p>
      <w:pPr>
        <w:pStyle w:val="Heading2"/>
      </w:pPr>
      <w:r>
        <w:t>2.3 Target Technology Direction</w:t>
      </w:r>
    </w:p>
    <w:p>
      <w:pPr>
        <w:spacing w:after="120"/>
        <w:jc w:val="left"/>
      </w:pPr>
      <w:r>
        <w:rPr>
          <w:b w:val="0"/>
          <w:i w:val="0"/>
        </w:rPr>
        <w:t>The brief specifies the following technology direction:</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Layer</w:t>
            </w:r>
          </w:p>
        </w:tc>
        <w:tc>
          <w:tcPr>
            <w:tcW w:type="dxa" w:w="4703"/>
            <w:shd w:val="clear" w:color="auto" w:fill="1F497D"/>
          </w:tcPr>
          <w:p>
            <w:pPr>
              <w:jc w:val="center"/>
            </w:pPr>
            <w:r>
              <w:rPr>
                <w:b/>
                <w:color w:val="FFFFFF"/>
              </w:rPr>
              <w:t>Specified Technology</w:t>
            </w:r>
          </w:p>
        </w:tc>
      </w:tr>
      <w:tr>
        <w:tc>
          <w:tcPr>
            <w:tcW w:type="dxa" w:w="4703"/>
            <w:shd w:val="clear" w:color="auto" w:fill="F2F5FA"/>
          </w:tcPr>
          <w:p>
            <w:r>
              <w:t>Backend</w:t>
            </w:r>
          </w:p>
        </w:tc>
        <w:tc>
          <w:tcPr>
            <w:tcW w:type="dxa" w:w="4703"/>
            <w:shd w:val="clear" w:color="auto" w:fill="F2F5FA"/>
          </w:tcPr>
          <w:p>
            <w:r>
              <w:t>Node.js / NestJS (we propose Java 17 / Spring Boot as an alternative — see Section 5)</w:t>
            </w:r>
          </w:p>
        </w:tc>
      </w:tr>
      <w:tr>
        <w:tc>
          <w:tcPr>
            <w:tcW w:type="dxa" w:w="4703"/>
            <w:shd w:val="clear" w:color="auto" w:fill="FFFFFF"/>
          </w:tcPr>
          <w:p>
            <w:r>
              <w:t>Database</w:t>
            </w:r>
          </w:p>
        </w:tc>
        <w:tc>
          <w:tcPr>
            <w:tcW w:type="dxa" w:w="4703"/>
            <w:shd w:val="clear" w:color="auto" w:fill="FFFFFF"/>
          </w:tcPr>
          <w:p>
            <w:r>
              <w:t>PostgreSQL</w:t>
            </w:r>
          </w:p>
        </w:tc>
      </w:tr>
      <w:tr>
        <w:tc>
          <w:tcPr>
            <w:tcW w:type="dxa" w:w="4703"/>
            <w:shd w:val="clear" w:color="auto" w:fill="F2F5FA"/>
          </w:tcPr>
          <w:p>
            <w:r>
              <w:t>Cache / Real-time</w:t>
            </w:r>
          </w:p>
        </w:tc>
        <w:tc>
          <w:tcPr>
            <w:tcW w:type="dxa" w:w="4703"/>
            <w:shd w:val="clear" w:color="auto" w:fill="F2F5FA"/>
          </w:tcPr>
          <w:p>
            <w:r>
              <w:t>Redis</w:t>
            </w:r>
          </w:p>
        </w:tc>
      </w:tr>
      <w:tr>
        <w:tc>
          <w:tcPr>
            <w:tcW w:type="dxa" w:w="4703"/>
            <w:shd w:val="clear" w:color="auto" w:fill="FFFFFF"/>
          </w:tcPr>
          <w:p>
            <w:r>
              <w:t>Document Storage</w:t>
            </w:r>
          </w:p>
        </w:tc>
        <w:tc>
          <w:tcPr>
            <w:tcW w:type="dxa" w:w="4703"/>
            <w:shd w:val="clear" w:color="auto" w:fill="FFFFFF"/>
          </w:tcPr>
          <w:p>
            <w:r>
              <w:t>S3-compatible object storage</w:t>
            </w:r>
          </w:p>
        </w:tc>
      </w:tr>
      <w:tr>
        <w:tc>
          <w:tcPr>
            <w:tcW w:type="dxa" w:w="4703"/>
            <w:shd w:val="clear" w:color="auto" w:fill="F2F5FA"/>
          </w:tcPr>
          <w:p>
            <w:r>
              <w:t>Search</w:t>
            </w:r>
          </w:p>
        </w:tc>
        <w:tc>
          <w:tcPr>
            <w:tcW w:type="dxa" w:w="4703"/>
            <w:shd w:val="clear" w:color="auto" w:fill="F2F5FA"/>
          </w:tcPr>
          <w:p>
            <w:r>
              <w:t>Elasticsearch</w:t>
            </w:r>
          </w:p>
        </w:tc>
      </w:tr>
      <w:tr>
        <w:tc>
          <w:tcPr>
            <w:tcW w:type="dxa" w:w="4703"/>
            <w:shd w:val="clear" w:color="auto" w:fill="FFFFFF"/>
          </w:tcPr>
          <w:p>
            <w:r>
              <w:t>Infrastructure</w:t>
            </w:r>
          </w:p>
        </w:tc>
        <w:tc>
          <w:tcPr>
            <w:tcW w:type="dxa" w:w="4703"/>
            <w:shd w:val="clear" w:color="auto" w:fill="FFFFFF"/>
          </w:tcPr>
          <w:p>
            <w:r>
              <w:t>AWS or GDPR-compliant EU hosting (Hetzner)</w:t>
            </w:r>
          </w:p>
        </w:tc>
      </w:tr>
      <w:tr>
        <w:tc>
          <w:tcPr>
            <w:tcW w:type="dxa" w:w="4703"/>
            <w:shd w:val="clear" w:color="auto" w:fill="F2F5FA"/>
          </w:tcPr>
          <w:p>
            <w:r>
              <w:t>CI/CD</w:t>
            </w:r>
          </w:p>
        </w:tc>
        <w:tc>
          <w:tcPr>
            <w:tcW w:type="dxa" w:w="4703"/>
            <w:shd w:val="clear" w:color="auto" w:fill="F2F5FA"/>
          </w:tcPr>
          <w:p>
            <w:r>
              <w:t>GitHub Actions</w:t>
            </w:r>
          </w:p>
        </w:tc>
      </w:tr>
    </w:tbl>
    <w:p>
      <w:pPr>
        <w:spacing w:after="160" w:before="0"/>
      </w:pPr>
    </w:p>
    <w:p>
      <w:pPr>
        <w:spacing w:after="120"/>
        <w:jc w:val="left"/>
      </w:pPr>
      <w:r>
        <w:rPr>
          <w:b w:val="0"/>
          <w:i/>
        </w:rPr>
        <w:t>Note: Our proposal uses Java 17 / Spring Boot for the backend. We believe this is better suited for a healthcare platform given your existing Java team. All other infrastructure choices (PostgreSQL, Redis, S3, Elasticsearch, GitHub Actions) remain as specified.</w:t>
      </w:r>
    </w:p>
    <w:p>
      <w:r>
        <w:br w:type="page"/>
      </w:r>
    </w:p>
    <w:p>
      <w:pPr>
        <w:pStyle w:val="Heading1"/>
      </w:pPr>
      <w:r>
        <w:t>3. Proposed Solution &amp; Approach</w:t>
      </w:r>
    </w:p>
    <w:p>
      <w:pPr>
        <w:pStyle w:val="Heading2"/>
      </w:pPr>
      <w:r>
        <w:t>3.1 Architecture Overview</w:t>
      </w:r>
    </w:p>
    <w:p>
      <w:pPr>
        <w:spacing w:after="120"/>
        <w:jc w:val="left"/>
      </w:pPr>
      <w:r>
        <w:rPr>
          <w:b w:val="0"/>
          <w:i w:val="0"/>
        </w:rPr>
        <w:t>The backend is a Spring Boot 3 application deployed as Docker containers on AWS ECS (or Hetzner Cloud). All data is stored in PostgreSQL with Redis for caching and slot locking, S3-compatible storage for documents and media, and Elasticsearch for search and analytics. The architecture follows an API gateway pattern with all services exposing REST endpoints consumed exclusively by client applications.</w:t>
      </w:r>
    </w:p>
    <w:p>
      <w:pPr>
        <w:spacing w:after="80" w:before="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F2F5FA"/>
          </w:tcPr>
          <w:p>
            <w:pPr>
              <w:jc w:val="center"/>
            </w:pPr>
            <w:r>
              <w:t>Patient App</w:t>
              <w:br/>
              <w:t>(React Native)</w:t>
            </w:r>
          </w:p>
        </w:tc>
        <w:tc>
          <w:tcPr>
            <w:tcW w:type="dxa" w:w="3135"/>
            <w:shd w:val="clear" w:color="auto" w:fill="F2F5FA"/>
          </w:tcPr>
          <w:p>
            <w:pPr>
              <w:jc w:val="center"/>
            </w:pPr>
            <w:r>
              <w:t>Provider App</w:t>
              <w:br/>
              <w:t>(React Native)</w:t>
            </w:r>
          </w:p>
        </w:tc>
        <w:tc>
          <w:tcPr>
            <w:tcW w:type="dxa" w:w="3135"/>
            <w:shd w:val="clear" w:color="auto" w:fill="F2F5FA"/>
          </w:tcPr>
          <w:p>
            <w:pPr>
              <w:jc w:val="center"/>
            </w:pPr>
            <w:r>
              <w:t>Admin Portal</w:t>
              <w:br/>
              <w:t>(React/Vue/Angular)</w:t>
            </w:r>
          </w:p>
        </w:tc>
      </w:tr>
      <w:tr>
        <w:tc>
          <w:tcPr>
            <w:tcW w:type="dxa" w:w="3135"/>
          </w:tcPr>
          <w:p>
            <w:pPr>
              <w:jc w:val="center"/>
            </w:pPr>
            <w:r/>
          </w:p>
        </w:tc>
        <w:tc>
          <w:tcPr>
            <w:tcW w:type="dxa" w:w="3135"/>
          </w:tcPr>
          <w:p>
            <w:pPr>
              <w:jc w:val="center"/>
            </w:pPr>
            <w:r>
              <w:t>REST API  |  OpenAPI 3.0</w:t>
            </w:r>
          </w:p>
        </w:tc>
        <w:tc>
          <w:tcPr>
            <w:tcW w:type="dxa" w:w="3135"/>
          </w:tcPr>
          <w:p>
            <w:pPr>
              <w:jc w:val="center"/>
            </w:pPr>
            <w:r/>
          </w:p>
        </w:tc>
      </w:tr>
      <w:tr>
        <w:tc>
          <w:tcPr>
            <w:tcW w:type="dxa" w:w="3135"/>
            <w:shd w:val="clear" w:color="auto" w:fill="D9E2F3"/>
          </w:tcPr>
          <w:p>
            <w:pPr>
              <w:jc w:val="center"/>
            </w:pPr>
            <w:r>
              <w:t>Java Spring Boot Backend</w:t>
              <w:br/>
              <w:t>(Multi-service)</w:t>
            </w:r>
          </w:p>
        </w:tc>
        <w:tc>
          <w:tcPr>
            <w:tcW w:type="dxa" w:w="3135"/>
            <w:shd w:val="clear" w:color="auto" w:fill="D9E2F3"/>
          </w:tcPr>
          <w:p>
            <w:pPr>
              <w:jc w:val="center"/>
            </w:pPr>
            <w:r>
              <w:t>PostgreSQL | Redis | S3 | Elasticsearch</w:t>
            </w:r>
          </w:p>
        </w:tc>
        <w:tc>
          <w:tcPr>
            <w:tcW w:type="dxa" w:w="3135"/>
            <w:shd w:val="clear" w:color="auto" w:fill="D9E2F3"/>
          </w:tcPr>
          <w:p>
            <w:pPr>
              <w:jc w:val="center"/>
            </w:pPr>
            <w:r>
              <w:t>External Systems</w:t>
              <w:br/>
              <w:t>(NIJZ, ZZZS, Stripe, Maps)</w:t>
            </w:r>
          </w:p>
        </w:tc>
      </w:tr>
      <w:tr>
        <w:tc>
          <w:tcPr>
            <w:tcW w:type="dxa" w:w="3135"/>
          </w:tcPr>
          <w:p>
            <w:pPr>
              <w:jc w:val="center"/>
            </w:pPr>
            <w:r>
              <w:t>CI/CD: GitHub Actions</w:t>
              <w:br/>
              <w:t>Monitoring: Grafana + Sentry</w:t>
            </w:r>
          </w:p>
        </w:tc>
        <w:tc>
          <w:tcPr>
            <w:tcW w:type="dxa" w:w="3135"/>
          </w:tcPr>
          <w:p>
            <w:pPr>
              <w:jc w:val="center"/>
            </w:pPr>
            <w:r>
              <w:t>Docker: AWS ECS / Hetzner</w:t>
              <w:br/>
              <w:t>SSL/TLS, IAM, VPC, Backup/DR</w:t>
            </w:r>
          </w:p>
        </w:tc>
        <w:tc>
          <w:tcPr>
            <w:tcW w:type="dxa" w:w="3135"/>
          </w:tcPr>
          <w:p>
            <w:pPr>
              <w:jc w:val="center"/>
            </w:pPr>
            <w:r>
              <w:t>Grafana Dashboards</w:t>
              <w:br/>
              <w:t>Alerts, Runbooks</w:t>
            </w:r>
          </w:p>
        </w:tc>
      </w:tr>
    </w:tbl>
    <w:p>
      <w:pPr>
        <w:spacing w:after="200" w:before="0"/>
      </w:pPr>
    </w:p>
    <w:p>
      <w:pPr>
        <w:pStyle w:val="Heading2"/>
      </w:pPr>
      <w:r>
        <w:t>3.2 Backend Service Modules</w:t>
      </w:r>
    </w:p>
    <w:p>
      <w:pPr>
        <w:spacing w:after="120"/>
        <w:jc w:val="left"/>
      </w:pPr>
      <w:r>
        <w:rPr>
          <w:b w:val="0"/>
          <w:i w:val="0"/>
        </w:rPr>
        <w:t>The backend is structured into the following service modules: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Module</w:t>
            </w:r>
          </w:p>
        </w:tc>
        <w:tc>
          <w:tcPr>
            <w:tcW w:type="dxa" w:w="4703"/>
            <w:shd w:val="clear" w:color="auto" w:fill="1F497D"/>
          </w:tcPr>
          <w:p>
            <w:pPr>
              <w:jc w:val="center"/>
            </w:pPr>
            <w:r>
              <w:rPr>
                <w:b/>
                <w:color w:val="FFFFFF"/>
              </w:rPr>
              <w:t>Description</w:t>
            </w:r>
          </w:p>
        </w:tc>
      </w:tr>
      <w:tr>
        <w:tc>
          <w:tcPr>
            <w:tcW w:type="dxa" w:w="4703"/>
            <w:shd w:val="clear" w:color="auto" w:fill="F2F5FA"/>
          </w:tcPr>
          <w:p>
            <w:r>
              <w:t>Auth Service</w:t>
            </w:r>
          </w:p>
        </w:tc>
        <w:tc>
          <w:tcPr>
            <w:tcW w:type="dxa" w:w="4703"/>
            <w:shd w:val="clear" w:color="auto" w:fill="F2F5FA"/>
          </w:tcPr>
          <w:p>
            <w:r>
              <w:t>JWT authentication, MFA, RBAC for 5 roles</w:t>
            </w:r>
          </w:p>
        </w:tc>
      </w:tr>
      <w:tr>
        <w:tc>
          <w:tcPr>
            <w:tcW w:type="dxa" w:w="4703"/>
            <w:shd w:val="clear" w:color="auto" w:fill="FFFFFF"/>
          </w:tcPr>
          <w:p>
            <w:r>
              <w:t>User Service</w:t>
            </w:r>
          </w:p>
        </w:tc>
        <w:tc>
          <w:tcPr>
            <w:tcW w:type="dxa" w:w="4703"/>
            <w:shd w:val="clear" w:color="auto" w:fill="FFFFFF"/>
          </w:tcPr>
          <w:p>
            <w:r>
              <w:t>Patient/provider profiles, document management, GDPR workflows</w:t>
            </w:r>
          </w:p>
        </w:tc>
      </w:tr>
      <w:tr>
        <w:tc>
          <w:tcPr>
            <w:tcW w:type="dxa" w:w="4703"/>
            <w:shd w:val="clear" w:color="auto" w:fill="F2F5FA"/>
          </w:tcPr>
          <w:p>
            <w:r>
              <w:t>Booking Service</w:t>
            </w:r>
          </w:p>
        </w:tc>
        <w:tc>
          <w:tcPr>
            <w:tcW w:type="dxa" w:w="4703"/>
            <w:shd w:val="clear" w:color="auto" w:fill="F2F5FA"/>
          </w:tcPr>
          <w:p>
            <w:r>
              <w:t>Full booking lifecycle with status machine and cancellation policy</w:t>
            </w:r>
          </w:p>
        </w:tc>
      </w:tr>
      <w:tr>
        <w:tc>
          <w:tcPr>
            <w:tcW w:type="dxa" w:w="4703"/>
            <w:shd w:val="clear" w:color="auto" w:fill="FFFFFF"/>
          </w:tcPr>
          <w:p>
            <w:r>
              <w:t>Matching Engine</w:t>
            </w:r>
          </w:p>
        </w:tc>
        <w:tc>
          <w:tcPr>
            <w:tcW w:type="dxa" w:w="4703"/>
            <w:shd w:val="clear" w:color="auto" w:fill="FFFFFF"/>
          </w:tcPr>
          <w:p>
            <w:r>
              <w:t>Geo-based provider scoring and Redis slot locking</w:t>
            </w:r>
          </w:p>
        </w:tc>
      </w:tr>
      <w:tr>
        <w:tc>
          <w:tcPr>
            <w:tcW w:type="dxa" w:w="4703"/>
            <w:shd w:val="clear" w:color="auto" w:fill="F2F5FA"/>
          </w:tcPr>
          <w:p>
            <w:r>
              <w:t>Visit Service</w:t>
            </w:r>
          </w:p>
        </w:tc>
        <w:tc>
          <w:tcPr>
            <w:tcW w:type="dxa" w:w="4703"/>
            <w:shd w:val="clear" w:color="auto" w:fill="F2F5FA"/>
          </w:tcPr>
          <w:p>
            <w:r>
              <w:t>Structured clinical forms, vitals, media, e-signature, PDF reports</w:t>
            </w:r>
          </w:p>
        </w:tc>
      </w:tr>
      <w:tr>
        <w:tc>
          <w:tcPr>
            <w:tcW w:type="dxa" w:w="4703"/>
            <w:shd w:val="clear" w:color="auto" w:fill="FFFFFF"/>
          </w:tcPr>
          <w:p>
            <w:r>
              <w:t>Billing Service</w:t>
            </w:r>
          </w:p>
        </w:tc>
        <w:tc>
          <w:tcPr>
            <w:tcW w:type="dxa" w:w="4703"/>
            <w:shd w:val="clear" w:color="auto" w:fill="FFFFFF"/>
          </w:tcPr>
          <w:p>
            <w:r>
              <w:t>Stripe payments, invoice/UPN, refunds, commissions, payouts, subscriptions</w:t>
            </w:r>
          </w:p>
        </w:tc>
      </w:tr>
      <w:tr>
        <w:tc>
          <w:tcPr>
            <w:tcW w:type="dxa" w:w="4703"/>
            <w:shd w:val="clear" w:color="auto" w:fill="F2F5FA"/>
          </w:tcPr>
          <w:p>
            <w:r>
              <w:t>Notification Service</w:t>
            </w:r>
          </w:p>
        </w:tc>
        <w:tc>
          <w:tcPr>
            <w:tcW w:type="dxa" w:w="4703"/>
            <w:shd w:val="clear" w:color="auto" w:fill="F2F5FA"/>
          </w:tcPr>
          <w:p>
            <w:r>
              <w:t>Push (FCM/APNs), SMS, email with templating and scheduling</w:t>
            </w:r>
          </w:p>
        </w:tc>
      </w:tr>
      <w:tr>
        <w:tc>
          <w:tcPr>
            <w:tcW w:type="dxa" w:w="4703"/>
            <w:shd w:val="clear" w:color="auto" w:fill="FFFFFF"/>
          </w:tcPr>
          <w:p>
            <w:r>
              <w:t>Analytics Service</w:t>
            </w:r>
          </w:p>
        </w:tc>
        <w:tc>
          <w:tcPr>
            <w:tcW w:type="dxa" w:w="4703"/>
            <w:shd w:val="clear" w:color="auto" w:fill="FFFFFF"/>
          </w:tcPr>
          <w:p>
            <w:r>
              <w:t>Event tracking, KPI computation, dashboard endpoints</w:t>
            </w:r>
          </w:p>
        </w:tc>
      </w:tr>
      <w:tr>
        <w:tc>
          <w:tcPr>
            <w:tcW w:type="dxa" w:w="4703"/>
            <w:shd w:val="clear" w:color="auto" w:fill="F2F5FA"/>
          </w:tcPr>
          <w:p>
            <w:r>
              <w:t>CMS Service</w:t>
            </w:r>
          </w:p>
        </w:tc>
        <w:tc>
          <w:tcPr>
            <w:tcW w:type="dxa" w:w="4703"/>
            <w:shd w:val="clear" w:color="auto" w:fill="F2F5FA"/>
          </w:tcPr>
          <w:p>
            <w:r>
              <w:t>Services, packages, pricing rules, content — no code release needed</w:t>
            </w:r>
          </w:p>
        </w:tc>
      </w:tr>
      <w:tr>
        <w:tc>
          <w:tcPr>
            <w:tcW w:type="dxa" w:w="4703"/>
            <w:shd w:val="clear" w:color="auto" w:fill="FFFFFF"/>
          </w:tcPr>
          <w:p>
            <w:r>
              <w:t>Integration Service</w:t>
            </w:r>
          </w:p>
        </w:tc>
        <w:tc>
          <w:tcPr>
            <w:tcW w:type="dxa" w:w="4703"/>
            <w:shd w:val="clear" w:color="auto" w:fill="FFFFFF"/>
          </w:tcPr>
          <w:p>
            <w:r>
              <w:t>NIJZ, ZZZS, suppliers, hospital EHR, maps, calendar sync</w:t>
            </w:r>
          </w:p>
        </w:tc>
      </w:tr>
    </w:tbl>
    <w:p>
      <w:pPr>
        <w:spacing w:after="120" w:before="0"/>
      </w:pPr>
    </w:p>
    <w:p>
      <w:pPr>
        <w:pStyle w:val="Heading2"/>
      </w:pPr>
      <w:r>
        <w:t>3.3 API-First Design</w:t>
      </w:r>
    </w:p>
    <w:p>
      <w:pPr>
        <w:spacing w:after="120"/>
        <w:jc w:val="left"/>
      </w:pPr>
      <w:r>
        <w:rPr>
          <w:b w:val="0"/>
          <w:i w:val="0"/>
        </w:rPr>
        <w:t>We follow an API-first design methodology. Before any backend code is written, OpenAPI 3.0 specifications will be published and shared with mobile and admin teams. This allows parallel development: mobile and admin teams can build against mock servers while the backend is being developed.</w:t>
      </w:r>
    </w:p>
    <w:p>
      <w:pPr>
        <w:pStyle w:val="Heading2"/>
      </w:pPr>
      <w:r>
        <w:t>3.4 Phased Delivery Philosophy</w:t>
      </w:r>
    </w:p>
    <w:p>
      <w:pPr>
        <w:spacing w:after="120"/>
        <w:jc w:val="left"/>
      </w:pPr>
      <w:r>
        <w:rPr>
          <w:b w:val="0"/>
          <w:i w:val="0"/>
        </w:rPr>
        <w:t>We recommend delivering the platform in clearly defined phases, with the MVP providing a fully functional private-pay platform. External healthcare integrations (NIJZ, ZZZS, hospital systems) are intentionally deferred to later phases because they require legal agreements, certificates, sandbox access, and certification — none of which can be delivered by a software vendor alone. This phased approach is aligned with your brief's Stage 0 through Stage 3 structure.</w:t>
      </w:r>
    </w:p>
    <w:p>
      <w:r>
        <w:br w:type="page"/>
      </w:r>
    </w:p>
    <w:p>
      <w:pPr>
        <w:pStyle w:val="Heading1"/>
      </w:pPr>
      <w:r>
        <w:t>4. Delivery Phases &amp; Timeline</w:t>
      </w:r>
    </w:p>
    <w:p>
      <w:pPr>
        <w:spacing w:after="120"/>
        <w:jc w:val="left"/>
      </w:pPr>
      <w:r>
        <w:rPr>
          <w:b w:val="0"/>
          <w:i w:val="0"/>
        </w:rPr>
        <w:t>The following phases are aligned with the brief's recommended structure. Phases 1–2 represent the MVP scope; Phases 3–4 cover scale and integration.</w:t>
      </w:r>
    </w:p>
    <w:p>
      <w:pPr>
        <w:pStyle w:val="Heading2"/>
      </w:pPr>
      <w:r>
        <w:t>4.0  Phase 0: Discovery &amp; Solution Design</w:t>
      </w:r>
    </w:p>
    <w:tbl>
      <w:tblPr>
        <w:tblStyle w:val="TableGrid"/>
        <w:tblW w:type="auto" w:w="0"/>
        <w:tblLook w:firstColumn="1" w:firstRow="1" w:lastColumn="0" w:lastRow="0" w:noHBand="0" w:noVBand="1" w:val="04A0"/>
      </w:tblPr>
      <w:tblGrid>
        <w:gridCol w:w="4703"/>
        <w:gridCol w:w="4703"/>
      </w:tblGrid>
      <w:tr>
        <w:tc>
          <w:tcPr>
            <w:tcW w:type="dxa" w:w="4703"/>
            <w:shd w:val="clear" w:color="auto" w:fill="D9E2F3"/>
          </w:tcPr>
          <w:p>
            <w:r>
              <w:rPr>
                <w:b/>
              </w:rPr>
              <w:t>Duration</w:t>
            </w:r>
          </w:p>
        </w:tc>
        <w:tc>
          <w:tcPr>
            <w:tcW w:type="dxa" w:w="4703"/>
          </w:tcPr>
          <w:p>
            <w:r>
              <w:t>3 weeks</w:t>
            </w:r>
          </w:p>
        </w:tc>
      </w:tr>
      <w:tr>
        <w:tc>
          <w:tcPr>
            <w:tcW w:type="dxa" w:w="4703"/>
            <w:shd w:val="clear" w:color="auto" w:fill="D9E2F3"/>
          </w:tcPr>
          <w:p>
            <w:r>
              <w:rPr>
                <w:b/>
              </w:rPr>
              <w:t>Goal</w:t>
            </w:r>
          </w:p>
        </w:tc>
        <w:tc>
          <w:tcPr>
            <w:tcW w:type="dxa" w:w="4703"/>
          </w:tcPr>
          <w:p>
            <w:r>
              <w:t>Validate scope, assumptions, and technical architecture before committing to full build.</w:t>
            </w:r>
          </w:p>
        </w:tc>
      </w:tr>
      <w:tr>
        <w:tc>
          <w:tcPr>
            <w:tcW w:type="dxa" w:w="4703"/>
          </w:tcPr>
          <w:p/>
        </w:tc>
        <w:tc>
          <w:tcPr>
            <w:tcW w:type="dxa" w:w="4703"/>
          </w:tcPr>
          <w:p/>
        </w:tc>
      </w:tr>
    </w:tbl>
    <w:p>
      <w:pPr>
        <w:spacing w:after="80" w:before="0"/>
      </w:pPr>
    </w:p>
    <w:p>
      <w:pPr>
        <w:spacing w:after="120"/>
        <w:jc w:val="left"/>
      </w:pPr>
      <w:r>
        <w:rPr>
          <w:b/>
          <w:i w:val="0"/>
        </w:rPr>
        <w:t>Key Outputs:</w:t>
      </w:r>
    </w:p>
    <w:p>
      <w:pPr>
        <w:pStyle w:val="ListBullet"/>
        <w:spacing w:after="60"/>
        <w:ind w:left="432"/>
      </w:pPr>
      <w:r>
        <w:t>Joint workshops: scope deep-dive, UX flow review, API contract draft</w:t>
      </w:r>
    </w:p>
    <w:p>
      <w:pPr>
        <w:pStyle w:val="ListBullet"/>
        <w:spacing w:after="60"/>
        <w:ind w:left="432"/>
      </w:pPr>
      <w:r>
        <w:t>Technical architecture document: service decomposition, database schema draft</w:t>
      </w:r>
    </w:p>
    <w:p>
      <w:pPr>
        <w:pStyle w:val="ListBullet"/>
        <w:spacing w:after="60"/>
        <w:ind w:left="432"/>
      </w:pPr>
      <w:r>
        <w:t>Refined backlog: MVP boundary confirmed, out-of-scope items documented</w:t>
      </w:r>
    </w:p>
    <w:p>
      <w:pPr>
        <w:pStyle w:val="ListBullet"/>
        <w:spacing w:after="60"/>
        <w:ind w:left="432"/>
      </w:pPr>
      <w:r>
        <w:t>Infrastructure plan: AWS/Hetzner region, environment layout, networking/VPC design</w:t>
      </w:r>
    </w:p>
    <w:p>
      <w:pPr>
        <w:pStyle w:val="ListBullet"/>
        <w:spacing w:after="60"/>
        <w:ind w:left="432"/>
      </w:pPr>
      <w:r>
        <w:t>Updated estimation: timeline and cost confirmed after discovery</w:t>
      </w:r>
    </w:p>
    <w:p>
      <w:pPr>
        <w:pStyle w:val="ListBullet"/>
        <w:spacing w:after="60"/>
        <w:ind w:left="432"/>
      </w:pPr>
      <w:r>
        <w:t>Non-functional requirements: performance targets, SLA, security baseline</w:t>
      </w:r>
    </w:p>
    <w:p>
      <w:pPr>
        <w:spacing w:after="80" w:before="0"/>
      </w:pPr>
    </w:p>
    <w:p>
      <w:pPr>
        <w:spacing w:after="120"/>
        <w:jc w:val="left"/>
      </w:pPr>
      <w:r>
        <w:rPr>
          <w:b w:val="0"/>
          <w:i/>
          <w:sz w:val="20"/>
        </w:rPr>
        <w:t>Dependencies: Client to provide: existing codebase access (if reuse applies), NIJZ/ZZZS technical documentation, brand guidelines.</w:t>
      </w:r>
    </w:p>
    <w:p>
      <w:pPr>
        <w:spacing w:after="80" w:before="0"/>
      </w:pPr>
    </w:p>
    <w:p>
      <w:pPr>
        <w:spacing w:after="120"/>
        <w:jc w:val="left"/>
      </w:pPr>
      <w:r>
        <w:rPr>
          <w:b w:val="0"/>
          <w:i/>
          <w:sz w:val="20"/>
        </w:rPr>
        <w:t>Pricing: Fixed price (see Section 5). This phase is required to reduce uncertainty before Phase 2 commitment.</w:t>
      </w:r>
    </w:p>
    <w:p>
      <w:pPr>
        <w:spacing w:after="160" w:before="0"/>
      </w:pPr>
    </w:p>
    <w:p>
      <w:pPr>
        <w:spacing w:before="80" w:after="80"/>
        <w:pBdr>
          <w:bottom w:val="single" w:sz="6" w:space="1" w:color="1F497D"/>
        </w:pBdr>
      </w:pPr>
    </w:p>
    <w:p>
      <w:pPr>
        <w:spacing w:after="80" w:before="0"/>
      </w:pPr>
    </w:p>
    <w:p>
      <w:pPr>
        <w:pStyle w:val="Heading2"/>
      </w:pPr>
      <w:r>
        <w:t>4.1  Phase 1: MVP Build — Core Platform</w:t>
      </w:r>
    </w:p>
    <w:tbl>
      <w:tblPr>
        <w:tblStyle w:val="TableGrid"/>
        <w:tblW w:type="auto" w:w="0"/>
        <w:tblLook w:firstColumn="1" w:firstRow="1" w:lastColumn="0" w:lastRow="0" w:noHBand="0" w:noVBand="1" w:val="04A0"/>
      </w:tblPr>
      <w:tblGrid>
        <w:gridCol w:w="4703"/>
        <w:gridCol w:w="4703"/>
      </w:tblGrid>
      <w:tr>
        <w:tc>
          <w:tcPr>
            <w:tcW w:type="dxa" w:w="4703"/>
            <w:shd w:val="clear" w:color="auto" w:fill="D9E2F3"/>
          </w:tcPr>
          <w:p>
            <w:r>
              <w:rPr>
                <w:b/>
              </w:rPr>
              <w:t>Duration</w:t>
            </w:r>
          </w:p>
        </w:tc>
        <w:tc>
          <w:tcPr>
            <w:tcW w:type="dxa" w:w="4703"/>
          </w:tcPr>
          <w:p>
            <w:r>
              <w:t>20 weeks (approx. 5 months)</w:t>
            </w:r>
          </w:p>
        </w:tc>
      </w:tr>
      <w:tr>
        <w:tc>
          <w:tcPr>
            <w:tcW w:type="dxa" w:w="4703"/>
            <w:shd w:val="clear" w:color="auto" w:fill="D9E2F3"/>
          </w:tcPr>
          <w:p>
            <w:r>
              <w:rPr>
                <w:b/>
              </w:rPr>
              <w:t>Goal</w:t>
            </w:r>
          </w:p>
        </w:tc>
        <w:tc>
          <w:tcPr>
            <w:tcW w:type="dxa" w:w="4703"/>
          </w:tcPr>
          <w:p>
            <w:r>
              <w:t>Launch a working private-pay platform with manual workarounds for complex integrations.</w:t>
            </w:r>
          </w:p>
        </w:tc>
      </w:tr>
      <w:tr>
        <w:tc>
          <w:tcPr>
            <w:tcW w:type="dxa" w:w="4703"/>
          </w:tcPr>
          <w:p/>
        </w:tc>
        <w:tc>
          <w:tcPr>
            <w:tcW w:type="dxa" w:w="4703"/>
          </w:tcPr>
          <w:p/>
        </w:tc>
      </w:tr>
    </w:tbl>
    <w:p>
      <w:pPr>
        <w:spacing w:after="80" w:before="0"/>
      </w:pPr>
    </w:p>
    <w:p>
      <w:pPr>
        <w:spacing w:after="120"/>
        <w:jc w:val="left"/>
      </w:pPr>
      <w:r>
        <w:rPr>
          <w:b/>
          <w:i w:val="0"/>
        </w:rPr>
        <w:t>Key Outputs:</w:t>
      </w:r>
    </w:p>
    <w:p>
      <w:pPr>
        <w:pStyle w:val="ListBullet"/>
        <w:spacing w:after="60"/>
        <w:ind w:left="432"/>
      </w:pPr>
      <w:r>
        <w:t>Patient app (iOS + Android + responsive web): registration, profiles, multi-address, service catalog, booking, payments (Stripe + invoice/UPN), live visit tracking, visit summaries, ratings</w:t>
      </w:r>
    </w:p>
    <w:p>
      <w:pPr>
        <w:pStyle w:val="ListBullet"/>
        <w:spacing w:after="60"/>
        <w:ind w:left="432"/>
      </w:pPr>
      <w:r>
        <w:t>Provider app (iOS + Android + web dashboard): registration, verification workflow, availability calendar, booking inbox, visit forms, vitals, PDF reports, earnings dashboard</w:t>
      </w:r>
    </w:p>
    <w:p>
      <w:pPr>
        <w:pStyle w:val="ListBullet"/>
        <w:spacing w:after="60"/>
        <w:ind w:left="432"/>
      </w:pPr>
      <w:r>
        <w:t>Admin portal (full React web application): user management, booking oversight, service/pricing CMS, analytics dashboard, GDPR tooling</w:t>
      </w:r>
    </w:p>
    <w:p>
      <w:pPr>
        <w:pStyle w:val="ListBullet"/>
        <w:spacing w:after="60"/>
        <w:ind w:left="432"/>
      </w:pPr>
      <w:r>
        <w:t>Backend: Auth (JWT, MFA, RBAC), Booking, Matching Engine, Visit, Billing, Notification, CMS, Analytics services</w:t>
      </w:r>
    </w:p>
    <w:p>
      <w:pPr>
        <w:pStyle w:val="ListBullet"/>
        <w:spacing w:after="60"/>
        <w:ind w:left="432"/>
      </w:pPr>
      <w:r>
        <w:t>Infrastructure &amp; DevOps: PostgreSQL, Redis, S3, Elasticsearch, Docker, GitHub Actions CI pipeline, staging + production environments, Grafana monitoring, Sentry error tracking</w:t>
      </w:r>
    </w:p>
    <w:p>
      <w:pPr>
        <w:pStyle w:val="ListBullet"/>
        <w:spacing w:after="60"/>
        <w:ind w:left="432"/>
      </w:pPr>
      <w:r>
        <w:t>Integrations (MVP level): Google Maps/Waze routing links, Stripe payments, invoice/UPN generation, manual reimbursement PDF (NIJZ/ZZZS API deferred). Real-time slot locking via Redis to prevent double-booking during concurrent requests.</w:t>
      </w:r>
    </w:p>
    <w:p>
      <w:pPr>
        <w:pStyle w:val="ListBullet"/>
        <w:spacing w:after="60"/>
        <w:ind w:left="432"/>
      </w:pPr>
      <w:r>
        <w:t>GDPR &amp; Security: data export, delete workflow, consent capture, immutable audit logging, encryption at rest, 10-year health record retention</w:t>
      </w:r>
    </w:p>
    <w:p>
      <w:pPr>
        <w:pStyle w:val="ListBullet"/>
        <w:spacing w:after="60"/>
        <w:ind w:left="432"/>
      </w:pPr>
      <w:r>
        <w:t>Testing scope: manual functional testing (ongoing), automated integration tests (JUnit/Testcontainers, parallel with development), performance/load testing (Phase 3), external security penetration test (Phase 3)</w:t>
      </w:r>
    </w:p>
    <w:p>
      <w:pPr>
        <w:pStyle w:val="ListBullet"/>
        <w:spacing w:after="60"/>
        <w:ind w:left="432"/>
      </w:pPr>
      <w:r>
        <w:t>All three surfaces are fully included: Patient (iOS + Android + web), Provider (iOS + Android + web), Admin Web Portal</w:t>
      </w:r>
    </w:p>
    <w:p>
      <w:pPr>
        <w:spacing w:after="80" w:before="0"/>
      </w:pPr>
    </w:p>
    <w:p>
      <w:pPr>
        <w:spacing w:after="120"/>
        <w:jc w:val="left"/>
      </w:pPr>
      <w:r>
        <w:rPr>
          <w:b w:val="0"/>
          <w:i/>
          <w:sz w:val="20"/>
        </w:rPr>
        <w:t>Dependencies: Mobile and admin teams consume OpenAPI docs from Week 3. Client to provide Stripe API keys and test credentials by Week 15.</w:t>
      </w:r>
    </w:p>
    <w:p>
      <w:pPr>
        <w:spacing w:after="80" w:before="0"/>
      </w:pPr>
    </w:p>
    <w:p>
      <w:pPr>
        <w:spacing w:after="120"/>
        <w:jc w:val="left"/>
      </w:pPr>
      <w:r>
        <w:rPr>
          <w:b w:val="0"/>
          <w:i/>
          <w:sz w:val="20"/>
        </w:rPr>
        <w:t>Pricing: Fixed price (see Section 5).</w:t>
      </w:r>
    </w:p>
    <w:p>
      <w:pPr>
        <w:spacing w:after="160" w:before="0"/>
      </w:pPr>
    </w:p>
    <w:p>
      <w:pPr>
        <w:spacing w:before="80" w:after="80"/>
        <w:pBdr>
          <w:bottom w:val="single" w:sz="6" w:space="1" w:color="1F497D"/>
        </w:pBdr>
      </w:pPr>
    </w:p>
    <w:p>
      <w:pPr>
        <w:spacing w:after="80" w:before="0"/>
      </w:pPr>
    </w:p>
    <w:p>
      <w:pPr>
        <w:pStyle w:val="Heading2"/>
      </w:pPr>
      <w:r>
        <w:t>4.2  Phase 2: Operational Scale</w:t>
      </w:r>
    </w:p>
    <w:tbl>
      <w:tblPr>
        <w:tblStyle w:val="TableGrid"/>
        <w:tblW w:type="auto" w:w="0"/>
        <w:tblLook w:firstColumn="1" w:firstRow="1" w:lastColumn="0" w:lastRow="0" w:noHBand="0" w:noVBand="1" w:val="04A0"/>
      </w:tblPr>
      <w:tblGrid>
        <w:gridCol w:w="4703"/>
        <w:gridCol w:w="4703"/>
      </w:tblGrid>
      <w:tr>
        <w:tc>
          <w:tcPr>
            <w:tcW w:type="dxa" w:w="4703"/>
            <w:shd w:val="clear" w:color="auto" w:fill="D9E2F3"/>
          </w:tcPr>
          <w:p>
            <w:r>
              <w:rPr>
                <w:b/>
              </w:rPr>
              <w:t>Duration</w:t>
            </w:r>
          </w:p>
        </w:tc>
        <w:tc>
          <w:tcPr>
            <w:tcW w:type="dxa" w:w="4703"/>
          </w:tcPr>
          <w:p>
            <w:r>
              <w:t>12 weeks (approx. 3 months)</w:t>
            </w:r>
          </w:p>
        </w:tc>
      </w:tr>
      <w:tr>
        <w:tc>
          <w:tcPr>
            <w:tcW w:type="dxa" w:w="4703"/>
            <w:shd w:val="clear" w:color="auto" w:fill="D9E2F3"/>
          </w:tcPr>
          <w:p>
            <w:r>
              <w:rPr>
                <w:b/>
              </w:rPr>
              <w:t>Goal</w:t>
            </w:r>
          </w:p>
        </w:tc>
        <w:tc>
          <w:tcPr>
            <w:tcW w:type="dxa" w:w="4703"/>
          </w:tcPr>
          <w:p>
            <w:r>
              <w:t>Improve automation, business efficiency, and prepare for healthcare system integrations. QA testing runs throughout this phase.</w:t>
            </w:r>
          </w:p>
        </w:tc>
      </w:tr>
      <w:tr>
        <w:tc>
          <w:tcPr>
            <w:tcW w:type="dxa" w:w="4703"/>
            <w:shd w:val="clear" w:color="auto" w:fill="D9E2F3"/>
          </w:tcPr>
          <w:p>
            <w:r>
              <w:rPr>
                <w:b/>
              </w:rPr>
              <w:t>Timing</w:t>
            </w:r>
          </w:p>
        </w:tc>
        <w:tc>
          <w:tcPr>
            <w:tcW w:type="dxa" w:w="4703"/>
          </w:tcPr>
          <w:p>
            <w:r>
              <w:t>Followed by Phase 3 (Hardening, Security &amp; Launch).</w:t>
            </w:r>
          </w:p>
        </w:tc>
      </w:tr>
    </w:tbl>
    <w:p>
      <w:pPr>
        <w:spacing w:after="80" w:before="0"/>
      </w:pPr>
    </w:p>
    <w:p>
      <w:pPr>
        <w:spacing w:after="120"/>
        <w:jc w:val="left"/>
      </w:pPr>
      <w:r>
        <w:rPr>
          <w:b/>
          <w:i w:val="0"/>
        </w:rPr>
        <w:t>Key Outputs:</w:t>
      </w:r>
    </w:p>
    <w:p>
      <w:pPr>
        <w:pStyle w:val="ListBullet"/>
        <w:spacing w:after="60"/>
        <w:ind w:left="432"/>
      </w:pPr>
      <w:r>
        <w:t>Improved matching algorithm: A/B testing framework for scoring weights, provider quality metrics</w:t>
      </w:r>
    </w:p>
    <w:p>
      <w:pPr>
        <w:pStyle w:val="ListBullet"/>
        <w:spacing w:after="60"/>
        <w:ind w:left="432"/>
      </w:pPr>
      <w:r>
        <w:t>Richer CMS: advanced package builder, promotional pricing, localization (multi-language)</w:t>
      </w:r>
    </w:p>
    <w:p>
      <w:pPr>
        <w:pStyle w:val="ListBullet"/>
        <w:spacing w:after="60"/>
        <w:ind w:left="432"/>
      </w:pPr>
      <w:r>
        <w:t>Provider tooling: improved scheduling, multi-visit packages, provider onboarding optimization</w:t>
      </w:r>
    </w:p>
    <w:p>
      <w:pPr>
        <w:pStyle w:val="ListBullet"/>
        <w:spacing w:after="60"/>
        <w:ind w:left="432"/>
      </w:pPr>
      <w:r>
        <w:t>BIRPIS/ZZZS API: XML-based reimbursement claim submission (contingent on client providing API access in this phase)</w:t>
      </w:r>
    </w:p>
    <w:p>
      <w:pPr>
        <w:pStyle w:val="ListBullet"/>
        <w:spacing w:after="60"/>
        <w:ind w:left="432"/>
      </w:pPr>
      <w:r>
        <w:t>Medical supplier API: inventory and material ordering automation (if supplier APIs are available)</w:t>
      </w:r>
    </w:p>
    <w:p>
      <w:pPr>
        <w:pStyle w:val="ListBullet"/>
        <w:spacing w:after="60"/>
        <w:ind w:left="432"/>
      </w:pPr>
      <w:r>
        <w:t>Analytics maturity: cohort analysis, finance dashboards, growth KPIs, NPS tracking</w:t>
      </w:r>
    </w:p>
    <w:p>
      <w:pPr>
        <w:pStyle w:val="ListBullet"/>
        <w:spacing w:after="60"/>
        <w:ind w:left="432"/>
      </w:pPr>
      <w:r>
        <w:t>Performance optimization: database query tuning, caching strategy, CDN for media delivery</w:t>
      </w:r>
    </w:p>
    <w:p>
      <w:pPr>
        <w:spacing w:after="80" w:before="0"/>
      </w:pPr>
    </w:p>
    <w:p>
      <w:pPr>
        <w:spacing w:after="120"/>
        <w:jc w:val="left"/>
      </w:pPr>
      <w:r>
        <w:rPr>
          <w:b w:val="0"/>
          <w:i/>
          <w:sz w:val="20"/>
        </w:rPr>
        <w:t>Dependencies: Client to provide: BIRPIS/ZZZS API documentation and sandbox access if API integration is desired in this phase. Full NIJZ/ZZZS production integration is Phase 4 add-on and requires separate prerequisites.</w:t>
      </w:r>
    </w:p>
    <w:p>
      <w:pPr>
        <w:spacing w:after="80" w:before="0"/>
      </w:pPr>
    </w:p>
    <w:p>
      <w:pPr>
        <w:spacing w:after="120"/>
        <w:jc w:val="left"/>
      </w:pPr>
      <w:r>
        <w:rPr>
          <w:b w:val="0"/>
          <w:i/>
          <w:sz w:val="20"/>
        </w:rPr>
        <w:t>Pricing: Fixed price at EUR 48,000 (see Section 5). BIRPIS/ZZZS API work contingent on client providing access. Full healthcare integration is Phase 4 optional add-on.</w:t>
      </w:r>
    </w:p>
    <w:p>
      <w:pPr>
        <w:spacing w:after="160" w:before="0"/>
      </w:pPr>
    </w:p>
    <w:p>
      <w:pPr>
        <w:spacing w:before="80" w:after="80"/>
        <w:pBdr>
          <w:bottom w:val="single" w:sz="6" w:space="1" w:color="1F497D"/>
        </w:pBdr>
      </w:pPr>
    </w:p>
    <w:p>
      <w:pPr>
        <w:spacing w:after="80" w:before="0"/>
      </w:pPr>
    </w:p>
    <w:p>
      <w:pPr>
        <w:pStyle w:val="Heading2"/>
      </w:pPr>
      <w:r>
        <w:t>4.3  Phase 3: Hardening, Security &amp; Production Launch</w:t>
      </w:r>
    </w:p>
    <w:tbl>
      <w:tblPr>
        <w:tblStyle w:val="TableGrid"/>
        <w:tblW w:type="auto" w:w="0"/>
        <w:tblLook w:firstColumn="1" w:firstRow="1" w:lastColumn="0" w:lastRow="0" w:noHBand="0" w:noVBand="1" w:val="04A0"/>
      </w:tblPr>
      <w:tblGrid>
        <w:gridCol w:w="4703"/>
        <w:gridCol w:w="4703"/>
      </w:tblGrid>
      <w:tr>
        <w:tc>
          <w:tcPr>
            <w:tcW w:type="dxa" w:w="4703"/>
            <w:shd w:val="clear" w:color="auto" w:fill="D9E2F3"/>
          </w:tcPr>
          <w:p>
            <w:r>
              <w:rPr>
                <w:b/>
              </w:rPr>
              <w:t>Duration</w:t>
            </w:r>
          </w:p>
        </w:tc>
        <w:tc>
          <w:tcPr>
            <w:tcW w:type="dxa" w:w="4703"/>
          </w:tcPr>
          <w:p>
            <w:r>
              <w:t>4 weeks (approx. 1 month)</w:t>
            </w:r>
          </w:p>
        </w:tc>
      </w:tr>
      <w:tr>
        <w:tc>
          <w:tcPr>
            <w:tcW w:type="dxa" w:w="4703"/>
            <w:shd w:val="clear" w:color="auto" w:fill="D9E2F3"/>
          </w:tcPr>
          <w:p>
            <w:r>
              <w:rPr>
                <w:b/>
              </w:rPr>
              <w:t>Goal</w:t>
            </w:r>
          </w:p>
        </w:tc>
        <w:tc>
          <w:tcPr>
            <w:tcW w:type="dxa" w:w="4703"/>
          </w:tcPr>
          <w:p>
            <w:r>
              <w:t>Final hardening, independent security validation, and controlled go-live with hypercare support.</w:t>
            </w:r>
          </w:p>
        </w:tc>
      </w:tr>
      <w:tr>
        <w:tc>
          <w:tcPr>
            <w:tcW w:type="dxa" w:w="4703"/>
            <w:shd w:val="clear" w:color="auto" w:fill="D9E2F3"/>
          </w:tcPr>
          <w:p>
            <w:r>
              <w:rPr>
                <w:b/>
              </w:rPr>
              <w:t>Timing</w:t>
            </w:r>
          </w:p>
        </w:tc>
        <w:tc>
          <w:tcPr>
            <w:tcW w:type="dxa" w:w="4703"/>
          </w:tcPr>
          <w:p>
            <w:r>
              <w:t>Runs after Phase 2 completion — final production hardening and go-live.</w:t>
            </w:r>
          </w:p>
        </w:tc>
      </w:tr>
    </w:tbl>
    <w:p>
      <w:pPr>
        <w:spacing w:after="80" w:before="0"/>
      </w:pPr>
    </w:p>
    <w:p>
      <w:pPr>
        <w:spacing w:after="120"/>
        <w:jc w:val="left"/>
      </w:pPr>
      <w:r>
        <w:rPr>
          <w:b/>
          <w:i w:val="0"/>
        </w:rPr>
        <w:t>Key Outputs:</w:t>
      </w:r>
    </w:p>
    <w:p>
      <w:pPr>
        <w:pStyle w:val="ListBullet"/>
        <w:spacing w:after="60"/>
        <w:ind w:left="432"/>
      </w:pPr>
      <w:r>
        <w:t>Full integration testing: all API endpoints tested with mobile and admin teams</w:t>
      </w:r>
    </w:p>
    <w:p>
      <w:pPr>
        <w:pStyle w:val="ListBullet"/>
        <w:spacing w:after="60"/>
        <w:ind w:left="432"/>
      </w:pPr>
      <w:r>
        <w:t>Performance and load testing: k6/Gatling scripts, JVM profiling, database stress testing, auto-scaling validation</w:t>
      </w:r>
    </w:p>
    <w:p>
      <w:pPr>
        <w:pStyle w:val="ListBullet"/>
        <w:spacing w:after="60"/>
        <w:ind w:left="432"/>
      </w:pPr>
      <w:r>
        <w:t>Security testing: OWASP Top 10 check, dependency vulnerability scan (Trivy/Snyk), third-party penetration test coordination</w:t>
      </w:r>
    </w:p>
    <w:p>
      <w:pPr>
        <w:pStyle w:val="ListBullet"/>
        <w:spacing w:after="60"/>
        <w:ind w:left="432"/>
      </w:pPr>
      <w:r>
        <w:t>GDPR compliance audit: data retention enforcement, audit log completeness review, consent management verification</w:t>
      </w:r>
    </w:p>
    <w:p>
      <w:pPr>
        <w:pStyle w:val="ListBullet"/>
        <w:spacing w:after="60"/>
        <w:ind w:left="432"/>
      </w:pPr>
      <w:r>
        <w:t>Production environment: blue/green deployment configured, rollback tested, disaster recovery runbook completed</w:t>
      </w:r>
    </w:p>
    <w:p>
      <w:pPr>
        <w:pStyle w:val="ListBullet"/>
        <w:spacing w:after="60"/>
        <w:ind w:left="432"/>
      </w:pPr>
      <w:r>
        <w:t>Monitoring and alerting: Grafana dashboards finalized, Alertmanager rules live, on-call escalation configured (PagerDuty/OpsGenie)</w:t>
      </w:r>
    </w:p>
    <w:p>
      <w:pPr>
        <w:pStyle w:val="ListBullet"/>
        <w:spacing w:after="60"/>
        <w:ind w:left="432"/>
      </w:pPr>
      <w:r>
        <w:t>Go-live support: 2-week hypercare, production monitoring, bug fixes</w:t>
      </w:r>
    </w:p>
    <w:p>
      <w:pPr>
        <w:spacing w:after="80" w:before="0"/>
      </w:pPr>
    </w:p>
    <w:p>
      <w:pPr>
        <w:spacing w:after="120"/>
        <w:jc w:val="left"/>
      </w:pPr>
      <w:r>
        <w:rPr>
          <w:b w:val="0"/>
          <w:i/>
          <w:sz w:val="20"/>
        </w:rPr>
        <w:t>Dependencies: Staging environment must be fully operational. MVP code must be feature-complete before Phase 3 begins.</w:t>
      </w:r>
    </w:p>
    <w:p>
      <w:pPr>
        <w:spacing w:after="80" w:before="0"/>
      </w:pPr>
    </w:p>
    <w:p>
      <w:pPr>
        <w:spacing w:after="120"/>
        <w:jc w:val="left"/>
      </w:pPr>
      <w:r>
        <w:rPr>
          <w:b w:val="0"/>
          <w:i/>
          <w:sz w:val="20"/>
        </w:rPr>
        <w:t>Pricing: Included in main contract at EUR 24,000 (see Section 5). External pentest (EUR 6,000 pass-through) coordinated during this phase.</w:t>
      </w:r>
    </w:p>
    <w:p>
      <w:pPr>
        <w:spacing w:after="160" w:before="0"/>
      </w:pPr>
    </w:p>
    <w:p>
      <w:pPr>
        <w:spacing w:before="80" w:after="80"/>
        <w:pBdr>
          <w:bottom w:val="single" w:sz="6" w:space="1" w:color="1F497D"/>
        </w:pBdr>
      </w:pPr>
    </w:p>
    <w:p>
      <w:pPr>
        <w:spacing w:after="80" w:before="0"/>
      </w:pPr>
    </w:p>
    <w:p>
      <w:pPr>
        <w:pStyle w:val="Heading2"/>
      </w:pPr>
      <w:r>
        <w:t>4.4  Phase 4: Full Healthcare Integration (Optional Add-on)</w:t>
      </w:r>
    </w:p>
    <w:tbl>
      <w:tblPr>
        <w:tblStyle w:val="TableGrid"/>
        <w:tblW w:type="auto" w:w="0"/>
        <w:tblLook w:firstColumn="1" w:firstRow="1" w:lastColumn="0" w:lastRow="0" w:noHBand="0" w:noVBand="1" w:val="04A0"/>
      </w:tblPr>
      <w:tblGrid>
        <w:gridCol w:w="4703"/>
        <w:gridCol w:w="4703"/>
      </w:tblGrid>
      <w:tr>
        <w:tc>
          <w:tcPr>
            <w:tcW w:type="dxa" w:w="4703"/>
            <w:shd w:val="clear" w:color="auto" w:fill="D9E2F3"/>
          </w:tcPr>
          <w:p>
            <w:r>
              <w:rPr>
                <w:b/>
              </w:rPr>
              <w:t>Duration</w:t>
            </w:r>
          </w:p>
        </w:tc>
        <w:tc>
          <w:tcPr>
            <w:tcW w:type="dxa" w:w="4703"/>
          </w:tcPr>
          <w:p>
            <w:r>
              <w:t>12 weeks (approx. 3 months)</w:t>
            </w:r>
          </w:p>
        </w:tc>
      </w:tr>
      <w:tr>
        <w:tc>
          <w:tcPr>
            <w:tcW w:type="dxa" w:w="4703"/>
            <w:shd w:val="clear" w:color="auto" w:fill="D9E2F3"/>
          </w:tcPr>
          <w:p>
            <w:r>
              <w:rPr>
                <w:b/>
              </w:rPr>
              <w:t>Goal</w:t>
            </w:r>
          </w:p>
        </w:tc>
        <w:tc>
          <w:tcPr>
            <w:tcW w:type="dxa" w:w="4703"/>
          </w:tcPr>
          <w:p>
            <w:r>
              <w:t>Connect deeply into national and hospital ecosystems — CONDITIONAL on external prerequisites being met.</w:t>
            </w:r>
          </w:p>
        </w:tc>
      </w:tr>
      <w:tr>
        <w:tc>
          <w:tcPr>
            <w:tcW w:type="dxa" w:w="4703"/>
          </w:tcPr>
          <w:p/>
        </w:tc>
        <w:tc>
          <w:tcPr>
            <w:tcW w:type="dxa" w:w="4703"/>
          </w:tcPr>
          <w:p/>
        </w:tc>
      </w:tr>
    </w:tbl>
    <w:p>
      <w:pPr>
        <w:spacing w:after="80" w:before="0"/>
      </w:pPr>
    </w:p>
    <w:p>
      <w:pPr>
        <w:spacing w:after="120"/>
        <w:jc w:val="left"/>
      </w:pPr>
      <w:r>
        <w:rPr>
          <w:b/>
          <w:i w:val="0"/>
        </w:rPr>
        <w:t>Key Outputs:</w:t>
      </w:r>
    </w:p>
    <w:p>
      <w:pPr>
        <w:pStyle w:val="ListBullet"/>
        <w:spacing w:after="60"/>
        <w:ind w:left="432"/>
      </w:pPr>
      <w:r>
        <w:t>eZdravje / NIJZ: prescription lookup, referral submission, electronic visit record write-back, insurance check automation</w:t>
      </w:r>
    </w:p>
    <w:p>
      <w:pPr>
        <w:pStyle w:val="ListBullet"/>
        <w:spacing w:after="60"/>
        <w:ind w:left="432"/>
      </w:pPr>
      <w:r>
        <w:t>Better / openEHR / Hospital systems: discharge document ingestion, visit report write-back to hospital EHR, discharge-triggered referral automation</w:t>
      </w:r>
    </w:p>
    <w:p>
      <w:pPr>
        <w:pStyle w:val="ListBullet"/>
        <w:spacing w:after="60"/>
        <w:ind w:left="432"/>
      </w:pPr>
      <w:r>
        <w:t>Direct payer flows: insurance billing for covered services (if concessions in place)</w:t>
      </w:r>
    </w:p>
    <w:p>
      <w:pPr>
        <w:pStyle w:val="ListBullet"/>
        <w:spacing w:after="60"/>
        <w:ind w:left="432"/>
      </w:pPr>
      <w:r>
        <w:t>Advanced referral automation: GP referral triggers, specialist escalation workflows</w:t>
      </w:r>
    </w:p>
    <w:p>
      <w:pPr>
        <w:pStyle w:val="ListBullet"/>
        <w:spacing w:after="60"/>
        <w:ind w:left="432"/>
      </w:pPr>
      <w:r>
        <w:t>Enterprise-grade reporting: HL7 FHIR-compliant clinical document exchange</w:t>
      </w:r>
    </w:p>
    <w:p>
      <w:pPr>
        <w:spacing w:after="80" w:before="0"/>
      </w:pPr>
    </w:p>
    <w:p>
      <w:pPr>
        <w:spacing w:after="120"/>
        <w:jc w:val="left"/>
      </w:pPr>
      <w:r>
        <w:rPr>
          <w:b w:val="0"/>
          <w:i/>
          <w:sz w:val="20"/>
        </w:rPr>
        <w:t>Dependencies: Client to provide: hospital system API documentation, NIJZ production certificates, legal agreements with NIJZ/ZZZS, hospital integration agreements. This phase ONLY proceeds if all prerequisites are confirmed and provided before Phase 3 end.</w:t>
      </w:r>
    </w:p>
    <w:p>
      <w:pPr>
        <w:spacing w:after="80" w:before="0"/>
      </w:pPr>
    </w:p>
    <w:p>
      <w:pPr>
        <w:spacing w:after="120"/>
        <w:jc w:val="left"/>
      </w:pPr>
      <w:r>
        <w:rPr>
          <w:b w:val="0"/>
          <w:i/>
          <w:sz w:val="20"/>
        </w:rPr>
        <w:t>Pricing: Quoted separately at EUR 16,000 as optional add-on (see Section 5). Not included in the EUR 160,000 main contract.</w:t>
      </w:r>
    </w:p>
    <w:p>
      <w:pPr>
        <w:spacing w:after="160" w:before="0"/>
      </w:pPr>
    </w:p>
    <w:p>
      <w:pPr>
        <w:spacing w:before="80" w:after="80"/>
        <w:pBdr>
          <w:bottom w:val="single" w:sz="6" w:space="1" w:color="1F497D"/>
        </w:pBdr>
      </w:pPr>
    </w:p>
    <w:p>
      <w:pPr>
        <w:spacing w:after="80" w:before="0"/>
      </w:pPr>
    </w:p>
    <w:p>
      <w:r>
        <w:br w:type="page"/>
      </w:r>
    </w:p>
    <w:p>
      <w:pPr>
        <w:pStyle w:val="Heading1"/>
      </w:pPr>
      <w:r>
        <w:t>5. Commercial Proposal</w:t>
      </w:r>
    </w:p>
    <w:p>
      <w:pPr>
        <w:spacing w:after="120"/>
        <w:jc w:val="left"/>
      </w:pPr>
      <w:r>
        <w:rPr>
          <w:b w:val="0"/>
          <w:i w:val="0"/>
        </w:rPr>
        <w:t>The following pricing reflects the agreed budget of EUR 160,000 covering Phases 0 through 3 (Discovery through to Production Launch). All prices are in EUR and exclude VAT. Phase 4 (Full Healthcare Integration) is quoted separately as a conditional add-on — it requires external prerequisites (NIJZ/ZZZS certificates and sandbox access) before it can begin.</w:t>
      </w:r>
    </w:p>
    <w:p>
      <w:pPr>
        <w:pStyle w:val="Heading2"/>
      </w:pPr>
      <w:r>
        <w:t>5.1 Pricing Breakdown — EUR 160,000 Main Contract</w:t>
      </w:r>
    </w:p>
    <w:p>
      <w:pPr>
        <w:spacing w:after="80"/>
        <w:jc w:val="left"/>
      </w:pPr>
      <w:r>
        <w:rPr>
          <w:b w:val="0"/>
          <w:i/>
          <w:sz w:val="18"/>
        </w:rPr>
        <w:t>All prices exclude VAT. Third-party pass-through costs are billed at cost with no markup.</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F497D"/>
          </w:tcPr>
          <w:p>
            <w:pPr>
              <w:jc w:val="center"/>
            </w:pPr>
            <w:r>
              <w:rPr>
                <w:b/>
                <w:color w:val="FFFFFF"/>
              </w:rPr>
              <w:t>#</w:t>
            </w:r>
          </w:p>
        </w:tc>
        <w:tc>
          <w:tcPr>
            <w:tcW w:type="dxa" w:w="1881"/>
            <w:shd w:val="clear" w:color="auto" w:fill="1F497D"/>
          </w:tcPr>
          <w:p>
            <w:pPr>
              <w:jc w:val="center"/>
            </w:pPr>
            <w:r>
              <w:rPr>
                <w:b/>
                <w:color w:val="FFFFFF"/>
              </w:rPr>
              <w:t>Phase / Workstream</w:t>
            </w:r>
          </w:p>
        </w:tc>
        <w:tc>
          <w:tcPr>
            <w:tcW w:type="dxa" w:w="1881"/>
            <w:shd w:val="clear" w:color="auto" w:fill="1F497D"/>
          </w:tcPr>
          <w:p>
            <w:pPr>
              <w:jc w:val="center"/>
            </w:pPr>
            <w:r>
              <w:rPr>
                <w:b/>
                <w:color w:val="FFFFFF"/>
              </w:rPr>
              <w:t>Duration</w:t>
            </w:r>
          </w:p>
        </w:tc>
        <w:tc>
          <w:tcPr>
            <w:tcW w:type="dxa" w:w="1881"/>
            <w:shd w:val="clear" w:color="auto" w:fill="1F497D"/>
          </w:tcPr>
          <w:p>
            <w:pPr>
              <w:jc w:val="center"/>
            </w:pPr>
            <w:r>
              <w:rPr>
                <w:b/>
                <w:color w:val="FFFFFF"/>
              </w:rPr>
              <w:t>Price (EUR)</w:t>
            </w:r>
          </w:p>
        </w:tc>
        <w:tc>
          <w:tcPr>
            <w:tcW w:type="dxa" w:w="1881"/>
            <w:shd w:val="clear" w:color="auto" w:fill="1F497D"/>
          </w:tcPr>
          <w:p>
            <w:pPr>
              <w:jc w:val="center"/>
            </w:pPr>
            <w:r>
              <w:rPr>
                <w:b/>
                <w:color w:val="FFFFFF"/>
              </w:rPr>
              <w:t>Notes</w:t>
            </w:r>
          </w:p>
        </w:tc>
      </w:tr>
      <w:tr>
        <w:tc>
          <w:tcPr>
            <w:tcW w:type="dxa" w:w="1881"/>
            <w:shd w:val="clear" w:color="auto" w:fill="F2F5FA"/>
          </w:tcPr>
          <w:p>
            <w:r>
              <w:t>1</w:t>
            </w:r>
          </w:p>
        </w:tc>
        <w:tc>
          <w:tcPr>
            <w:tcW w:type="dxa" w:w="1881"/>
            <w:shd w:val="clear" w:color="auto" w:fill="F2F5FA"/>
          </w:tcPr>
          <w:p>
            <w:r>
              <w:t>Phase 0: Discovery &amp; Solution Design</w:t>
              <w:br/>
              <w:t>Joint workshops, architecture, backlog, infrastructure plan, updated estimation</w:t>
            </w:r>
          </w:p>
        </w:tc>
        <w:tc>
          <w:tcPr>
            <w:tcW w:type="dxa" w:w="1881"/>
            <w:shd w:val="clear" w:color="auto" w:fill="F2F5FA"/>
          </w:tcPr>
          <w:p>
            <w:r>
              <w:t>3 weeks</w:t>
            </w:r>
          </w:p>
        </w:tc>
        <w:tc>
          <w:tcPr>
            <w:tcW w:type="dxa" w:w="1881"/>
            <w:shd w:val="clear" w:color="auto" w:fill="F2F5FA"/>
          </w:tcPr>
          <w:p>
            <w:r>
              <w:t>EUR 8,000</w:t>
            </w:r>
          </w:p>
        </w:tc>
        <w:tc>
          <w:tcPr>
            <w:tcW w:type="dxa" w:w="1881"/>
            <w:shd w:val="clear" w:color="auto" w:fill="F2F5FA"/>
          </w:tcPr>
          <w:p>
            <w:r>
              <w:t>Required before Phase 1. Fixed price.</w:t>
            </w:r>
          </w:p>
        </w:tc>
      </w:tr>
      <w:tr>
        <w:tc>
          <w:tcPr>
            <w:tcW w:type="dxa" w:w="1881"/>
            <w:shd w:val="clear" w:color="auto" w:fill="FFFFFF"/>
          </w:tcPr>
          <w:p>
            <w:r>
              <w:t>2</w:t>
            </w:r>
          </w:p>
        </w:tc>
        <w:tc>
          <w:tcPr>
            <w:tcW w:type="dxa" w:w="1881"/>
            <w:shd w:val="clear" w:color="auto" w:fill="FFFFFF"/>
          </w:tcPr>
          <w:p>
            <w:r>
              <w:t>Phase 1: MVP Build — Core Platform</w:t>
              <w:br/>
              <w:t>Auth, Booking, Matching, Visit, Billing, Notification, CMS, Analytics — all services, REST APIs, CI/CD, staging, monitoring, security</w:t>
            </w:r>
          </w:p>
        </w:tc>
        <w:tc>
          <w:tcPr>
            <w:tcW w:type="dxa" w:w="1881"/>
            <w:shd w:val="clear" w:color="auto" w:fill="FFFFFF"/>
          </w:tcPr>
          <w:p>
            <w:r>
              <w:t>20 weeks</w:t>
            </w:r>
          </w:p>
        </w:tc>
        <w:tc>
          <w:tcPr>
            <w:tcW w:type="dxa" w:w="1881"/>
            <w:shd w:val="clear" w:color="auto" w:fill="FFFFFF"/>
          </w:tcPr>
          <w:p>
            <w:r>
              <w:t>EUR 80,000</w:t>
            </w:r>
          </w:p>
        </w:tc>
        <w:tc>
          <w:tcPr>
            <w:tcW w:type="dxa" w:w="1881"/>
            <w:shd w:val="clear" w:color="auto" w:fill="FFFFFF"/>
          </w:tcPr>
          <w:p>
            <w:r>
              <w:t>Fixed price. Monthly invoicing.</w:t>
            </w:r>
          </w:p>
        </w:tc>
      </w:tr>
      <w:tr>
        <w:tc>
          <w:tcPr>
            <w:tcW w:type="dxa" w:w="1881"/>
            <w:shd w:val="clear" w:color="auto" w:fill="F2F5FA"/>
          </w:tcPr>
          <w:p>
            <w:r>
              <w:t>3</w:t>
            </w:r>
          </w:p>
        </w:tc>
        <w:tc>
          <w:tcPr>
            <w:tcW w:type="dxa" w:w="1881"/>
            <w:shd w:val="clear" w:color="auto" w:fill="F2F5FA"/>
          </w:tcPr>
          <w:p>
            <w:r>
              <w:t>Phase 2: Operational Scale</w:t>
              <w:br/>
              <w:t>Automation, CMS maturity, BIRPIS/ZZZS API*, supplier APIs, analytics, provider tooling, performance optimization</w:t>
            </w:r>
          </w:p>
        </w:tc>
        <w:tc>
          <w:tcPr>
            <w:tcW w:type="dxa" w:w="1881"/>
            <w:shd w:val="clear" w:color="auto" w:fill="F2F5FA"/>
          </w:tcPr>
          <w:p>
            <w:r>
              <w:t>12 weeks</w:t>
            </w:r>
          </w:p>
        </w:tc>
        <w:tc>
          <w:tcPr>
            <w:tcW w:type="dxa" w:w="1881"/>
            <w:shd w:val="clear" w:color="auto" w:fill="F2F5FA"/>
          </w:tcPr>
          <w:p>
            <w:r>
              <w:t>EUR 48,000</w:t>
            </w:r>
          </w:p>
        </w:tc>
        <w:tc>
          <w:tcPr>
            <w:tcW w:type="dxa" w:w="1881"/>
            <w:shd w:val="clear" w:color="auto" w:fill="F2F5FA"/>
          </w:tcPr>
          <w:p>
            <w:r>
              <w:t>Fixed price. Monthly invoicing.</w:t>
            </w:r>
          </w:p>
        </w:tc>
      </w:tr>
      <w:tr>
        <w:tc>
          <w:tcPr>
            <w:tcW w:type="dxa" w:w="1881"/>
            <w:shd w:val="clear" w:color="auto" w:fill="FFFFFF"/>
          </w:tcPr>
          <w:p>
            <w:r>
              <w:t>4</w:t>
            </w:r>
          </w:p>
        </w:tc>
        <w:tc>
          <w:tcPr>
            <w:tcW w:type="dxa" w:w="1881"/>
            <w:shd w:val="clear" w:color="auto" w:fill="FFFFFF"/>
          </w:tcPr>
          <w:p>
            <w:r>
              <w:t>Phase 3: Hardening, Security &amp; Production Launch</w:t>
              <w:br/>
              <w:t>Load testing, external pentest, GDPR audit, production hardening, blue/green deploy, go-live hypercare</w:t>
            </w:r>
          </w:p>
        </w:tc>
        <w:tc>
          <w:tcPr>
            <w:tcW w:type="dxa" w:w="1881"/>
            <w:shd w:val="clear" w:color="auto" w:fill="FFFFFF"/>
          </w:tcPr>
          <w:p>
            <w:r>
              <w:t>4 weeks</w:t>
            </w:r>
          </w:p>
        </w:tc>
        <w:tc>
          <w:tcPr>
            <w:tcW w:type="dxa" w:w="1881"/>
            <w:shd w:val="clear" w:color="auto" w:fill="FFFFFF"/>
          </w:tcPr>
          <w:p>
            <w:r>
              <w:t>EUR 24,000</w:t>
            </w:r>
          </w:p>
        </w:tc>
        <w:tc>
          <w:tcPr>
            <w:tcW w:type="dxa" w:w="1881"/>
            <w:shd w:val="clear" w:color="auto" w:fill="FFFFFF"/>
          </w:tcPr>
          <w:p>
            <w:r>
              <w:t>Fixed price. 50%/50% split.</w:t>
            </w:r>
          </w:p>
        </w:tc>
      </w:tr>
      <w:tr>
        <w:tc>
          <w:tcPr>
            <w:tcW w:type="dxa" w:w="1881"/>
            <w:shd w:val="clear" w:color="auto" w:fill="F2F5FA"/>
          </w:tcPr>
          <w:p>
            <w:r/>
          </w:p>
        </w:tc>
        <w:tc>
          <w:tcPr>
            <w:tcW w:type="dxa" w:w="1881"/>
            <w:shd w:val="clear" w:color="auto" w:fill="F2F5FA"/>
          </w:tcPr>
          <w:p>
            <w:r/>
          </w:p>
        </w:tc>
        <w:tc>
          <w:tcPr>
            <w:tcW w:type="dxa" w:w="1881"/>
            <w:shd w:val="clear" w:color="auto" w:fill="F2F5FA"/>
          </w:tcPr>
          <w:p>
            <w:r/>
          </w:p>
        </w:tc>
        <w:tc>
          <w:tcPr>
            <w:tcW w:type="dxa" w:w="1881"/>
            <w:shd w:val="clear" w:color="auto" w:fill="F2F5FA"/>
          </w:tcPr>
          <w:p>
            <w:r/>
          </w:p>
        </w:tc>
        <w:tc>
          <w:tcPr>
            <w:tcW w:type="dxa" w:w="1881"/>
            <w:shd w:val="clear" w:color="auto" w:fill="F2F5FA"/>
          </w:tcPr>
          <w:p>
            <w:r/>
          </w:p>
        </w:tc>
      </w:tr>
      <w:tr>
        <w:tc>
          <w:tcPr>
            <w:tcW w:type="dxa" w:w="1881"/>
            <w:shd w:val="clear" w:color="auto" w:fill="FFFFFF"/>
          </w:tcPr>
          <w:p>
            <w:r/>
          </w:p>
        </w:tc>
        <w:tc>
          <w:tcPr>
            <w:tcW w:type="dxa" w:w="1881"/>
            <w:shd w:val="clear" w:color="auto" w:fill="FFFFFF"/>
          </w:tcPr>
          <w:p>
            <w:r/>
          </w:p>
        </w:tc>
        <w:tc>
          <w:tcPr>
            <w:tcW w:type="dxa" w:w="1881"/>
            <w:shd w:val="clear" w:color="auto" w:fill="FFFFFF"/>
          </w:tcPr>
          <w:p>
            <w:r>
              <w:t>MAIN CONTRACT TOTAL</w:t>
            </w:r>
          </w:p>
        </w:tc>
        <w:tc>
          <w:tcPr>
            <w:tcW w:type="dxa" w:w="1881"/>
            <w:shd w:val="clear" w:color="auto" w:fill="FFFFFF"/>
          </w:tcPr>
          <w:p>
            <w:r>
              <w:t>EUR 160,000</w:t>
            </w:r>
          </w:p>
        </w:tc>
        <w:tc>
          <w:tcPr>
            <w:tcW w:type="dxa" w:w="1881"/>
            <w:shd w:val="clear" w:color="auto" w:fill="FFFFFF"/>
          </w:tcPr>
          <w:p>
            <w:r/>
          </w:p>
        </w:tc>
      </w:tr>
    </w:tbl>
    <w:p>
      <w:pPr>
        <w:spacing w:after="120" w:before="0"/>
      </w:pPr>
    </w:p>
    <w:p>
      <w:pPr>
        <w:spacing w:after="120"/>
        <w:jc w:val="left"/>
      </w:pPr>
      <w:r>
        <w:rPr>
          <w:b w:val="0"/>
          <w:i/>
          <w:sz w:val="18"/>
        </w:rPr>
        <w:t>* BIRPIS/ZZZS API contingent on client providing sandbox access.</w:t>
      </w:r>
    </w:p>
    <w:p>
      <w:pPr>
        <w:pStyle w:val="Heading3"/>
      </w:pPr>
      <w:r>
        <w:t>Conditional Add-ons (Not Included in EUR 160,000)</w:t>
      </w:r>
    </w:p>
    <w:p>
      <w:pPr>
        <w:spacing w:after="120"/>
        <w:jc w:val="left"/>
      </w:pPr>
      <w:r>
        <w:rPr>
          <w:b w:val="0"/>
          <w:i w:val="0"/>
          <w:sz w:val="20"/>
        </w:rPr>
        <w:t>The following are priced separately and are only initiated if client chooses to proceed.</w:t>
      </w:r>
    </w:p>
    <w:p>
      <w:pPr>
        <w:spacing w:after="80" w:before="0"/>
      </w:pP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F497D"/>
          </w:tcPr>
          <w:p>
            <w:pPr>
              <w:jc w:val="center"/>
            </w:pPr>
            <w:r>
              <w:rPr>
                <w:b/>
                <w:color w:val="FFFFFF"/>
              </w:rPr>
              <w:t>Add-on</w:t>
            </w:r>
          </w:p>
        </w:tc>
        <w:tc>
          <w:tcPr>
            <w:tcW w:type="dxa" w:w="1881"/>
            <w:shd w:val="clear" w:color="auto" w:fill="1F497D"/>
          </w:tcPr>
          <w:p>
            <w:pPr>
              <w:jc w:val="center"/>
            </w:pPr>
            <w:r>
              <w:rPr>
                <w:b/>
                <w:color w:val="FFFFFF"/>
              </w:rPr>
              <w:t>Scope</w:t>
            </w:r>
          </w:p>
        </w:tc>
        <w:tc>
          <w:tcPr>
            <w:tcW w:type="dxa" w:w="1881"/>
            <w:shd w:val="clear" w:color="auto" w:fill="1F497D"/>
          </w:tcPr>
          <w:p>
            <w:pPr>
              <w:jc w:val="center"/>
            </w:pPr>
            <w:r>
              <w:rPr>
                <w:b/>
                <w:color w:val="FFFFFF"/>
              </w:rPr>
              <w:t>Duration</w:t>
            </w:r>
          </w:p>
        </w:tc>
        <w:tc>
          <w:tcPr>
            <w:tcW w:type="dxa" w:w="1881"/>
            <w:shd w:val="clear" w:color="auto" w:fill="1F497D"/>
          </w:tcPr>
          <w:p>
            <w:pPr>
              <w:jc w:val="center"/>
            </w:pPr>
            <w:r>
              <w:rPr>
                <w:b/>
                <w:color w:val="FFFFFF"/>
              </w:rPr>
              <w:t>Price (EUR)</w:t>
            </w:r>
          </w:p>
        </w:tc>
        <w:tc>
          <w:tcPr>
            <w:tcW w:type="dxa" w:w="1881"/>
            <w:shd w:val="clear" w:color="auto" w:fill="1F497D"/>
          </w:tcPr>
          <w:p>
            <w:pPr>
              <w:jc w:val="center"/>
            </w:pPr>
            <w:r>
              <w:rPr>
                <w:b/>
                <w:color w:val="FFFFFF"/>
              </w:rPr>
              <w:t>Notes</w:t>
            </w:r>
          </w:p>
        </w:tc>
      </w:tr>
      <w:tr>
        <w:tc>
          <w:tcPr>
            <w:tcW w:type="dxa" w:w="1881"/>
            <w:shd w:val="clear" w:color="auto" w:fill="F2F5FA"/>
          </w:tcPr>
          <w:p>
            <w:r>
              <w:t>Phase 4: Full Healthcare Integration</w:t>
            </w:r>
          </w:p>
        </w:tc>
        <w:tc>
          <w:tcPr>
            <w:tcW w:type="dxa" w:w="1881"/>
            <w:shd w:val="clear" w:color="auto" w:fill="F2F5FA"/>
          </w:tcPr>
          <w:p>
            <w:r>
              <w:t>NIJZ/ZZZS prescription/referral, hospital EHR write-back, direct payer flows — requires NIJZ sandbox + concession agreements from client</w:t>
            </w:r>
          </w:p>
        </w:tc>
        <w:tc>
          <w:tcPr>
            <w:tcW w:type="dxa" w:w="1881"/>
            <w:shd w:val="clear" w:color="auto" w:fill="F2F5FA"/>
          </w:tcPr>
          <w:p>
            <w:r>
              <w:t>12 weeks</w:t>
            </w:r>
          </w:p>
        </w:tc>
        <w:tc>
          <w:tcPr>
            <w:tcW w:type="dxa" w:w="1881"/>
            <w:shd w:val="clear" w:color="auto" w:fill="F2F5FA"/>
          </w:tcPr>
          <w:p>
            <w:r>
              <w:t>EUR 16,000</w:t>
            </w:r>
          </w:p>
        </w:tc>
        <w:tc>
          <w:tcPr>
            <w:tcW w:type="dxa" w:w="1881"/>
            <w:shd w:val="clear" w:color="auto" w:fill="F2F5FA"/>
          </w:tcPr>
          <w:p>
            <w:r>
              <w:t>Conditional. Client prerequisites required.</w:t>
            </w:r>
          </w:p>
        </w:tc>
      </w:tr>
      <w:tr>
        <w:tc>
          <w:tcPr>
            <w:tcW w:type="dxa" w:w="1881"/>
            <w:shd w:val="clear" w:color="auto" w:fill="FFFFFF"/>
          </w:tcPr>
          <w:p>
            <w:r>
              <w:t>UX/UI Design Package</w:t>
            </w:r>
          </w:p>
        </w:tc>
        <w:tc>
          <w:tcPr>
            <w:tcW w:type="dxa" w:w="1881"/>
            <w:shd w:val="clear" w:color="auto" w:fill="FFFFFF"/>
          </w:tcPr>
          <w:p>
            <w:r>
              <w:t>Complete UX/UI design for all 3 apps: wireframes, Figma mockups, interactive prototype, design system — can run parallel to Phase 0/1</w:t>
            </w:r>
          </w:p>
        </w:tc>
        <w:tc>
          <w:tcPr>
            <w:tcW w:type="dxa" w:w="1881"/>
            <w:shd w:val="clear" w:color="auto" w:fill="FFFFFF"/>
          </w:tcPr>
          <w:p>
            <w:r>
              <w:t>6–8 weeks</w:t>
            </w:r>
          </w:p>
        </w:tc>
        <w:tc>
          <w:tcPr>
            <w:tcW w:type="dxa" w:w="1881"/>
            <w:shd w:val="clear" w:color="auto" w:fill="FFFFFF"/>
          </w:tcPr>
          <w:p>
            <w:r>
              <w:t>EUR 12,000</w:t>
            </w:r>
          </w:p>
        </w:tc>
        <w:tc>
          <w:tcPr>
            <w:tcW w:type="dxa" w:w="1881"/>
            <w:shd w:val="clear" w:color="auto" w:fill="FFFFFF"/>
          </w:tcPr>
          <w:p>
            <w:r>
              <w:t>Optional add-on.</w:t>
            </w:r>
          </w:p>
        </w:tc>
      </w:tr>
      <w:tr>
        <w:tc>
          <w:tcPr>
            <w:tcW w:type="dxa" w:w="1881"/>
            <w:shd w:val="clear" w:color="auto" w:fill="F2F5FA"/>
          </w:tcPr>
          <w:p>
            <w:r>
              <w:t>External Penetration Testing</w:t>
            </w:r>
          </w:p>
        </w:tc>
        <w:tc>
          <w:tcPr>
            <w:tcW w:type="dxa" w:w="1881"/>
            <w:shd w:val="clear" w:color="auto" w:fill="F2F5FA"/>
          </w:tcPr>
          <w:p>
            <w:r>
              <w:t>Third-party independent security test — coordinated by us, cost passed through at cost</w:t>
            </w:r>
          </w:p>
        </w:tc>
        <w:tc>
          <w:tcPr>
            <w:tcW w:type="dxa" w:w="1881"/>
            <w:shd w:val="clear" w:color="auto" w:fill="F2F5FA"/>
          </w:tcPr>
          <w:p>
            <w:r>
              <w:t>—</w:t>
            </w:r>
          </w:p>
        </w:tc>
        <w:tc>
          <w:tcPr>
            <w:tcW w:type="dxa" w:w="1881"/>
            <w:shd w:val="clear" w:color="auto" w:fill="F2F5FA"/>
          </w:tcPr>
          <w:p>
            <w:r>
              <w:t>EUR 6,000</w:t>
            </w:r>
          </w:p>
        </w:tc>
        <w:tc>
          <w:tcPr>
            <w:tcW w:type="dxa" w:w="1881"/>
            <w:shd w:val="clear" w:color="auto" w:fill="F2F5FA"/>
          </w:tcPr>
          <w:p>
            <w:r>
              <w:t>Recommended as part of Phase 3.</w:t>
            </w:r>
          </w:p>
        </w:tc>
      </w:tr>
    </w:tbl>
    <w:p>
      <w:pPr>
        <w:spacing w:after="240" w:before="0"/>
      </w:pPr>
    </w:p>
    <w:p>
      <w:pPr>
        <w:pStyle w:val="Heading2"/>
      </w:pPr>
      <w:r>
        <w:t>5.2 What Is Included</w:t>
      </w:r>
    </w:p>
    <w:p>
      <w:pPr>
        <w:pStyle w:val="ListBullet"/>
        <w:spacing w:after="60"/>
        <w:ind w:left="432"/>
      </w:pPr>
      <w:r>
        <w:t>All backend services, REST API design, and OpenAPI documentation</w:t>
      </w:r>
    </w:p>
    <w:p>
      <w:pPr>
        <w:pStyle w:val="ListBullet"/>
        <w:spacing w:after="60"/>
        <w:ind w:left="432"/>
      </w:pPr>
      <w:r>
        <w:t>PostgreSQL schema design, migrations, and database administration</w:t>
      </w:r>
    </w:p>
    <w:p>
      <w:pPr>
        <w:pStyle w:val="ListBullet"/>
        <w:spacing w:after="60"/>
        <w:ind w:left="432"/>
      </w:pPr>
      <w:r>
        <w:t>Docker containerization and Docker Compose for local development</w:t>
      </w:r>
    </w:p>
    <w:p>
      <w:pPr>
        <w:pStyle w:val="ListBullet"/>
        <w:spacing w:after="60"/>
        <w:ind w:left="432"/>
      </w:pPr>
      <w:r>
        <w:t>GitHub Actions CI/CD pipelines: build, test, security scan, Docker push, deploy to staging</w:t>
      </w:r>
    </w:p>
    <w:p>
      <w:pPr>
        <w:pStyle w:val="ListBullet"/>
        <w:spacing w:after="60"/>
        <w:ind w:left="432"/>
      </w:pPr>
      <w:r>
        <w:t>Staging and production infrastructure on AWS ECS or Hetzner (cloud costs quoted separately)</w:t>
      </w:r>
    </w:p>
    <w:p>
      <w:pPr>
        <w:pStyle w:val="ListBullet"/>
        <w:spacing w:after="60"/>
        <w:ind w:left="432"/>
      </w:pPr>
      <w:r>
        <w:t>Grafana, Prometheus, and Sentry setup with runbooks</w:t>
      </w:r>
    </w:p>
    <w:p>
      <w:pPr>
        <w:pStyle w:val="ListBullet"/>
        <w:spacing w:after="60"/>
        <w:ind w:left="432"/>
      </w:pPr>
      <w:r>
        <w:t>Security: JWT auth, RBAC, encryption at rest, audit logging, GDPR workflows</w:t>
      </w:r>
    </w:p>
    <w:p>
      <w:pPr>
        <w:pStyle w:val="ListBullet"/>
        <w:spacing w:after="60"/>
        <w:ind w:left="432"/>
      </w:pPr>
      <w:r>
        <w:t>API integration with Stripe, Google Maps, FCM/APNs (configuration only — third-party accounts billed separately)</w:t>
      </w:r>
    </w:p>
    <w:p>
      <w:pPr>
        <w:pStyle w:val="ListBullet"/>
        <w:spacing w:after="60"/>
        <w:ind w:left="432"/>
      </w:pPr>
      <w:r>
        <w:t>Regular sprint reviews, demo sessions, and progress reporting</w:t>
      </w:r>
    </w:p>
    <w:p>
      <w:pPr>
        <w:pStyle w:val="ListBullet"/>
        <w:spacing w:after="60"/>
        <w:ind w:left="432"/>
      </w:pPr>
      <w:r>
        <w:t>Source code ownership transferred to client upon final payment</w:t>
      </w:r>
    </w:p>
    <w:p>
      <w:pPr>
        <w:pStyle w:val="ListBullet"/>
        <w:spacing w:after="60"/>
        <w:ind w:left="432"/>
      </w:pPr>
      <w:r>
        <w:t>UX/UI design available as optional add-on (see Section 5.6) — covers all 3 apps: Patient App, Provider App, Admin Portal</w:t>
      </w:r>
    </w:p>
    <w:p>
      <w:pPr>
        <w:pStyle w:val="Heading2"/>
      </w:pPr>
      <w:r>
        <w:t>5.3 What Is Not Included</w:t>
      </w:r>
    </w:p>
    <w:p>
      <w:pPr>
        <w:pStyle w:val="ListBullet"/>
        <w:spacing w:after="60"/>
        <w:ind w:left="432"/>
      </w:pPr>
      <w:r>
        <w:t>React Native mobile app development (iOS and Android) — quoted separately</w:t>
      </w:r>
    </w:p>
    <w:p>
      <w:pPr>
        <w:pStyle w:val="ListBullet"/>
        <w:spacing w:after="60"/>
        <w:ind w:left="432"/>
      </w:pPr>
      <w:r>
        <w:t>Admin / operations web portal development — quoted separately</w:t>
      </w:r>
    </w:p>
    <w:p>
      <w:pPr>
        <w:pStyle w:val="ListBullet"/>
        <w:spacing w:after="60"/>
        <w:ind w:left="432"/>
      </w:pPr>
      <w:r>
        <w:t>UX/UI design and graphic design — available as optional add-on (see Section 5.6)</w:t>
      </w:r>
    </w:p>
    <w:p>
      <w:pPr>
        <w:pStyle w:val="ListBullet"/>
        <w:spacing w:after="60"/>
        <w:ind w:left="432"/>
      </w:pPr>
      <w:r>
        <w:t>QA manual and automated test execution (we provide test environment; QA team executes)</w:t>
      </w:r>
    </w:p>
    <w:p>
      <w:pPr>
        <w:pStyle w:val="ListBullet"/>
        <w:spacing w:after="60"/>
        <w:ind w:left="432"/>
      </w:pPr>
      <w:r>
        <w:t>Legal and compliance consulting — GDPR legal review (client responsibility)</w:t>
      </w:r>
    </w:p>
    <w:p>
      <w:pPr>
        <w:pStyle w:val="ListBullet"/>
        <w:spacing w:after="60"/>
        <w:ind w:left="432"/>
      </w:pPr>
      <w:r>
        <w:t>NIJZ / ZZZS / hospital integration certificates, sandbox access, legal agreements</w:t>
      </w:r>
    </w:p>
    <w:p>
      <w:pPr>
        <w:pStyle w:val="ListBullet"/>
        <w:spacing w:after="60"/>
        <w:ind w:left="432"/>
      </w:pPr>
      <w:r>
        <w:t>OCR-based document verification for provider license scanning — available as separate discovery item or Phase 2 add-on</w:t>
      </w:r>
    </w:p>
    <w:p>
      <w:pPr>
        <w:pStyle w:val="ListBullet"/>
        <w:spacing w:after="60"/>
        <w:ind w:left="432"/>
      </w:pPr>
      <w:r>
        <w:t>Third-party license and usage costs (all billed at cost, no markup): Stripe (payment processing), Twilio/SMS gateway, SendGrid/email provider, Google Maps API or OpenRouteService (routing), external penetration test</w:t>
      </w:r>
    </w:p>
    <w:p>
      <w:pPr>
        <w:pStyle w:val="ListBullet"/>
        <w:spacing w:after="60"/>
        <w:ind w:left="432"/>
      </w:pPr>
      <w:r>
        <w:t>Cloud infrastructure costs: AWS/Hetzner compute, storage, data transfer (pass-through at cost)</w:t>
      </w:r>
    </w:p>
    <w:p>
      <w:pPr>
        <w:pStyle w:val="ListBullet"/>
        <w:spacing w:after="60"/>
        <w:ind w:left="432"/>
      </w:pPr>
      <w:r>
        <w:t>Post-launch SLA and ongoing maintenance (can be quoted separately after launch)</w:t>
      </w:r>
    </w:p>
    <w:p>
      <w:pPr>
        <w:pStyle w:val="Heading2"/>
      </w:pPr>
      <w:r>
        <w:t>5.4 Payment Terms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Milestone</w:t>
            </w:r>
          </w:p>
        </w:tc>
        <w:tc>
          <w:tcPr>
            <w:tcW w:type="dxa" w:w="4703"/>
            <w:shd w:val="clear" w:color="auto" w:fill="1F497D"/>
          </w:tcPr>
          <w:p>
            <w:pPr>
              <w:jc w:val="center"/>
            </w:pPr>
            <w:r>
              <w:rPr>
                <w:b/>
                <w:color w:val="FFFFFF"/>
              </w:rPr>
              <w:t>Payment Terms</w:t>
            </w:r>
          </w:p>
        </w:tc>
      </w:tr>
      <w:tr>
        <w:tc>
          <w:tcPr>
            <w:tcW w:type="dxa" w:w="4703"/>
            <w:shd w:val="clear" w:color="auto" w:fill="F2F5FA"/>
          </w:tcPr>
          <w:p>
            <w:r>
              <w:t>Phase 0 (Discovery)</w:t>
            </w:r>
          </w:p>
        </w:tc>
        <w:tc>
          <w:tcPr>
            <w:tcW w:type="dxa" w:w="4703"/>
            <w:shd w:val="clear" w:color="auto" w:fill="F2F5FA"/>
          </w:tcPr>
          <w:p>
            <w:r>
              <w:t>50% upon signing, 50% upon delivery of architecture document and updated estimation</w:t>
            </w:r>
          </w:p>
        </w:tc>
      </w:tr>
      <w:tr>
        <w:tc>
          <w:tcPr>
            <w:tcW w:type="dxa" w:w="4703"/>
            <w:shd w:val="clear" w:color="auto" w:fill="FFFFFF"/>
          </w:tcPr>
          <w:p>
            <w:r>
              <w:t>Phase 1 (MVP Build)</w:t>
            </w:r>
          </w:p>
        </w:tc>
        <w:tc>
          <w:tcPr>
            <w:tcW w:type="dxa" w:w="4703"/>
            <w:shd w:val="clear" w:color="auto" w:fill="FFFFFF"/>
          </w:tcPr>
          <w:p>
            <w:r>
              <w:t>Monthly invoicing based on sprints completed (EUR 20,000 x 4 months)</w:t>
            </w:r>
          </w:p>
        </w:tc>
      </w:tr>
      <w:tr>
        <w:tc>
          <w:tcPr>
            <w:tcW w:type="dxa" w:w="4703"/>
            <w:shd w:val="clear" w:color="auto" w:fill="F2F5FA"/>
          </w:tcPr>
          <w:p>
            <w:r>
              <w:t>Phase 2 (Operational Scale)</w:t>
            </w:r>
          </w:p>
        </w:tc>
        <w:tc>
          <w:tcPr>
            <w:tcW w:type="dxa" w:w="4703"/>
            <w:shd w:val="clear" w:color="auto" w:fill="F2F5FA"/>
          </w:tcPr>
          <w:p>
            <w:r>
              <w:t>Monthly invoicing (EUR 16,000 x 3 months)</w:t>
            </w:r>
          </w:p>
        </w:tc>
      </w:tr>
      <w:tr>
        <w:tc>
          <w:tcPr>
            <w:tcW w:type="dxa" w:w="4703"/>
            <w:shd w:val="clear" w:color="auto" w:fill="FFFFFF"/>
          </w:tcPr>
          <w:p>
            <w:r>
              <w:t>Phase 3 (QA, Security &amp; Launch)</w:t>
            </w:r>
          </w:p>
        </w:tc>
        <w:tc>
          <w:tcPr>
            <w:tcW w:type="dxa" w:w="4703"/>
            <w:shd w:val="clear" w:color="auto" w:fill="FFFFFF"/>
          </w:tcPr>
          <w:p>
            <w:r>
              <w:t>50% at start of phase (EUR 12,000), 50% upon go-live (EUR 12,000)</w:t>
            </w:r>
          </w:p>
        </w:tc>
      </w:tr>
      <w:tr>
        <w:tc>
          <w:tcPr>
            <w:tcW w:type="dxa" w:w="4703"/>
            <w:shd w:val="clear" w:color="auto" w:fill="F2F5FA"/>
          </w:tcPr>
          <w:p>
            <w:r>
              <w:t>Phase 4 (Full Healthcare Integration)</w:t>
            </w:r>
          </w:p>
        </w:tc>
        <w:tc>
          <w:tcPr>
            <w:tcW w:type="dxa" w:w="4703"/>
            <w:shd w:val="clear" w:color="auto" w:fill="F2F5FA"/>
          </w:tcPr>
          <w:p>
            <w:r>
              <w:t>Monthly invoicing or milestone-based (if client proceeds with this phase)</w:t>
            </w:r>
          </w:p>
        </w:tc>
      </w:tr>
      <w:tr>
        <w:tc>
          <w:tcPr>
            <w:tcW w:type="dxa" w:w="4703"/>
            <w:shd w:val="clear" w:color="auto" w:fill="FFFFFF"/>
          </w:tcPr>
          <w:p>
            <w:r>
              <w:t>UX/UI Design (Add-on)</w:t>
            </w:r>
          </w:p>
        </w:tc>
        <w:tc>
          <w:tcPr>
            <w:tcW w:type="dxa" w:w="4703"/>
            <w:shd w:val="clear" w:color="auto" w:fill="FFFFFF"/>
          </w:tcPr>
          <w:p>
            <w:r>
              <w:t>50% upon signing, 50% upon Figma handoff (within 2 weeks of design sign-off)</w:t>
            </w:r>
          </w:p>
        </w:tc>
      </w:tr>
      <w:tr>
        <w:tc>
          <w:tcPr>
            <w:tcW w:type="dxa" w:w="4703"/>
            <w:shd w:val="clear" w:color="auto" w:fill="F2F5FA"/>
          </w:tcPr>
          <w:p>
            <w:r>
              <w:t>General</w:t>
            </w:r>
          </w:p>
        </w:tc>
        <w:tc>
          <w:tcPr>
            <w:tcW w:type="dxa" w:w="4703"/>
            <w:shd w:val="clear" w:color="auto" w:fill="F2F5FA"/>
          </w:tcPr>
          <w:p>
            <w:r>
              <w:t>Net-30 from invoice date. Late payment: 1.5% interest per month.</w:t>
            </w:r>
          </w:p>
        </w:tc>
      </w:tr>
    </w:tbl>
    <w:p>
      <w:pPr>
        <w:spacing w:after="160" w:before="0"/>
      </w:pPr>
    </w:p>
    <w:p>
      <w:pPr>
        <w:pStyle w:val="Heading2"/>
      </w:pPr>
      <w:r>
        <w:t>5.5 Assumptions Affecting Pricing</w:t>
      </w:r>
    </w:p>
    <w:p>
      <w:pPr>
        <w:pStyle w:val="ListBullet"/>
        <w:spacing w:after="60"/>
        <w:ind w:left="432"/>
      </w:pPr>
      <w:r>
        <w:t>Pricing based on agreed budget of EUR 160,000 (excluding VAT and Phase 4 conditional work). Any scope changes beyond the defined phases will require a formal change request with impact assessment.</w:t>
      </w:r>
    </w:p>
    <w:p>
      <w:pPr>
        <w:pStyle w:val="ListBullet"/>
        <w:spacing w:after="60"/>
        <w:ind w:left="432"/>
      </w:pPr>
      <w:r>
        <w:t>Pricing assumes a 4-developer team (1 Tech Lead + 3 Senior/Medior Java+DevOps). Larger or smaller teams will adjust pricing proportionally.</w:t>
      </w:r>
    </w:p>
    <w:p>
      <w:pPr>
        <w:pStyle w:val="ListBullet"/>
        <w:spacing w:after="60"/>
        <w:ind w:left="432"/>
      </w:pPr>
      <w:r>
        <w:t>Cloud infrastructure costs (AWS/Hetzner) are estimated at approximately EUR 800–1,500/month for staging and EUR 2,000–4,000/month for production at MVP scale. These are pass-through costs billed at cost.</w:t>
      </w:r>
    </w:p>
    <w:p>
      <w:pPr>
        <w:pStyle w:val="ListBullet"/>
        <w:spacing w:after="60"/>
        <w:ind w:left="432"/>
      </w:pPr>
      <w:r>
        <w:t>Pricing assumes standard working hours (Monday–Friday, 40h/week). Additional availability or accelerated timelines will require a premium.</w:t>
      </w:r>
    </w:p>
    <w:p>
      <w:pPr>
        <w:pStyle w:val="ListBullet"/>
        <w:spacing w:after="60"/>
        <w:ind w:left="432"/>
      </w:pPr>
      <w:r>
        <w:t>Phase 4 (Full Healthcare Integration) is conditional on client providing NIJZ/ZZZS sandbox access, concession agreements, and hospital system API documentation before Phase 4 start.</w:t>
      </w:r>
    </w:p>
    <w:p>
      <w:pPr>
        <w:pStyle w:val="ListBullet"/>
        <w:spacing w:after="60"/>
        <w:ind w:left="432"/>
      </w:pPr>
      <w:r>
        <w:t>All estimates exclude VAT. Third-party licenses and usage fees billed at cost (no markup): Stripe (payment processing), Twilio/SMS (push + SMS notifications), SendGrid/email, Google Maps / OpenRouteService (routing), external penetration test.</w:t>
      </w:r>
    </w:p>
    <w:p>
      <w:pPr>
        <w:pStyle w:val="ListBullet"/>
        <w:spacing w:after="60"/>
        <w:ind w:left="432"/>
      </w:pPr>
      <w:r>
        <w:t>Source code and IP transfer to client upon receipt of final payment for each phase.</w:t>
      </w:r>
    </w:p>
    <w:p>
      <w:pPr>
        <w:spacing w:after="200" w:before="0"/>
      </w:pPr>
    </w:p>
    <w:p>
      <w:pPr>
        <w:pStyle w:val="Heading2"/>
      </w:pPr>
      <w:r>
        <w:t>5.6 UX/UI Design Package (Optional Add-on)</w:t>
      </w:r>
    </w:p>
    <w:p>
      <w:pPr>
        <w:spacing w:after="120"/>
        <w:jc w:val="left"/>
      </w:pPr>
      <w:r>
        <w:rPr>
          <w:b w:val="0"/>
          <w:i w:val="0"/>
        </w:rPr>
        <w:t>The following describes the optional UX/UI design package covering all three application surfaces. This is quoted separately from the main Java backend contract. It can run in parallel with Phase 0 (Discovery) so design is ready before Phase 1 development begins.</w:t>
      </w:r>
    </w:p>
    <w:p>
      <w:pPr>
        <w:pStyle w:val="Heading3"/>
      </w:pPr>
      <w:r>
        <w:t>What Is Designed</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pPr>
              <w:jc w:val="center"/>
            </w:pPr>
            <w:r>
              <w:rPr>
                <w:b/>
                <w:color w:val="FFFFFF"/>
              </w:rPr>
              <w:t>Application</w:t>
            </w:r>
          </w:p>
        </w:tc>
        <w:tc>
          <w:tcPr>
            <w:tcW w:type="dxa" w:w="4703"/>
            <w:shd w:val="clear" w:color="auto" w:fill="1F497D"/>
          </w:tcPr>
          <w:p>
            <w:pPr>
              <w:jc w:val="center"/>
            </w:pPr>
            <w:r>
              <w:rPr>
                <w:b/>
                <w:color w:val="FFFFFF"/>
              </w:rPr>
              <w:t>Scope</w:t>
            </w:r>
          </w:p>
        </w:tc>
      </w:tr>
      <w:tr>
        <w:tc>
          <w:tcPr>
            <w:tcW w:type="dxa" w:w="4703"/>
            <w:shd w:val="clear" w:color="auto" w:fill="F2F5FA"/>
          </w:tcPr>
          <w:p>
            <w:r>
              <w:t>Patient App (React Native)</w:t>
            </w:r>
          </w:p>
        </w:tc>
        <w:tc>
          <w:tcPr>
            <w:tcW w:type="dxa" w:w="4703"/>
            <w:shd w:val="clear" w:color="auto" w:fill="F2F5FA"/>
          </w:tcPr>
          <w:p>
            <w:r>
              <w:t>iOS + Android — approximately 25-30 key screens</w:t>
            </w:r>
          </w:p>
        </w:tc>
      </w:tr>
      <w:tr>
        <w:tc>
          <w:tcPr>
            <w:tcW w:type="dxa" w:w="4703"/>
            <w:shd w:val="clear" w:color="auto" w:fill="FFFFFF"/>
          </w:tcPr>
          <w:p>
            <w:r>
              <w:t>Provider App (React Native)</w:t>
            </w:r>
          </w:p>
        </w:tc>
        <w:tc>
          <w:tcPr>
            <w:tcW w:type="dxa" w:w="4703"/>
            <w:shd w:val="clear" w:color="auto" w:fill="FFFFFF"/>
          </w:tcPr>
          <w:p>
            <w:r>
              <w:t>iOS + Android — approximately 25-30 key screens</w:t>
            </w:r>
          </w:p>
        </w:tc>
      </w:tr>
      <w:tr>
        <w:tc>
          <w:tcPr>
            <w:tcW w:type="dxa" w:w="4703"/>
            <w:shd w:val="clear" w:color="auto" w:fill="F2F5FA"/>
          </w:tcPr>
          <w:p>
            <w:r>
              <w:t>Admin Web Portal</w:t>
            </w:r>
          </w:p>
        </w:tc>
        <w:tc>
          <w:tcPr>
            <w:tcW w:type="dxa" w:w="4703"/>
            <w:shd w:val="clear" w:color="auto" w:fill="F2F5FA"/>
          </w:tcPr>
          <w:p>
            <w:r>
              <w:t>Browser (React) — approximately 20-25 key screens</w:t>
            </w:r>
          </w:p>
        </w:tc>
      </w:tr>
    </w:tbl>
    <w:p>
      <w:pPr>
        <w:spacing w:after="120" w:before="0"/>
      </w:pPr>
    </w:p>
    <w:p>
      <w:pPr>
        <w:pStyle w:val="Heading3"/>
      </w:pPr>
      <w:r>
        <w:t>Deliverables</w:t>
      </w:r>
    </w:p>
    <w:p>
      <w:pPr>
        <w:pStyle w:val="ListBullet"/>
        <w:spacing w:after="60"/>
        <w:ind w:left="432"/>
      </w:pPr>
      <w:r>
        <w:t>User research and stakeholder interviews (remote, 2-3 sessions)</w:t>
      </w:r>
    </w:p>
    <w:p>
      <w:pPr>
        <w:pStyle w:val="ListBullet"/>
        <w:spacing w:after="60"/>
        <w:ind w:left="432"/>
      </w:pPr>
      <w:r>
        <w:t>Information architecture and user flow diagrams for all 3 apps</w:t>
      </w:r>
    </w:p>
    <w:p>
      <w:pPr>
        <w:pStyle w:val="ListBullet"/>
        <w:spacing w:after="60"/>
        <w:ind w:left="432"/>
      </w:pPr>
      <w:r>
        <w:t>Wireframes (low-fidelity) for all key screens — ~75-85 screens total</w:t>
      </w:r>
    </w:p>
    <w:p>
      <w:pPr>
        <w:pStyle w:val="ListBullet"/>
        <w:spacing w:after="60"/>
        <w:ind w:left="432"/>
      </w:pPr>
      <w:r>
        <w:t>High-fidelity Figma mockups for all screens — pixel-perfect, annotated</w:t>
      </w:r>
    </w:p>
    <w:p>
      <w:pPr>
        <w:pStyle w:val="ListBullet"/>
        <w:spacing w:after="60"/>
        <w:ind w:left="432"/>
      </w:pPr>
      <w:r>
        <w:t>Interactive Figma prototype — clickable flows for patient booking, provider visit, admin management</w:t>
      </w:r>
    </w:p>
    <w:p>
      <w:pPr>
        <w:pStyle w:val="ListBullet"/>
        <w:spacing w:after="60"/>
        <w:ind w:left="432"/>
      </w:pPr>
      <w:r>
        <w:t>Design system: colour palette, typography, spacing, component library (buttons, cards, inputs, modals)</w:t>
      </w:r>
    </w:p>
    <w:p>
      <w:pPr>
        <w:pStyle w:val="ListBullet"/>
        <w:spacing w:after="60"/>
        <w:ind w:left="432"/>
      </w:pPr>
      <w:r>
        <w:t>Mobile-specific design: safe area handling, notch/dynamic island, touch targets, gestures</w:t>
      </w:r>
    </w:p>
    <w:p>
      <w:pPr>
        <w:pStyle w:val="ListBullet"/>
        <w:spacing w:after="60"/>
        <w:ind w:left="432"/>
      </w:pPr>
      <w:r>
        <w:t>Dark mode design tokens (optional — if requested)</w:t>
      </w:r>
    </w:p>
    <w:p>
      <w:pPr>
        <w:pStyle w:val="ListBullet"/>
        <w:spacing w:after="60"/>
        <w:ind w:left="432"/>
      </w:pPr>
      <w:r>
        <w:t>Export of all assets: SVG icons, PNG/Android/iOS optimised images</w:t>
      </w:r>
    </w:p>
    <w:p>
      <w:pPr>
        <w:pStyle w:val="ListBullet"/>
        <w:spacing w:after="60"/>
        <w:ind w:left="432"/>
      </w:pPr>
      <w:r>
        <w:t>Developer handoff: Figma link with annotations, CSS/React Native style notes</w:t>
      </w:r>
    </w:p>
    <w:p>
      <w:pPr>
        <w:spacing w:after="120" w:before="0"/>
      </w:pPr>
    </w:p>
    <w:p>
      <w:pPr>
        <w:pStyle w:val="Heading3"/>
      </w:pPr>
      <w:r>
        <w:t>What's Included</w:t>
      </w:r>
    </w:p>
    <w:p>
      <w:pPr>
        <w:pStyle w:val="ListBullet"/>
        <w:spacing w:after="60"/>
        <w:ind w:left="432"/>
      </w:pPr>
      <w:r>
        <w:t>Up to 2 rounds of revisions per major flow (client feedback loop)</w:t>
      </w:r>
    </w:p>
    <w:p>
      <w:pPr>
        <w:pStyle w:val="ListBullet"/>
        <w:spacing w:after="60"/>
        <w:ind w:left="432"/>
      </w:pPr>
      <w:r>
        <w:t>Weekly design reviews via video call</w:t>
      </w:r>
    </w:p>
    <w:p>
      <w:pPr>
        <w:pStyle w:val="ListBullet"/>
        <w:spacing w:after="60"/>
        <w:ind w:left="432"/>
      </w:pPr>
      <w:r>
        <w:t>Brand consistency across all 3 apps using shared design system</w:t>
      </w:r>
    </w:p>
    <w:p>
      <w:pPr>
        <w:pStyle w:val="ListBullet"/>
        <w:spacing w:after="60"/>
        <w:ind w:left="432"/>
      </w:pPr>
      <w:r>
        <w:t>Accessibility considerations: WCAG 2.1 AA contrast ratios, minimum touch target sizes</w:t>
      </w:r>
    </w:p>
    <w:p>
      <w:pPr>
        <w:pStyle w:val="ListBullet"/>
        <w:spacing w:after="60"/>
        <w:ind w:left="432"/>
      </w:pPr>
      <w:r>
        <w:t>Figma source files transferred to client upon final payment</w:t>
      </w:r>
    </w:p>
    <w:p>
      <w:pPr>
        <w:spacing w:after="120" w:before="0"/>
      </w:pPr>
    </w:p>
    <w:p>
      <w:pPr>
        <w:pStyle w:val="Heading3"/>
      </w:pPr>
      <w:r>
        <w:t>What's Not Included</w:t>
      </w:r>
    </w:p>
    <w:p>
      <w:pPr>
        <w:pStyle w:val="ListBullet"/>
        <w:spacing w:after="60"/>
        <w:ind w:left="432"/>
      </w:pPr>
      <w:r>
        <w:t>Illustration or photography — stock assets only</w:t>
      </w:r>
    </w:p>
    <w:p>
      <w:pPr>
        <w:pStyle w:val="ListBullet"/>
        <w:spacing w:after="60"/>
        <w:ind w:left="432"/>
      </w:pPr>
      <w:r>
        <w:t>Motion design / animation (beyond simple transitions in prototype)</w:t>
      </w:r>
    </w:p>
    <w:p>
      <w:pPr>
        <w:pStyle w:val="ListBullet"/>
        <w:spacing w:after="60"/>
        <w:ind w:left="432"/>
      </w:pPr>
      <w:r>
        <w:t>Print design or physical brand assets</w:t>
      </w:r>
    </w:p>
    <w:p>
      <w:pPr>
        <w:pStyle w:val="ListBullet"/>
        <w:spacing w:after="60"/>
        <w:ind w:left="432"/>
      </w:pPr>
      <w:r>
        <w:t>User testing sessions (can be added as separate line item)</w:t>
      </w:r>
    </w:p>
    <w:p>
      <w:pPr>
        <w:spacing w:after="120" w:before="0"/>
      </w:pPr>
    </w:p>
    <w:p>
      <w:pPr>
        <w:pStyle w:val="Heading3"/>
      </w:pPr>
      <w:r>
        <w:t>Pricing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rPr>
              <w:t>Option</w:t>
            </w:r>
          </w:p>
        </w:tc>
        <w:tc>
          <w:tcPr>
            <w:tcW w:type="dxa" w:w="2351"/>
            <w:shd w:val="clear" w:color="auto" w:fill="1F497D"/>
          </w:tcPr>
          <w:p>
            <w:pPr>
              <w:jc w:val="center"/>
            </w:pPr>
            <w:r>
              <w:rPr>
                <w:b/>
                <w:color w:val="FFFFFF"/>
              </w:rPr>
              <w:t>Scope</w:t>
            </w:r>
          </w:p>
        </w:tc>
        <w:tc>
          <w:tcPr>
            <w:tcW w:type="dxa" w:w="2351"/>
            <w:shd w:val="clear" w:color="auto" w:fill="1F497D"/>
          </w:tcPr>
          <w:p>
            <w:pPr>
              <w:jc w:val="center"/>
            </w:pPr>
            <w:r>
              <w:rPr>
                <w:b/>
                <w:color w:val="FFFFFF"/>
              </w:rPr>
              <w:t>Timeline</w:t>
            </w:r>
          </w:p>
        </w:tc>
        <w:tc>
          <w:tcPr>
            <w:tcW w:type="dxa" w:w="2351"/>
            <w:shd w:val="clear" w:color="auto" w:fill="1F497D"/>
          </w:tcPr>
          <w:p>
            <w:pPr>
              <w:jc w:val="center"/>
            </w:pPr>
            <w:r>
              <w:rPr>
                <w:b/>
                <w:color w:val="FFFFFF"/>
              </w:rPr>
              <w:t>Price (EUR)</w:t>
            </w:r>
          </w:p>
        </w:tc>
      </w:tr>
      <w:tr>
        <w:tc>
          <w:tcPr>
            <w:tcW w:type="dxa" w:w="2351"/>
            <w:shd w:val="clear" w:color="auto" w:fill="F2F5FA"/>
          </w:tcPr>
          <w:p>
            <w:r>
              <w:t>Essential</w:t>
            </w:r>
          </w:p>
        </w:tc>
        <w:tc>
          <w:tcPr>
            <w:tcW w:type="dxa" w:w="2351"/>
            <w:shd w:val="clear" w:color="auto" w:fill="F2F5FA"/>
          </w:tcPr>
          <w:p>
            <w:r>
              <w:t>Wireframes only — no high-fidelity mockups. Basic flow diagrams. Figma wireframe file.</w:t>
            </w:r>
          </w:p>
        </w:tc>
        <w:tc>
          <w:tcPr>
            <w:tcW w:type="dxa" w:w="2351"/>
            <w:shd w:val="clear" w:color="auto" w:fill="F2F5FA"/>
          </w:tcPr>
          <w:p>
            <w:r>
              <w:t>3-4 weeks</w:t>
            </w:r>
          </w:p>
        </w:tc>
        <w:tc>
          <w:tcPr>
            <w:tcW w:type="dxa" w:w="2351"/>
            <w:shd w:val="clear" w:color="auto" w:fill="F2F5FA"/>
          </w:tcPr>
          <w:p>
            <w:r>
              <w:t>EUR 4,000</w:t>
            </w:r>
          </w:p>
        </w:tc>
      </w:tr>
      <w:tr>
        <w:tc>
          <w:tcPr>
            <w:tcW w:type="dxa" w:w="2351"/>
            <w:shd w:val="clear" w:color="auto" w:fill="FFFFFF"/>
          </w:tcPr>
          <w:p>
            <w:r>
              <w:t>Standard (Recommended)</w:t>
            </w:r>
          </w:p>
        </w:tc>
        <w:tc>
          <w:tcPr>
            <w:tcW w:type="dxa" w:w="2351"/>
            <w:shd w:val="clear" w:color="auto" w:fill="FFFFFF"/>
          </w:tcPr>
          <w:p>
            <w:r>
              <w:t>Full wireframes + high-fidelity Figma mockups + interactive prototype + design system for all 3 apps</w:t>
            </w:r>
          </w:p>
        </w:tc>
        <w:tc>
          <w:tcPr>
            <w:tcW w:type="dxa" w:w="2351"/>
            <w:shd w:val="clear" w:color="auto" w:fill="FFFFFF"/>
          </w:tcPr>
          <w:p>
            <w:r>
              <w:t>6-8 weeks</w:t>
            </w:r>
          </w:p>
        </w:tc>
        <w:tc>
          <w:tcPr>
            <w:tcW w:type="dxa" w:w="2351"/>
            <w:shd w:val="clear" w:color="auto" w:fill="FFFFFF"/>
          </w:tcPr>
          <w:p>
            <w:r>
              <w:t>EUR 12,000</w:t>
            </w:r>
          </w:p>
        </w:tc>
      </w:tr>
      <w:tr>
        <w:tc>
          <w:tcPr>
            <w:tcW w:type="dxa" w:w="2351"/>
            <w:shd w:val="clear" w:color="auto" w:fill="F2F5FA"/>
          </w:tcPr>
          <w:p>
            <w:r>
              <w:t>Premium</w:t>
            </w:r>
          </w:p>
        </w:tc>
        <w:tc>
          <w:tcPr>
            <w:tcW w:type="dxa" w:w="2351"/>
            <w:shd w:val="clear" w:color="auto" w:fill="F2F5FA"/>
          </w:tcPr>
          <w:p>
            <w:r>
              <w:t>Standard + 2 rounds of user testing + accessibility audit + dark mode + motion design</w:t>
            </w:r>
          </w:p>
        </w:tc>
        <w:tc>
          <w:tcPr>
            <w:tcW w:type="dxa" w:w="2351"/>
            <w:shd w:val="clear" w:color="auto" w:fill="F2F5FA"/>
          </w:tcPr>
          <w:p>
            <w:r>
              <w:t>10-12 weeks</w:t>
            </w:r>
          </w:p>
        </w:tc>
        <w:tc>
          <w:tcPr>
            <w:tcW w:type="dxa" w:w="2351"/>
            <w:shd w:val="clear" w:color="auto" w:fill="F2F5FA"/>
          </w:tcPr>
          <w:p>
            <w:r>
              <w:t>EUR 18,000</w:t>
            </w:r>
          </w:p>
        </w:tc>
      </w:tr>
    </w:tbl>
    <w:p>
      <w:pPr>
        <w:spacing w:after="120" w:before="0"/>
      </w:pPr>
    </w:p>
    <w:p>
      <w:pPr>
        <w:spacing w:after="120"/>
        <w:jc w:val="left"/>
      </w:pPr>
      <w:r>
        <w:rPr>
          <w:b w:val="0"/>
          <w:i/>
          <w:sz w:val="20"/>
        </w:rPr>
        <w:t>Recommended option: Standard (EUR 12,000). This provides complete, production-ready design for all 3 apps with sufficient detail for development teams to build from. Timeline runs in parallel with Phase 0/Phase 1 — design is finalised before main development begins.</w:t>
      </w:r>
    </w:p>
    <w:p>
      <w:pPr>
        <w:spacing w:after="200" w:before="0"/>
      </w:pPr>
    </w:p>
    <w:p>
      <w:r>
        <w:br w:type="page"/>
      </w:r>
    </w:p>
    <w:p>
      <w:pPr>
        <w:pStyle w:val="Heading1"/>
      </w:pPr>
      <w:r>
        <w:t>6. Team Composition</w:t>
      </w:r>
    </w:p>
    <w:p>
      <w:pPr>
        <w:spacing w:after="120"/>
        <w:jc w:val="left"/>
      </w:pPr>
      <w:r>
        <w:rPr>
          <w:b w:val="0"/>
          <w:i w:val="0"/>
        </w:rPr>
        <w:t>We propose a focused team of 4 Java + DevOps engineers. This team handles everything from backend development through to production deployment — no separate DevOps hire needed.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rPr>
              <w:t>Role</w:t>
            </w:r>
          </w:p>
        </w:tc>
        <w:tc>
          <w:tcPr>
            <w:tcW w:type="dxa" w:w="2351"/>
            <w:shd w:val="clear" w:color="auto" w:fill="1F497D"/>
          </w:tcPr>
          <w:p>
            <w:pPr>
              <w:jc w:val="center"/>
            </w:pPr>
            <w:r>
              <w:rPr>
                <w:b/>
                <w:color w:val="FFFFFF"/>
              </w:rPr>
              <w:t>Count</w:t>
            </w:r>
          </w:p>
        </w:tc>
        <w:tc>
          <w:tcPr>
            <w:tcW w:type="dxa" w:w="2351"/>
            <w:shd w:val="clear" w:color="auto" w:fill="1F497D"/>
          </w:tcPr>
          <w:p>
            <w:pPr>
              <w:jc w:val="center"/>
            </w:pPr>
            <w:r>
              <w:rPr>
                <w:b/>
                <w:color w:val="FFFFFF"/>
              </w:rPr>
              <w:t>Seniority</w:t>
            </w:r>
          </w:p>
        </w:tc>
        <w:tc>
          <w:tcPr>
            <w:tcW w:type="dxa" w:w="2351"/>
            <w:shd w:val="clear" w:color="auto" w:fill="1F497D"/>
          </w:tcPr>
          <w:p>
            <w:pPr>
              <w:jc w:val="center"/>
            </w:pPr>
            <w:r>
              <w:rPr>
                <w:b/>
                <w:color w:val="FFFFFF"/>
              </w:rPr>
              <w:t>Responsibilities</w:t>
            </w:r>
          </w:p>
        </w:tc>
      </w:tr>
      <w:tr>
        <w:tc>
          <w:tcPr>
            <w:tcW w:type="dxa" w:w="2351"/>
            <w:shd w:val="clear" w:color="auto" w:fill="F2F5FA"/>
          </w:tcPr>
          <w:p>
            <w:r>
              <w:t>Tech Lead / Architect</w:t>
            </w:r>
          </w:p>
        </w:tc>
        <w:tc>
          <w:tcPr>
            <w:tcW w:type="dxa" w:w="2351"/>
            <w:shd w:val="clear" w:color="auto" w:fill="F2F5FA"/>
          </w:tcPr>
          <w:p>
            <w:r>
              <w:t>1</w:t>
            </w:r>
          </w:p>
        </w:tc>
        <w:tc>
          <w:tcPr>
            <w:tcW w:type="dxa" w:w="2351"/>
            <w:shd w:val="clear" w:color="auto" w:fill="F2F5FA"/>
          </w:tcPr>
          <w:p>
            <w:r>
              <w:t>Senior</w:t>
            </w:r>
          </w:p>
        </w:tc>
        <w:tc>
          <w:tcPr>
            <w:tcW w:type="dxa" w:w="2351"/>
            <w:shd w:val="clear" w:color="auto" w:fill="F2F5FA"/>
          </w:tcPr>
          <w:p>
            <w:r>
              <w:t>System design, API architecture, PostgreSQL/schema decisions, code review, infrastructure oversight, client communication</w:t>
            </w:r>
          </w:p>
        </w:tc>
      </w:tr>
      <w:tr>
        <w:tc>
          <w:tcPr>
            <w:tcW w:type="dxa" w:w="2351"/>
            <w:shd w:val="clear" w:color="auto" w:fill="FFFFFF"/>
          </w:tcPr>
          <w:p>
            <w:r>
              <w:t>Senior Java / DevOps Engineer</w:t>
            </w:r>
          </w:p>
        </w:tc>
        <w:tc>
          <w:tcPr>
            <w:tcW w:type="dxa" w:w="2351"/>
            <w:shd w:val="clear" w:color="auto" w:fill="FFFFFF"/>
          </w:tcPr>
          <w:p>
            <w:r>
              <w:t>1</w:t>
            </w:r>
          </w:p>
        </w:tc>
        <w:tc>
          <w:tcPr>
            <w:tcW w:type="dxa" w:w="2351"/>
            <w:shd w:val="clear" w:color="auto" w:fill="FFFFFF"/>
          </w:tcPr>
          <w:p>
            <w:r>
              <w:t>Senior</w:t>
            </w:r>
          </w:p>
        </w:tc>
        <w:tc>
          <w:tcPr>
            <w:tcW w:type="dxa" w:w="2351"/>
            <w:shd w:val="clear" w:color="auto" w:fill="FFFFFF"/>
          </w:tcPr>
          <w:p>
            <w:r>
              <w:t>Spring Boot backend + CI/CD pipelines + AWS/Hetzner infrastructure + monitoring + security hardening</w:t>
            </w:r>
          </w:p>
        </w:tc>
      </w:tr>
      <w:tr>
        <w:tc>
          <w:tcPr>
            <w:tcW w:type="dxa" w:w="2351"/>
            <w:shd w:val="clear" w:color="auto" w:fill="F2F5FA"/>
          </w:tcPr>
          <w:p>
            <w:r>
              <w:t>Senior Java Developer</w:t>
            </w:r>
          </w:p>
        </w:tc>
        <w:tc>
          <w:tcPr>
            <w:tcW w:type="dxa" w:w="2351"/>
            <w:shd w:val="clear" w:color="auto" w:fill="F2F5FA"/>
          </w:tcPr>
          <w:p>
            <w:r>
              <w:t>1</w:t>
            </w:r>
          </w:p>
        </w:tc>
        <w:tc>
          <w:tcPr>
            <w:tcW w:type="dxa" w:w="2351"/>
            <w:shd w:val="clear" w:color="auto" w:fill="F2F5FA"/>
          </w:tcPr>
          <w:p>
            <w:r>
              <w:t>Senior</w:t>
            </w:r>
          </w:p>
        </w:tc>
        <w:tc>
          <w:tcPr>
            <w:tcW w:type="dxa" w:w="2351"/>
            <w:shd w:val="clear" w:color="auto" w:fill="F2F5FA"/>
          </w:tcPr>
          <w:p>
            <w:r>
              <w:t>Matching engine, billing, Stripe integration, NIJZ/ZZZS integrations, data pipeline</w:t>
            </w:r>
          </w:p>
        </w:tc>
      </w:tr>
      <w:tr>
        <w:tc>
          <w:tcPr>
            <w:tcW w:type="dxa" w:w="2351"/>
            <w:shd w:val="clear" w:color="auto" w:fill="FFFFFF"/>
          </w:tcPr>
          <w:p>
            <w:r>
              <w:t>Java Developer</w:t>
            </w:r>
          </w:p>
        </w:tc>
        <w:tc>
          <w:tcPr>
            <w:tcW w:type="dxa" w:w="2351"/>
            <w:shd w:val="clear" w:color="auto" w:fill="FFFFFF"/>
          </w:tcPr>
          <w:p>
            <w:r>
              <w:t>1</w:t>
            </w:r>
          </w:p>
        </w:tc>
        <w:tc>
          <w:tcPr>
            <w:tcW w:type="dxa" w:w="2351"/>
            <w:shd w:val="clear" w:color="auto" w:fill="FFFFFF"/>
          </w:tcPr>
          <w:p>
            <w:r>
              <w:t>Medior</w:t>
            </w:r>
          </w:p>
        </w:tc>
        <w:tc>
          <w:tcPr>
            <w:tcW w:type="dxa" w:w="2351"/>
            <w:shd w:val="clear" w:color="auto" w:fill="FFFFFF"/>
          </w:tcPr>
          <w:p>
            <w:r>
              <w:t>Auth, user, visit, CMS, notification services — with DevOps support for their own deployments</w:t>
            </w:r>
          </w:p>
        </w:tc>
      </w:tr>
    </w:tbl>
    <w:p>
      <w:pPr>
        <w:spacing w:after="160" w:before="0"/>
      </w:pPr>
    </w:p>
    <w:p>
      <w:pPr>
        <w:spacing w:after="120"/>
        <w:jc w:val="left"/>
      </w:pPr>
      <w:r>
        <w:rPr>
          <w:b w:val="0"/>
          <w:i/>
        </w:rPr>
        <w:t>The team works in 2-week sprints with sprint planning, daily standups, sprint reviews, and retrospectives. Progress is reported weekly via a shared project dashboard.</w:t>
      </w:r>
    </w:p>
    <w:p>
      <w:pPr>
        <w:pStyle w:val="Heading2"/>
      </w:pPr>
      <w:r>
        <w:t>6.1 Project Manager / Account Lead</w:t>
      </w:r>
    </w:p>
    <w:p>
      <w:pPr>
        <w:spacing w:after="120"/>
        <w:jc w:val="left"/>
      </w:pPr>
      <w:r>
        <w:rPr>
          <w:b w:val="0"/>
          <w:i w:val="0"/>
        </w:rPr>
        <w:t>A project manager from [Your Company Name] will serve as your single point of contact, managing sprint planning, risk escalation, timeline tracking, and commercial governance. The PM attends all sprint reviews and provides weekly status reports.</w:t>
      </w:r>
    </w:p>
    <w:p>
      <w:pPr>
        <w:pStyle w:val="Heading2"/>
      </w:pPr>
      <w:r>
        <w:t>6.2 Client Responsibilities</w:t>
      </w:r>
    </w:p>
    <w:p>
      <w:pPr>
        <w:spacing w:after="120"/>
        <w:jc w:val="left"/>
      </w:pPr>
      <w:r>
        <w:rPr>
          <w:b w:val="0"/>
          <w:i w:val="0"/>
        </w:rPr>
        <w:t>To ensure the project runs smoothly, we ask that Zdravdom provides the following:</w:t>
      </w:r>
    </w:p>
    <w:p>
      <w:pPr>
        <w:pStyle w:val="ListBullet"/>
        <w:spacing w:after="60"/>
        <w:ind w:left="432"/>
      </w:pPr>
      <w:r>
        <w:t>A dedicated product owner / stakeholder available for decisions within 48 hours during working days</w:t>
      </w:r>
    </w:p>
    <w:p>
      <w:pPr>
        <w:pStyle w:val="ListBullet"/>
        <w:spacing w:after="60"/>
        <w:ind w:left="432"/>
      </w:pPr>
      <w:r>
        <w:t>Access to existing codebase, technical documentation, and API specs (if applicable)</w:t>
      </w:r>
    </w:p>
    <w:p>
      <w:pPr>
        <w:pStyle w:val="ListBullet"/>
        <w:spacing w:after="60"/>
        <w:ind w:left="432"/>
      </w:pPr>
      <w:r>
        <w:t>NIJZ, ZZZS, and hospital system technical documentation and contact persons for integration phases</w:t>
      </w:r>
    </w:p>
    <w:p>
      <w:pPr>
        <w:pStyle w:val="ListBullet"/>
        <w:spacing w:after="60"/>
        <w:ind w:left="432"/>
      </w:pPr>
      <w:r>
        <w:t>Stripe API keys, NIJZ sandbox access, and any required certificates — as needed per phase</w:t>
      </w:r>
    </w:p>
    <w:p>
      <w:pPr>
        <w:pStyle w:val="ListBullet"/>
        <w:spacing w:after="60"/>
        <w:ind w:left="432"/>
      </w:pPr>
      <w:r>
        <w:t>GDPR legal review and compliance sign-off (external legal counsel)</w:t>
      </w:r>
    </w:p>
    <w:p>
      <w:pPr>
        <w:pStyle w:val="ListBullet"/>
        <w:spacing w:after="60"/>
        <w:ind w:left="432"/>
      </w:pPr>
      <w:r>
        <w:t>UX/UI assets and brand guidelines by end of Phase 0</w:t>
      </w:r>
    </w:p>
    <w:p>
      <w:pPr>
        <w:pStyle w:val="ListBullet"/>
        <w:spacing w:after="60"/>
        <w:ind w:left="432"/>
      </w:pPr>
      <w:r>
        <w:t>Access to a test environment or test devices for QA team</w:t>
      </w:r>
    </w:p>
    <w:p>
      <w:pPr>
        <w:pStyle w:val="ListBullet"/>
        <w:spacing w:after="60"/>
        <w:ind w:left="432"/>
      </w:pPr>
      <w:r>
        <w:t>Timely feedback on sprint demos and deliverables</w:t>
      </w:r>
    </w:p>
    <w:p>
      <w:r>
        <w:br w:type="page"/>
      </w:r>
    </w:p>
    <w:p>
      <w:pPr>
        <w:pStyle w:val="Heading1"/>
      </w:pPr>
      <w:r>
        <w:t>7. Assumptions &amp; Open Questions</w:t>
      </w:r>
    </w:p>
    <w:p>
      <w:pPr>
        <w:spacing w:after="120"/>
        <w:jc w:val="left"/>
      </w:pPr>
      <w:r>
        <w:rPr>
          <w:b w:val="0"/>
          <w:i w:val="0"/>
        </w:rPr>
        <w:t>The following assumptions underpin this proposal. We ask that these are reviewed and confirmed during Phase 0 discovery, as they will materially affect cost and timeline.</w:t>
      </w:r>
    </w:p>
    <w:p>
      <w:pPr>
        <w:pStyle w:val="Heading2"/>
      </w:pPr>
      <w:r>
        <w:t>7.1 Technical Assumptions</w:t>
      </w:r>
    </w:p>
    <w:p>
      <w:pPr>
        <w:pStyle w:val="ListBullet"/>
        <w:spacing w:after="60"/>
        <w:ind w:left="432"/>
      </w:pPr>
      <w:r>
        <w:t>Backend language: Java 17 / Spring Boot 3 (as proposed; if Node.js/NestJS is required, pricing will be revised)</w:t>
      </w:r>
    </w:p>
    <w:p>
      <w:pPr>
        <w:pStyle w:val="ListBullet"/>
        <w:spacing w:after="60"/>
        <w:ind w:left="432"/>
      </w:pPr>
      <w:r>
        <w:t>Infrastructure: AWS ECS (Fargate) or Hetzner Cloud with GDPR-compliant EU region — final decision in Phase 0</w:t>
      </w:r>
    </w:p>
    <w:p>
      <w:pPr>
        <w:pStyle w:val="ListBullet"/>
        <w:spacing w:after="60"/>
        <w:ind w:left="432"/>
      </w:pPr>
      <w:r>
        <w:t>Database: PostgreSQL (version 15+) as specified. Managed service (AWS RDS or Hetzner Managed PostgreSQL) preferred over self-hosted.</w:t>
      </w:r>
    </w:p>
    <w:p>
      <w:pPr>
        <w:pStyle w:val="ListBullet"/>
        <w:spacing w:after="60"/>
        <w:ind w:left="432"/>
      </w:pPr>
      <w:r>
        <w:t>Mobile and admin teams: we assume separate teams are engaged for React Native apps and admin portal. We provide API contracts only.</w:t>
      </w:r>
    </w:p>
    <w:p>
      <w:pPr>
        <w:pStyle w:val="ListBullet"/>
        <w:spacing w:after="60"/>
        <w:ind w:left="432"/>
      </w:pPr>
      <w:r>
        <w:t>Service scope at launch: the MVP will support a defined set of service categories (e.g., nursing, physiotherapy). Additional service templates are scoped in Phase 2.</w:t>
      </w:r>
    </w:p>
    <w:p>
      <w:pPr>
        <w:pStyle w:val="ListBullet"/>
        <w:spacing w:after="60"/>
        <w:ind w:left="432"/>
      </w:pPr>
      <w:r>
        <w:t>Provider verification: OCR-based document verification with manual review. Full automated background-check service integration (if required) deferred to Phase 2.</w:t>
      </w:r>
    </w:p>
    <w:p>
      <w:pPr>
        <w:pStyle w:val="ListBullet"/>
        <w:spacing w:after="60"/>
        <w:ind w:left="432"/>
      </w:pPr>
      <w:r>
        <w:t>Visit form templates: MVP includes 2–3 initial form templates. Additional templates priced per unit in Phase 2.</w:t>
      </w:r>
    </w:p>
    <w:p>
      <w:pPr>
        <w:pStyle w:val="ListBullet"/>
        <w:spacing w:after="60"/>
        <w:ind w:left="432"/>
      </w:pPr>
      <w:r>
        <w:t>Number of languages at launch: MVP in Slovenian + English. Additional languages in Phase 2.</w:t>
      </w:r>
    </w:p>
    <w:p>
      <w:pPr>
        <w:pStyle w:val="Heading2"/>
      </w:pPr>
      <w:r>
        <w:t>7.2 Commercial Assumptions</w:t>
      </w:r>
    </w:p>
    <w:p>
      <w:pPr>
        <w:pStyle w:val="ListBullet"/>
        <w:spacing w:after="60"/>
        <w:ind w:left="432"/>
      </w:pPr>
      <w:r>
        <w:t>Team availability: pricing assumes the team is available to start within 4 weeks of signed contract.</w:t>
      </w:r>
    </w:p>
    <w:p>
      <w:pPr>
        <w:pStyle w:val="ListBullet"/>
        <w:spacing w:after="60"/>
        <w:ind w:left="432"/>
      </w:pPr>
      <w:r>
        <w:t>Contract type: Time &amp; Materials for Phase 0; Fixed Price per phase for Phases 1–4 (unless client prefers T&amp;M).</w:t>
      </w:r>
    </w:p>
    <w:p>
      <w:pPr>
        <w:pStyle w:val="ListBullet"/>
        <w:spacing w:after="60"/>
        <w:ind w:left="432"/>
      </w:pPr>
      <w:r>
        <w:t>Intellectual property: all source code, infrastructure-as-code, and documentation transferred to Zdravdom upon final payment per phase.</w:t>
      </w:r>
    </w:p>
    <w:p>
      <w:pPr>
        <w:pStyle w:val="ListBullet"/>
        <w:spacing w:after="60"/>
        <w:ind w:left="432"/>
      </w:pPr>
      <w:r>
        <w:t>Warranty period: 30 days of warranty per phase covering defects identified during QA testing. Bug fixes due to changed requirements post-acceptance are charged at standard rates.</w:t>
      </w:r>
    </w:p>
    <w:p>
      <w:pPr>
        <w:pStyle w:val="ListBullet"/>
        <w:spacing w:after="60"/>
        <w:ind w:left="432"/>
      </w:pPr>
      <w:r>
        <w:t>Ongoing maintenance: post-launch SLA (production support, bug fixes, minor enhancements) can be quoted separately after go-live.</w:t>
      </w:r>
    </w:p>
    <w:p>
      <w:pPr>
        <w:pStyle w:val="Heading2"/>
      </w:pPr>
      <w:r>
        <w:t>7.3 Open Questions Requiring Client Input</w:t>
      </w:r>
    </w:p>
    <w:p>
      <w:pPr>
        <w:pStyle w:val="ListBullet"/>
        <w:spacing w:after="60"/>
        <w:ind w:left="432"/>
      </w:pPr>
      <w:r>
        <w:t>Final MVP scope: which integrations are in vs. deferred — client to confirm by end of Phase 0.</w:t>
      </w:r>
    </w:p>
    <w:p>
      <w:pPr>
        <w:pStyle w:val="ListBullet"/>
        <w:spacing w:after="60"/>
        <w:ind w:left="432"/>
      </w:pPr>
      <w:r>
        <w:t>Existing codebase: is there an existing backend or website to be reused, rebuilt, or only used as UX reference?</w:t>
      </w:r>
    </w:p>
    <w:p>
      <w:pPr>
        <w:pStyle w:val="ListBullet"/>
        <w:spacing w:after="60"/>
        <w:ind w:left="432"/>
      </w:pPr>
      <w:r>
        <w:t>Provider verification: exact process and third-party services to be used — client to decide before Phase 1 start.</w:t>
      </w:r>
    </w:p>
    <w:p>
      <w:pPr>
        <w:pStyle w:val="ListBullet"/>
        <w:spacing w:after="60"/>
        <w:ind w:left="432"/>
      </w:pPr>
      <w:r>
        <w:t>Payment flow: clarification on private-pay vs. reimbursed care split at launch — affects billing module scope.</w:t>
      </w:r>
    </w:p>
    <w:p>
      <w:pPr>
        <w:pStyle w:val="ListBullet"/>
        <w:spacing w:after="60"/>
        <w:ind w:left="432"/>
      </w:pPr>
      <w:r>
        <w:t>NIJZ/ZZZS readiness: are the necessary concessions, certificates, and sandbox access in place or in progress? This determines whether Phase 3 can start as planned.</w:t>
      </w:r>
    </w:p>
    <w:p>
      <w:pPr>
        <w:pStyle w:val="ListBullet"/>
        <w:spacing w:after="60"/>
        <w:ind w:left="432"/>
      </w:pPr>
      <w:r>
        <w:t>Legal entity for contract: [Your Company Name] vs. EU subsidiary — commercial team to confirm.</w:t>
      </w:r>
    </w:p>
    <w:p>
      <w:r>
        <w:br w:type="page"/>
      </w:r>
    </w:p>
    <w:p>
      <w:pPr>
        <w:pStyle w:val="Heading1"/>
      </w:pPr>
      <w:r>
        <w:t>8. Key Risks &amp; Mitigations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rPr>
              <w:t>Risk</w:t>
            </w:r>
          </w:p>
        </w:tc>
        <w:tc>
          <w:tcPr>
            <w:tcW w:type="dxa" w:w="2351"/>
            <w:shd w:val="clear" w:color="auto" w:fill="1F497D"/>
          </w:tcPr>
          <w:p>
            <w:pPr>
              <w:jc w:val="center"/>
            </w:pPr>
            <w:r>
              <w:rPr>
                <w:b/>
                <w:color w:val="FFFFFF"/>
              </w:rPr>
              <w:t>Likelihood</w:t>
            </w:r>
          </w:p>
        </w:tc>
        <w:tc>
          <w:tcPr>
            <w:tcW w:type="dxa" w:w="2351"/>
            <w:shd w:val="clear" w:color="auto" w:fill="1F497D"/>
          </w:tcPr>
          <w:p>
            <w:pPr>
              <w:jc w:val="center"/>
            </w:pPr>
            <w:r>
              <w:rPr>
                <w:b/>
                <w:color w:val="FFFFFF"/>
              </w:rPr>
              <w:t>Impact</w:t>
            </w:r>
          </w:p>
        </w:tc>
        <w:tc>
          <w:tcPr>
            <w:tcW w:type="dxa" w:w="2351"/>
            <w:shd w:val="clear" w:color="auto" w:fill="1F497D"/>
          </w:tcPr>
          <w:p>
            <w:pPr>
              <w:jc w:val="center"/>
            </w:pPr>
            <w:r>
              <w:rPr>
                <w:b/>
                <w:color w:val="FFFFFF"/>
              </w:rPr>
              <w:t>Mitigation</w:t>
            </w:r>
          </w:p>
        </w:tc>
      </w:tr>
      <w:tr>
        <w:tc>
          <w:tcPr>
            <w:tcW w:type="dxa" w:w="2351"/>
            <w:shd w:val="clear" w:color="auto" w:fill="F2F5FA"/>
          </w:tcPr>
          <w:p>
            <w:r>
              <w:t>NIJZ / ZZZS integration complexity and legal prerequisites</w:t>
            </w:r>
          </w:p>
        </w:tc>
        <w:tc>
          <w:tcPr>
            <w:tcW w:type="dxa" w:w="2351"/>
            <w:shd w:val="clear" w:color="auto" w:fill="F2F5FA"/>
          </w:tcPr>
          <w:p>
            <w:r>
              <w:t>High</w:t>
            </w:r>
          </w:p>
        </w:tc>
        <w:tc>
          <w:tcPr>
            <w:tcW w:type="dxa" w:w="2351"/>
            <w:shd w:val="clear" w:color="auto" w:fill="F2F5FA"/>
          </w:tcPr>
          <w:p>
            <w:r>
              <w:t>High</w:t>
            </w:r>
          </w:p>
        </w:tc>
        <w:tc>
          <w:tcPr>
            <w:tcW w:type="dxa" w:w="2351"/>
            <w:shd w:val="clear" w:color="auto" w:fill="F2F5FA"/>
          </w:tcPr>
          <w:p>
            <w:r>
              <w:t>Start with PDF reimbursement documentation in MVP. Full API integration in Phase 2+. NIJZ/ZZZS prerequisites must be client responsibility from Day 1.</w:t>
            </w:r>
          </w:p>
        </w:tc>
      </w:tr>
      <w:tr>
        <w:tc>
          <w:tcPr>
            <w:tcW w:type="dxa" w:w="2351"/>
            <w:shd w:val="clear" w:color="auto" w:fill="FFFFFF"/>
          </w:tcPr>
          <w:p>
            <w:r>
              <w:t>External system unavailability (hospital EHR)</w:t>
            </w:r>
          </w:p>
        </w:tc>
        <w:tc>
          <w:tcPr>
            <w:tcW w:type="dxa" w:w="2351"/>
            <w:shd w:val="clear" w:color="auto" w:fill="FFFFFF"/>
          </w:tcPr>
          <w:p>
            <w:r>
              <w:t>Medium</w:t>
            </w:r>
          </w:p>
        </w:tc>
        <w:tc>
          <w:tcPr>
            <w:tcW w:type="dxa" w:w="2351"/>
            <w:shd w:val="clear" w:color="auto" w:fill="FFFFFF"/>
          </w:tcPr>
          <w:p>
            <w:r>
              <w:t>High</w:t>
            </w:r>
          </w:p>
        </w:tc>
        <w:tc>
          <w:tcPr>
            <w:tcW w:type="dxa" w:w="2351"/>
            <w:shd w:val="clear" w:color="auto" w:fill="FFFFFF"/>
          </w:tcPr>
          <w:p>
            <w:r>
              <w:t>Design adapters with mock/stub mode from Week 1. Phase 3 scoped as separate work package with defined exit criteria.</w:t>
            </w:r>
          </w:p>
        </w:tc>
      </w:tr>
      <w:tr>
        <w:tc>
          <w:tcPr>
            <w:tcW w:type="dxa" w:w="2351"/>
            <w:shd w:val="clear" w:color="auto" w:fill="F2F5FA"/>
          </w:tcPr>
          <w:p>
            <w:r>
              <w:t>GDPR compliance gap</w:t>
            </w:r>
          </w:p>
        </w:tc>
        <w:tc>
          <w:tcPr>
            <w:tcW w:type="dxa" w:w="2351"/>
            <w:shd w:val="clear" w:color="auto" w:fill="F2F5FA"/>
          </w:tcPr>
          <w:p>
            <w:r>
              <w:t>Medium</w:t>
            </w:r>
          </w:p>
        </w:tc>
        <w:tc>
          <w:tcPr>
            <w:tcW w:type="dxa" w:w="2351"/>
            <w:shd w:val="clear" w:color="auto" w:fill="F2F5FA"/>
          </w:tcPr>
          <w:p>
            <w:r>
              <w:t>High</w:t>
            </w:r>
          </w:p>
        </w:tc>
        <w:tc>
          <w:tcPr>
            <w:tcW w:type="dxa" w:w="2351"/>
            <w:shd w:val="clear" w:color="auto" w:fill="F2F5FA"/>
          </w:tcPr>
          <w:p>
            <w:r>
              <w:t>Engage GDPR legal counsel from Week 1. Audit logging, consent management, and encryption implemented from Phase 1 — not deferred.</w:t>
            </w:r>
          </w:p>
        </w:tc>
      </w:tr>
      <w:tr>
        <w:tc>
          <w:tcPr>
            <w:tcW w:type="dxa" w:w="2351"/>
            <w:shd w:val="clear" w:color="auto" w:fill="FFFFFF"/>
          </w:tcPr>
          <w:p>
            <w:r>
              <w:t>Scope creep from under-defined MVP boundary</w:t>
            </w:r>
          </w:p>
        </w:tc>
        <w:tc>
          <w:tcPr>
            <w:tcW w:type="dxa" w:w="2351"/>
            <w:shd w:val="clear" w:color="auto" w:fill="FFFFFF"/>
          </w:tcPr>
          <w:p>
            <w:r>
              <w:t>Medium</w:t>
            </w:r>
          </w:p>
        </w:tc>
        <w:tc>
          <w:tcPr>
            <w:tcW w:type="dxa" w:w="2351"/>
            <w:shd w:val="clear" w:color="auto" w:fill="FFFFFF"/>
          </w:tcPr>
          <w:p>
            <w:r>
              <w:t>Medium</w:t>
            </w:r>
          </w:p>
        </w:tc>
        <w:tc>
          <w:tcPr>
            <w:tcW w:type="dxa" w:w="2351"/>
            <w:shd w:val="clear" w:color="auto" w:fill="FFFFFF"/>
          </w:tcPr>
          <w:p>
            <w:r>
              <w:t>Phase 0 locks MVP scope. Change requests managed via formal scope-change process with impact assessment.</w:t>
            </w:r>
          </w:p>
        </w:tc>
      </w:tr>
      <w:tr>
        <w:tc>
          <w:tcPr>
            <w:tcW w:type="dxa" w:w="2351"/>
            <w:shd w:val="clear" w:color="auto" w:fill="F2F5FA"/>
          </w:tcPr>
          <w:p>
            <w:r>
              <w:t>Slot locking race conditions leading to double-booking</w:t>
            </w:r>
          </w:p>
        </w:tc>
        <w:tc>
          <w:tcPr>
            <w:tcW w:type="dxa" w:w="2351"/>
            <w:shd w:val="clear" w:color="auto" w:fill="F2F5FA"/>
          </w:tcPr>
          <w:p>
            <w:r>
              <w:t>Low</w:t>
            </w:r>
          </w:p>
        </w:tc>
        <w:tc>
          <w:tcPr>
            <w:tcW w:type="dxa" w:w="2351"/>
            <w:shd w:val="clear" w:color="auto" w:fill="F2F5FA"/>
          </w:tcPr>
          <w:p>
            <w:r>
              <w:t>High</w:t>
            </w:r>
          </w:p>
        </w:tc>
        <w:tc>
          <w:tcPr>
            <w:tcW w:type="dxa" w:w="2351"/>
            <w:shd w:val="clear" w:color="auto" w:fill="F2F5FA"/>
          </w:tcPr>
          <w:p>
            <w:r>
              <w:t>Redis distributed locking with TTL and idempotency keys on booking endpoints. Load-tested in Phase 4.</w:t>
            </w:r>
          </w:p>
        </w:tc>
      </w:tr>
      <w:tr>
        <w:tc>
          <w:tcPr>
            <w:tcW w:type="dxa" w:w="2351"/>
            <w:shd w:val="clear" w:color="auto" w:fill="FFFFFF"/>
          </w:tcPr>
          <w:p>
            <w:r>
              <w:t>Third-party API changes (Stripe, NIJZ, maps)</w:t>
            </w:r>
          </w:p>
        </w:tc>
        <w:tc>
          <w:tcPr>
            <w:tcW w:type="dxa" w:w="2351"/>
            <w:shd w:val="clear" w:color="auto" w:fill="FFFFFF"/>
          </w:tcPr>
          <w:p>
            <w:r>
              <w:t>Low</w:t>
            </w:r>
          </w:p>
        </w:tc>
        <w:tc>
          <w:tcPr>
            <w:tcW w:type="dxa" w:w="2351"/>
            <w:shd w:val="clear" w:color="auto" w:fill="FFFFFF"/>
          </w:tcPr>
          <w:p>
            <w:r>
              <w:t>Medium</w:t>
            </w:r>
          </w:p>
        </w:tc>
        <w:tc>
          <w:tcPr>
            <w:tcW w:type="dxa" w:w="2351"/>
            <w:shd w:val="clear" w:color="auto" w:fill="FFFFFF"/>
          </w:tcPr>
          <w:p>
            <w:r>
              <w:t>Adapter pattern with mock implementations. Version-locked integration tests in CI pipeline.</w:t>
            </w:r>
          </w:p>
        </w:tc>
      </w:tr>
      <w:tr>
        <w:tc>
          <w:tcPr>
            <w:tcW w:type="dxa" w:w="2351"/>
            <w:shd w:val="clear" w:color="auto" w:fill="F2F5FA"/>
          </w:tcPr>
          <w:p>
            <w:r>
              <w:t>Cloud cost overrun at scale</w:t>
            </w:r>
          </w:p>
        </w:tc>
        <w:tc>
          <w:tcPr>
            <w:tcW w:type="dxa" w:w="2351"/>
            <w:shd w:val="clear" w:color="auto" w:fill="F2F5FA"/>
          </w:tcPr>
          <w:p>
            <w:r>
              <w:t>Low</w:t>
            </w:r>
          </w:p>
        </w:tc>
        <w:tc>
          <w:tcPr>
            <w:tcW w:type="dxa" w:w="2351"/>
            <w:shd w:val="clear" w:color="auto" w:fill="F2F5FA"/>
          </w:tcPr>
          <w:p>
            <w:r>
              <w:t>Medium</w:t>
            </w:r>
          </w:p>
        </w:tc>
        <w:tc>
          <w:tcPr>
            <w:tcW w:type="dxa" w:w="2351"/>
            <w:shd w:val="clear" w:color="auto" w:fill="F2F5FA"/>
          </w:tcPr>
          <w:p>
            <w:r>
              <w:t>Cost monitoring dashboard from Week 1. Reserved instances purchased after Phase 4. Autoscaling prevents over-provisioning.</w:t>
            </w:r>
          </w:p>
        </w:tc>
      </w:tr>
      <w:tr>
        <w:tc>
          <w:tcPr>
            <w:tcW w:type="dxa" w:w="2351"/>
            <w:shd w:val="clear" w:color="auto" w:fill="FFFFFF"/>
          </w:tcPr>
          <w:p>
            <w:r>
              <w:t>DevOps knowledge bottleneck</w:t>
            </w:r>
          </w:p>
        </w:tc>
        <w:tc>
          <w:tcPr>
            <w:tcW w:type="dxa" w:w="2351"/>
            <w:shd w:val="clear" w:color="auto" w:fill="FFFFFF"/>
          </w:tcPr>
          <w:p>
            <w:r>
              <w:t>Low</w:t>
            </w:r>
          </w:p>
        </w:tc>
        <w:tc>
          <w:tcPr>
            <w:tcW w:type="dxa" w:w="2351"/>
            <w:shd w:val="clear" w:color="auto" w:fill="FFFFFF"/>
          </w:tcPr>
          <w:p>
            <w:r>
              <w:t>Medium</w:t>
            </w:r>
          </w:p>
        </w:tc>
        <w:tc>
          <w:tcPr>
            <w:tcW w:type="dxa" w:w="2351"/>
            <w:shd w:val="clear" w:color="auto" w:fill="FFFFFF"/>
          </w:tcPr>
          <w:p>
            <w:r>
              <w:t>All infrastructure as code (Terraform/Pulumi). Documentation in runbooks. Rotate DevOps tasks across team members.</w:t>
            </w:r>
          </w:p>
        </w:tc>
      </w:tr>
    </w:tbl>
    <w:p>
      <w:pPr>
        <w:spacing w:after="160" w:before="0"/>
      </w:pPr>
    </w:p>
    <w:p>
      <w:r>
        <w:br w:type="page"/>
      </w:r>
    </w:p>
    <w:p>
      <w:pPr>
        <w:pStyle w:val="Heading1"/>
      </w:pPr>
      <w:r>
        <w:t>9. Terms &amp; Conditions</w:t>
      </w:r>
    </w:p>
    <w:p>
      <w:pPr>
        <w:spacing w:after="120"/>
        <w:jc w:val="left"/>
      </w:pPr>
      <w:r>
        <w:rPr>
          <w:b/>
          <w:i w:val="0"/>
        </w:rPr>
        <w:t>Contract</w:t>
      </w:r>
    </w:p>
    <w:p>
      <w:pPr>
        <w:spacing w:after="120"/>
        <w:ind w:left="432"/>
        <w:jc w:val="left"/>
      </w:pPr>
      <w:r>
        <w:rPr>
          <w:b w:val="0"/>
          <w:i w:val="0"/>
        </w:rPr>
        <w:t>This proposal forms the basis of a formal development agreement to be signed before work begins. The agreement will reference this proposal and its attachments as the scope of work.</w:t>
      </w:r>
    </w:p>
    <w:p>
      <w:pPr>
        <w:spacing w:after="80" w:before="0"/>
      </w:pPr>
    </w:p>
    <w:p>
      <w:pPr>
        <w:spacing w:after="120"/>
        <w:jc w:val="left"/>
      </w:pPr>
      <w:r>
        <w:rPr>
          <w:b/>
          <w:i w:val="0"/>
        </w:rPr>
        <w:t>Intellectual Property</w:t>
      </w:r>
    </w:p>
    <w:p>
      <w:pPr>
        <w:spacing w:after="120"/>
        <w:ind w:left="432"/>
        <w:jc w:val="left"/>
      </w:pPr>
      <w:r>
        <w:rPr>
          <w:b w:val="0"/>
          <w:i w:val="0"/>
        </w:rPr>
        <w:t>All source code, infrastructure-as-code, documentation, and API specifications created during the engagement are transferred to Zdravdom upon receipt of final payment for each phase.</w:t>
      </w:r>
    </w:p>
    <w:p>
      <w:pPr>
        <w:spacing w:after="80" w:before="0"/>
      </w:pPr>
    </w:p>
    <w:p>
      <w:pPr>
        <w:spacing w:after="120"/>
        <w:jc w:val="left"/>
      </w:pPr>
      <w:r>
        <w:rPr>
          <w:b/>
          <w:i w:val="0"/>
        </w:rPr>
        <w:t>Confidentiality</w:t>
      </w:r>
    </w:p>
    <w:p>
      <w:pPr>
        <w:spacing w:after="120"/>
        <w:ind w:left="432"/>
        <w:jc w:val="left"/>
      </w:pPr>
      <w:r>
        <w:rPr>
          <w:b w:val="0"/>
          <w:i w:val="0"/>
        </w:rPr>
        <w:t>Both parties agree to keep all technical and commercial information exchanged during the engagement strictly confidential. This proposal itself is marked confidential.</w:t>
      </w:r>
    </w:p>
    <w:p>
      <w:pPr>
        <w:spacing w:after="80" w:before="0"/>
      </w:pPr>
    </w:p>
    <w:p>
      <w:pPr>
        <w:spacing w:after="120"/>
        <w:jc w:val="left"/>
      </w:pPr>
      <w:r>
        <w:rPr>
          <w:b/>
          <w:i w:val="0"/>
        </w:rPr>
        <w:t>Warranty</w:t>
      </w:r>
    </w:p>
    <w:p>
      <w:pPr>
        <w:spacing w:after="120"/>
        <w:ind w:left="432"/>
        <w:jc w:val="left"/>
      </w:pPr>
      <w:r>
        <w:rPr>
          <w:b w:val="0"/>
          <w:i w:val="0"/>
        </w:rPr>
        <w:t>We warrant that deliverables will be free from defects in workmanship for 30 days following acceptance of each phase. This warranty excludes defects caused by changed requirements, third-party integrations, or client modifications.</w:t>
      </w:r>
    </w:p>
    <w:p>
      <w:pPr>
        <w:spacing w:after="80" w:before="0"/>
      </w:pPr>
    </w:p>
    <w:p>
      <w:pPr>
        <w:spacing w:after="120"/>
        <w:jc w:val="left"/>
      </w:pPr>
      <w:r>
        <w:rPr>
          <w:b/>
          <w:i w:val="0"/>
        </w:rPr>
        <w:t>Limitation of Liability</w:t>
      </w:r>
    </w:p>
    <w:p>
      <w:pPr>
        <w:spacing w:after="120"/>
        <w:ind w:left="432"/>
        <w:jc w:val="left"/>
      </w:pPr>
      <w:r>
        <w:rPr>
          <w:b w:val="0"/>
          <w:i w:val="0"/>
        </w:rPr>
        <w:t>Our total liability under this agreement is capped at the total fees paid under the relevant phase. We are not liable for indirect, consequential, or lost profits.</w:t>
      </w:r>
    </w:p>
    <w:p>
      <w:pPr>
        <w:spacing w:after="80" w:before="0"/>
      </w:pPr>
    </w:p>
    <w:p>
      <w:pPr>
        <w:spacing w:after="120"/>
        <w:jc w:val="left"/>
      </w:pPr>
      <w:r>
        <w:rPr>
          <w:b/>
          <w:i w:val="0"/>
        </w:rPr>
        <w:t>Termination</w:t>
      </w:r>
    </w:p>
    <w:p>
      <w:pPr>
        <w:spacing w:after="120"/>
        <w:ind w:left="432"/>
        <w:jc w:val="left"/>
      </w:pPr>
      <w:r>
        <w:rPr>
          <w:b w:val="0"/>
          <w:i w:val="0"/>
        </w:rPr>
        <w:t>Either party may terminate with 30 days written notice. In case of termination, all work product delivered up to the termination date is payable. Client retains all IP for work paid in full.</w:t>
      </w:r>
    </w:p>
    <w:p>
      <w:pPr>
        <w:spacing w:after="80" w:before="0"/>
      </w:pPr>
    </w:p>
    <w:p>
      <w:pPr>
        <w:spacing w:after="120"/>
        <w:jc w:val="left"/>
      </w:pPr>
      <w:r>
        <w:rPr>
          <w:b/>
          <w:i w:val="0"/>
        </w:rPr>
        <w:t>Governing Law</w:t>
      </w:r>
    </w:p>
    <w:p>
      <w:pPr>
        <w:spacing w:after="120"/>
        <w:ind w:left="432"/>
        <w:jc w:val="left"/>
      </w:pPr>
      <w:r>
        <w:rPr>
          <w:b w:val="0"/>
          <w:i w:val="0"/>
        </w:rPr>
        <w:t>This agreement is governed by the laws of [Slovenia / EU / Your Country]. Disputes are resolved through binding arbitration in [City].</w:t>
      </w:r>
    </w:p>
    <w:p>
      <w:pPr>
        <w:spacing w:after="80" w:before="0"/>
      </w:pPr>
    </w:p>
    <w:p>
      <w:pPr>
        <w:spacing w:after="120"/>
        <w:jc w:val="left"/>
      </w:pPr>
      <w:r>
        <w:rPr>
          <w:b/>
          <w:i w:val="0"/>
        </w:rPr>
        <w:t>Force Majeure</w:t>
      </w:r>
    </w:p>
    <w:p>
      <w:pPr>
        <w:spacing w:after="120"/>
        <w:ind w:left="432"/>
        <w:jc w:val="left"/>
      </w:pPr>
      <w:r>
        <w:rPr>
          <w:b w:val="0"/>
          <w:i w:val="0"/>
        </w:rPr>
        <w:t>Neither party is liable for delays caused by circumstances beyond their reasonable control, including natural disasters, war, or pandemic.</w:t>
      </w:r>
    </w:p>
    <w:p>
      <w:pPr>
        <w:spacing w:after="80" w:before="0"/>
      </w:pPr>
    </w:p>
    <w:p>
      <w:r>
        <w:br w:type="page"/>
      </w:r>
    </w:p>
    <w:p>
      <w:pPr>
        <w:pStyle w:val="Heading1"/>
      </w:pPr>
      <w:r>
        <w:t>10. Why [Your Company Name]</w:t>
      </w:r>
    </w:p>
    <w:p>
      <w:pPr>
        <w:spacing w:after="120"/>
        <w:jc w:val="left"/>
      </w:pPr>
      <w:r>
        <w:rPr>
          <w:b w:val="0"/>
          <w:i w:val="0"/>
        </w:rPr>
        <w:t>[Your Company Name] brings the following to this engagement:</w:t>
      </w:r>
    </w:p>
    <w:p>
      <w:pPr>
        <w:spacing w:after="120"/>
        <w:jc w:val="left"/>
      </w:pPr>
      <w:r>
        <w:rPr>
          <w:b/>
          <w:i w:val="0"/>
        </w:rPr>
        <w:t>Experienced Java team</w:t>
      </w:r>
    </w:p>
    <w:p>
      <w:pPr>
        <w:spacing w:after="120"/>
        <w:ind w:left="432"/>
        <w:jc w:val="left"/>
      </w:pPr>
      <w:r>
        <w:rPr>
          <w:b w:val="0"/>
          <w:i w:val="0"/>
        </w:rPr>
        <w:t>Our developers are senior Java/Spring Boot engineers with experience in healthcare, fintech, and high-compliance environments. We follow clean architecture, TDD, and code review practices.</w:t>
      </w:r>
    </w:p>
    <w:p>
      <w:pPr>
        <w:spacing w:after="80" w:before="0"/>
      </w:pPr>
    </w:p>
    <w:p>
      <w:pPr>
        <w:spacing w:after="120"/>
        <w:jc w:val="left"/>
      </w:pPr>
      <w:r>
        <w:rPr>
          <w:b/>
          <w:i w:val="0"/>
        </w:rPr>
        <w:t>DevOps as a culture</w:t>
      </w:r>
    </w:p>
    <w:p>
      <w:pPr>
        <w:spacing w:after="120"/>
        <w:ind w:left="432"/>
        <w:jc w:val="left"/>
      </w:pPr>
      <w:r>
        <w:rPr>
          <w:b w:val="0"/>
          <w:i w:val="0"/>
        </w:rPr>
        <w:t>We treat DevOps as a team responsibility, not a separate function. Every developer on our team can build, containerize, and deploy their own code. This reduces hand-off friction and accelerates delivery.</w:t>
      </w:r>
    </w:p>
    <w:p>
      <w:pPr>
        <w:spacing w:after="80" w:before="0"/>
      </w:pPr>
    </w:p>
    <w:p>
      <w:pPr>
        <w:spacing w:after="120"/>
        <w:jc w:val="left"/>
      </w:pPr>
      <w:r>
        <w:rPr>
          <w:b/>
          <w:i w:val="0"/>
        </w:rPr>
        <w:t>API-first methodology</w:t>
      </w:r>
    </w:p>
    <w:p>
      <w:pPr>
        <w:spacing w:after="120"/>
        <w:ind w:left="432"/>
        <w:jc w:val="left"/>
      </w:pPr>
      <w:r>
        <w:rPr>
          <w:b w:val="0"/>
          <w:i w:val="0"/>
        </w:rPr>
        <w:t>We design APIs before we code. OpenAPI specifications are published early so your mobile and admin teams can build in parallel against mock servers.</w:t>
      </w:r>
    </w:p>
    <w:p>
      <w:pPr>
        <w:spacing w:after="80" w:before="0"/>
      </w:pPr>
    </w:p>
    <w:p>
      <w:pPr>
        <w:spacing w:after="120"/>
        <w:jc w:val="left"/>
      </w:pPr>
      <w:r>
        <w:rPr>
          <w:b/>
          <w:i w:val="0"/>
        </w:rPr>
        <w:t>Healthcare and compliance awareness</w:t>
      </w:r>
    </w:p>
    <w:p>
      <w:pPr>
        <w:spacing w:after="120"/>
        <w:ind w:left="432"/>
        <w:jc w:val="left"/>
      </w:pPr>
      <w:r>
        <w:rPr>
          <w:b w:val="0"/>
          <w:i w:val="0"/>
        </w:rPr>
        <w:t>We understand GDPR, healthcare data retention requirements, and the complexity of public health integrations. We will flag compliance gaps proactively rather than after go-live.</w:t>
      </w:r>
    </w:p>
    <w:p>
      <w:pPr>
        <w:spacing w:after="80" w:before="0"/>
      </w:pPr>
    </w:p>
    <w:p>
      <w:pPr>
        <w:spacing w:after="120"/>
        <w:jc w:val="left"/>
      </w:pPr>
      <w:r>
        <w:rPr>
          <w:b/>
          <w:i w:val="0"/>
        </w:rPr>
        <w:t>Transparent communication</w:t>
      </w:r>
    </w:p>
    <w:p>
      <w:pPr>
        <w:spacing w:after="120"/>
        <w:ind w:left="432"/>
        <w:jc w:val="left"/>
      </w:pPr>
      <w:r>
        <w:rPr>
          <w:b w:val="0"/>
          <w:i w:val="0"/>
        </w:rPr>
        <w:t>Weekly sprint reviews, shared Jira/Linear board, Grafana dashboards, and a dedicated Slack channel. You always know what is done, what is next, and what is blocked.</w:t>
      </w:r>
    </w:p>
    <w:p>
      <w:pPr>
        <w:spacing w:after="80" w:before="0"/>
      </w:pPr>
    </w:p>
    <w:p>
      <w:pPr>
        <w:spacing w:after="120"/>
        <w:jc w:val="left"/>
      </w:pPr>
      <w:r>
        <w:rPr>
          <w:b/>
          <w:i w:val="0"/>
        </w:rPr>
        <w:t>Phased delivery with risk management</w:t>
      </w:r>
    </w:p>
    <w:p>
      <w:pPr>
        <w:spacing w:after="120"/>
        <w:ind w:left="432"/>
        <w:jc w:val="left"/>
      </w:pPr>
      <w:r>
        <w:rPr>
          <w:b w:val="0"/>
          <w:i w:val="0"/>
        </w:rPr>
        <w:t>We recommend starting with a narrow MVP and expanding in phases. This reduces your upfront commitment, validates the product with real users, and avoids spending on integrations before the platform is proven.</w:t>
      </w:r>
    </w:p>
    <w:p>
      <w:pPr>
        <w:spacing w:after="80" w:before="0"/>
      </w:pPr>
    </w:p>
    <w:p>
      <w:r>
        <w:br w:type="page"/>
      </w:r>
    </w:p>
    <w:p>
      <w:pPr>
        <w:pStyle w:val="Heading1"/>
      </w:pPr>
      <w:r>
        <w:t>11. Next Steps</w:t>
      </w:r>
    </w:p>
    <w:p>
      <w:pPr>
        <w:spacing w:after="120"/>
        <w:jc w:val="left"/>
      </w:pPr>
      <w:r>
        <w:rPr>
          <w:b w:val="0"/>
          <w:i w:val="0"/>
        </w:rPr>
        <w:t>We propose the following path forward to move quickly while maintaining quality: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rPr>
              <w:t>Step</w:t>
            </w:r>
          </w:p>
        </w:tc>
        <w:tc>
          <w:tcPr>
            <w:tcW w:type="dxa" w:w="3135"/>
            <w:shd w:val="clear" w:color="auto" w:fill="1F497D"/>
          </w:tcPr>
          <w:p>
            <w:pPr>
              <w:jc w:val="center"/>
            </w:pPr>
            <w:r>
              <w:rPr>
                <w:b/>
                <w:color w:val="FFFFFF"/>
              </w:rPr>
              <w:t>Action</w:t>
            </w:r>
          </w:p>
        </w:tc>
        <w:tc>
          <w:tcPr>
            <w:tcW w:type="dxa" w:w="3135"/>
            <w:shd w:val="clear" w:color="auto" w:fill="1F497D"/>
          </w:tcPr>
          <w:p>
            <w:pPr>
              <w:jc w:val="center"/>
            </w:pPr>
            <w:r>
              <w:rPr>
                <w:b/>
                <w:color w:val="FFFFFF"/>
              </w:rPr>
              <w:t>Timing</w:t>
            </w:r>
          </w:p>
        </w:tc>
      </w:tr>
      <w:tr>
        <w:tc>
          <w:tcPr>
            <w:tcW w:type="dxa" w:w="3135"/>
            <w:shd w:val="clear" w:color="auto" w:fill="F2F5FA"/>
          </w:tcPr>
          <w:p>
            <w:r>
              <w:rPr>
                <w:b/>
              </w:rPr>
              <w:t>Step 1: Intro call</w:t>
            </w:r>
          </w:p>
        </w:tc>
        <w:tc>
          <w:tcPr>
            <w:tcW w:type="dxa" w:w="3135"/>
          </w:tcPr>
          <w:p>
            <w:r>
              <w:t>We schedule a 1-hour call to walk through this proposal, answer questions, and align on any open items (Section 7.3).</w:t>
            </w:r>
          </w:p>
        </w:tc>
        <w:tc>
          <w:tcPr>
            <w:tcW w:type="dxa" w:w="3135"/>
          </w:tcPr>
          <w:p>
            <w:r>
              <w:t>This week</w:t>
            </w:r>
          </w:p>
        </w:tc>
      </w:tr>
      <w:tr>
        <w:tc>
          <w:tcPr>
            <w:tcW w:type="dxa" w:w="3135"/>
            <w:shd w:val="clear" w:color="auto" w:fill="FFFFFF"/>
          </w:tcPr>
          <w:p>
            <w:r>
              <w:rPr>
                <w:b/>
              </w:rPr>
              <w:t>Step 2: Proposal refinement</w:t>
            </w:r>
          </w:p>
        </w:tc>
        <w:tc>
          <w:tcPr>
            <w:tcW w:type="dxa" w:w="3135"/>
          </w:tcPr>
          <w:p>
            <w:r>
              <w:t>Based on the call, we refine this proposal and prepare a formal development agreement.</w:t>
            </w:r>
          </w:p>
        </w:tc>
        <w:tc>
          <w:tcPr>
            <w:tcW w:type="dxa" w:w="3135"/>
          </w:tcPr>
          <w:p>
            <w:r>
              <w:t>Within 1 week</w:t>
            </w:r>
          </w:p>
        </w:tc>
      </w:tr>
      <w:tr>
        <w:tc>
          <w:tcPr>
            <w:tcW w:type="dxa" w:w="3135"/>
            <w:shd w:val="clear" w:color="auto" w:fill="F2F5FA"/>
          </w:tcPr>
          <w:p>
            <w:r>
              <w:rPr>
                <w:b/>
              </w:rPr>
              <w:t>Step 3: Contract signing</w:t>
            </w:r>
          </w:p>
        </w:tc>
        <w:tc>
          <w:tcPr>
            <w:tcW w:type="dxa" w:w="3135"/>
          </w:tcPr>
          <w:p>
            <w:r>
              <w:t>Both parties sign the development agreement. [Your Company Name] secures the team slots.</w:t>
            </w:r>
          </w:p>
        </w:tc>
        <w:tc>
          <w:tcPr>
            <w:tcW w:type="dxa" w:w="3135"/>
          </w:tcPr>
          <w:p>
            <w:r>
              <w:t>Within 2 weeks</w:t>
            </w:r>
          </w:p>
        </w:tc>
      </w:tr>
      <w:tr>
        <w:tc>
          <w:tcPr>
            <w:tcW w:type="dxa" w:w="3135"/>
            <w:shd w:val="clear" w:color="auto" w:fill="FFFFFF"/>
          </w:tcPr>
          <w:p>
            <w:r>
              <w:rPr>
                <w:b/>
              </w:rPr>
              <w:t>Step 4: Kickoff + Phase 0</w:t>
            </w:r>
          </w:p>
        </w:tc>
        <w:tc>
          <w:tcPr>
            <w:tcW w:type="dxa" w:w="3135"/>
          </w:tcPr>
          <w:p>
            <w:r>
              <w:t>Kickoff meeting with full team, followed immediately by Phase 0: Discovery &amp; Solution Design.</w:t>
            </w:r>
          </w:p>
        </w:tc>
        <w:tc>
          <w:tcPr>
            <w:tcW w:type="dxa" w:w="3135"/>
          </w:tcPr>
          <w:p>
            <w:r>
              <w:t>Week 4 from signing</w:t>
            </w:r>
          </w:p>
        </w:tc>
      </w:tr>
      <w:tr>
        <w:tc>
          <w:tcPr>
            <w:tcW w:type="dxa" w:w="3135"/>
            <w:shd w:val="clear" w:color="auto" w:fill="F2F5FA"/>
          </w:tcPr>
          <w:p>
            <w:r>
              <w:rPr>
                <w:b/>
              </w:rPr>
              <w:t>Step 5: Phase 0 output + Phase 1 commitment</w:t>
            </w:r>
          </w:p>
        </w:tc>
        <w:tc>
          <w:tcPr>
            <w:tcW w:type="dxa" w:w="3135"/>
          </w:tcPr>
          <w:p>
            <w:r>
              <w:t>At the end of Phase 0, we present the confirmed architecture and MVP scope. You decide whether to proceed to Phase 1.</w:t>
            </w:r>
          </w:p>
        </w:tc>
        <w:tc>
          <w:tcPr>
            <w:tcW w:type="dxa" w:w="3135"/>
          </w:tcPr>
          <w:p>
            <w:r>
              <w:t>End of Week 7</w:t>
            </w:r>
          </w:p>
        </w:tc>
      </w:tr>
      <w:tr>
        <w:tc>
          <w:tcPr>
            <w:tcW w:type="dxa" w:w="3135"/>
            <w:shd w:val="clear" w:color="auto" w:fill="FFFFFF"/>
          </w:tcPr>
          <w:p>
            <w:r>
              <w:rPr>
                <w:b/>
              </w:rPr>
              <w:t>Step 6: Phase 1 start</w:t>
            </w:r>
          </w:p>
        </w:tc>
        <w:tc>
          <w:tcPr>
            <w:tcW w:type="dxa" w:w="3135"/>
          </w:tcPr>
          <w:p>
            <w:r>
              <w:t>Upon Phase 1 approval, development begins with full team allocation.</w:t>
            </w:r>
          </w:p>
        </w:tc>
        <w:tc>
          <w:tcPr>
            <w:tcW w:type="dxa" w:w="3135"/>
          </w:tcPr>
          <w:p>
            <w:r>
              <w:t>Week 8</w:t>
            </w:r>
          </w:p>
        </w:tc>
      </w:tr>
    </w:tbl>
    <w:p>
      <w:pPr>
        <w:spacing w:after="200" w:before="0"/>
      </w:pPr>
    </w:p>
    <w:p>
      <w:pPr>
        <w:spacing w:after="120"/>
        <w:jc w:val="left"/>
      </w:pPr>
      <w:r>
        <w:rPr>
          <w:b w:val="0"/>
          <w:i w:val="0"/>
        </w:rPr>
        <w:t>We are excited about the Zdravdom platform and believe our team is well-positioned to deliver a robust, scalable, and compliant backend. We look forward to your response and to potentially working together on this meaningful project.</w:t>
      </w:r>
    </w:p>
    <w:p>
      <w:pPr>
        <w:spacing w:after="200" w:before="0"/>
      </w:pPr>
    </w:p>
    <w:p>
      <w:r>
        <w:rPr>
          <w:b/>
        </w:rPr>
        <w:t>Kind regards,</w:t>
        <w:br/>
      </w:r>
      <w:r>
        <w:br/>
        <w:t>[Your Name]</w:t>
        <w:br/>
      </w:r>
      <w:r>
        <w:t>[Your Title]</w:t>
        <w:br/>
      </w:r>
      <w:r>
        <w:t>[Your Company Name]</w:t>
        <w:br/>
      </w:r>
      <w:r>
        <w:t>[Email] | [Phone]</w:t>
      </w:r>
    </w:p>
    <w:p>
      <w:r>
        <w:br w:type="page"/>
      </w:r>
    </w:p>
    <w:p>
      <w:pPr>
        <w:pStyle w:val="Heading1"/>
      </w:pPr>
      <w:r>
        <w:t>Appendix B — Client Prerequisites &amp; Technical Risk Factors</w:t>
      </w:r>
    </w:p>
    <w:p>
      <w:pPr>
        <w:spacing w:after="120"/>
        <w:jc w:val="left"/>
      </w:pPr>
      <w:r>
        <w:rPr>
          <w:b w:val="0"/>
          <w:i w:val="0"/>
        </w:rPr>
        <w:t>The following items must be confirmed or resolved before or during Phase 0 (Discovery). Each item materially affects price, timeline, or delivery risk. Delays in client-side prerequisites will directly impact the delivery schedule.</w:t>
      </w:r>
    </w:p>
    <w:p>
      <w:pPr>
        <w:spacing w:after="120" w:before="0"/>
      </w:pPr>
    </w:p>
    <w:p>
      <w:pPr>
        <w:pStyle w:val="Heading2"/>
      </w:pPr>
      <w:r>
        <w:t>B.1 Client Prerequisites — Must Be Confirmed Before Phase 0</w:t>
      </w:r>
    </w:p>
    <w:p>
      <w:pPr>
        <w:spacing w:after="120"/>
        <w:jc w:val="left"/>
      </w:pPr>
      <w:r>
        <w:rPr>
          <w:b w:val="0"/>
          <w:i/>
          <w:sz w:val="20"/>
        </w:rPr>
        <w:t>The following items are client responsibilities. Please confirm each by the start of Phase 0.</w:t>
      </w:r>
    </w:p>
    <w:p>
      <w:pPr>
        <w:spacing w:after="80" w:before="0"/>
      </w:pP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F497D"/>
          </w:tcPr>
          <w:p>
            <w:pPr>
              <w:jc w:val="center"/>
            </w:pPr>
            <w:r>
              <w:rPr>
                <w:b/>
                <w:color w:val="FFFFFF"/>
              </w:rPr>
              <w:t>#</w:t>
            </w:r>
          </w:p>
        </w:tc>
        <w:tc>
          <w:tcPr>
            <w:tcW w:type="dxa" w:w="1881"/>
            <w:shd w:val="clear" w:color="auto" w:fill="1F497D"/>
          </w:tcPr>
          <w:p>
            <w:pPr>
              <w:jc w:val="center"/>
            </w:pPr>
            <w:r>
              <w:rPr>
                <w:b/>
                <w:color w:val="FFFFFF"/>
              </w:rPr>
              <w:t>Item</w:t>
            </w:r>
          </w:p>
        </w:tc>
        <w:tc>
          <w:tcPr>
            <w:tcW w:type="dxa" w:w="1881"/>
            <w:shd w:val="clear" w:color="auto" w:fill="1F497D"/>
          </w:tcPr>
          <w:p>
            <w:pPr>
              <w:jc w:val="center"/>
            </w:pPr>
            <w:r>
              <w:rPr>
                <w:b/>
                <w:color w:val="FFFFFF"/>
              </w:rPr>
              <w:t>Owner</w:t>
            </w:r>
          </w:p>
        </w:tc>
        <w:tc>
          <w:tcPr>
            <w:tcW w:type="dxa" w:w="1881"/>
            <w:shd w:val="clear" w:color="auto" w:fill="1F497D"/>
          </w:tcPr>
          <w:p>
            <w:pPr>
              <w:jc w:val="center"/>
            </w:pPr>
            <w:r>
              <w:rPr>
                <w:b/>
                <w:color w:val="FFFFFF"/>
              </w:rPr>
              <w:t>Needed By</w:t>
            </w:r>
          </w:p>
        </w:tc>
        <w:tc>
          <w:tcPr>
            <w:tcW w:type="dxa" w:w="1881"/>
            <w:shd w:val="clear" w:color="auto" w:fill="1F497D"/>
          </w:tcPr>
          <w:p>
            <w:pPr>
              <w:jc w:val="center"/>
            </w:pPr>
            <w:r>
              <w:rPr>
                <w:b/>
                <w:color w:val="FFFFFF"/>
              </w:rPr>
              <w:t>Impact If Delayed</w:t>
            </w:r>
          </w:p>
        </w:tc>
      </w:tr>
      <w:tr>
        <w:tc>
          <w:tcPr>
            <w:tcW w:type="dxa" w:w="1881"/>
            <w:shd w:val="clear" w:color="auto" w:fill="F2F5FA"/>
          </w:tcPr>
          <w:p>
            <w:r>
              <w:t>1</w:t>
            </w:r>
          </w:p>
        </w:tc>
        <w:tc>
          <w:tcPr>
            <w:tcW w:type="dxa" w:w="1881"/>
            <w:shd w:val="clear" w:color="auto" w:fill="F2F5FA"/>
          </w:tcPr>
          <w:p>
            <w:r>
              <w:t>Provider verification process: manual review workflow OR automated background-check service (Veriff, Onfido, etc.)? Who pays for third-party service?</w:t>
            </w:r>
          </w:p>
        </w:tc>
        <w:tc>
          <w:tcPr>
            <w:tcW w:type="dxa" w:w="1881"/>
            <w:shd w:val="clear" w:color="auto" w:fill="F2F5FA"/>
          </w:tcPr>
          <w:p>
            <w:r>
              <w:t>Client</w:t>
            </w:r>
          </w:p>
        </w:tc>
        <w:tc>
          <w:tcPr>
            <w:tcW w:type="dxa" w:w="1881"/>
            <w:shd w:val="clear" w:color="auto" w:fill="F2F5FA"/>
          </w:tcPr>
          <w:p>
            <w:r>
              <w:t>Phase 0 Week 1</w:t>
            </w:r>
          </w:p>
        </w:tc>
        <w:tc>
          <w:tcPr>
            <w:tcW w:type="dxa" w:w="1881"/>
            <w:shd w:val="clear" w:color="auto" w:fill="F2F5FA"/>
          </w:tcPr>
          <w:p>
            <w:r>
              <w:t>Provider onboarding cannot launch without this decision. Affects Phase 1 scope.</w:t>
            </w:r>
          </w:p>
        </w:tc>
      </w:tr>
      <w:tr>
        <w:tc>
          <w:tcPr>
            <w:tcW w:type="dxa" w:w="1881"/>
            <w:shd w:val="clear" w:color="auto" w:fill="FFFFFF"/>
          </w:tcPr>
          <w:p>
            <w:r>
              <w:t>2</w:t>
            </w:r>
          </w:p>
        </w:tc>
        <w:tc>
          <w:tcPr>
            <w:tcW w:type="dxa" w:w="1881"/>
            <w:shd w:val="clear" w:color="auto" w:fill="FFFFFF"/>
          </w:tcPr>
          <w:p>
            <w:r>
              <w:t>NIJZ/ZZZS sandbox access, certificates, and technical schemas for insurance/reimbursement integration</w:t>
            </w:r>
          </w:p>
        </w:tc>
        <w:tc>
          <w:tcPr>
            <w:tcW w:type="dxa" w:w="1881"/>
            <w:shd w:val="clear" w:color="auto" w:fill="FFFFFF"/>
          </w:tcPr>
          <w:p>
            <w:r>
              <w:t>Client</w:t>
            </w:r>
          </w:p>
        </w:tc>
        <w:tc>
          <w:tcPr>
            <w:tcW w:type="dxa" w:w="1881"/>
            <w:shd w:val="clear" w:color="auto" w:fill="FFFFFF"/>
          </w:tcPr>
          <w:p>
            <w:r>
              <w:t>Phase 1 Week 4 (if NIJZ check in MVP)</w:t>
            </w:r>
          </w:p>
        </w:tc>
        <w:tc>
          <w:tcPr>
            <w:tcW w:type="dxa" w:w="1881"/>
            <w:shd w:val="clear" w:color="auto" w:fill="FFFFFF"/>
          </w:tcPr>
          <w:p>
            <w:r>
              <w:t>MVP insurance check may be deferred. Phase 4 add-on blocked if not provided.</w:t>
            </w:r>
          </w:p>
        </w:tc>
      </w:tr>
      <w:tr>
        <w:tc>
          <w:tcPr>
            <w:tcW w:type="dxa" w:w="1881"/>
            <w:shd w:val="clear" w:color="auto" w:fill="F2F5FA"/>
          </w:tcPr>
          <w:p>
            <w:r>
              <w:t>3</w:t>
            </w:r>
          </w:p>
        </w:tc>
        <w:tc>
          <w:tcPr>
            <w:tcW w:type="dxa" w:w="1881"/>
            <w:shd w:val="clear" w:color="auto" w:fill="F2F5FA"/>
          </w:tcPr>
          <w:p>
            <w:r>
              <w:t>Payer/concession agreements with ZZZS or private insurers for direct billing (if applicable at launch)</w:t>
            </w:r>
          </w:p>
        </w:tc>
        <w:tc>
          <w:tcPr>
            <w:tcW w:type="dxa" w:w="1881"/>
            <w:shd w:val="clear" w:color="auto" w:fill="F2F5FA"/>
          </w:tcPr>
          <w:p>
            <w:r>
              <w:t>Client</w:t>
            </w:r>
          </w:p>
        </w:tc>
        <w:tc>
          <w:tcPr>
            <w:tcW w:type="dxa" w:w="1881"/>
            <w:shd w:val="clear" w:color="auto" w:fill="F2F5FA"/>
          </w:tcPr>
          <w:p>
            <w:r>
              <w:t>Before Phase 2</w:t>
            </w:r>
          </w:p>
        </w:tc>
        <w:tc>
          <w:tcPr>
            <w:tcW w:type="dxa" w:w="1881"/>
            <w:shd w:val="clear" w:color="auto" w:fill="F2F5FA"/>
          </w:tcPr>
          <w:p>
            <w:r>
              <w:t>BIRPIS/ZZZS API integration cannot proceed without payer agreements in place.</w:t>
            </w:r>
          </w:p>
        </w:tc>
      </w:tr>
      <w:tr>
        <w:tc>
          <w:tcPr>
            <w:tcW w:type="dxa" w:w="1881"/>
            <w:shd w:val="clear" w:color="auto" w:fill="FFFFFF"/>
          </w:tcPr>
          <w:p>
            <w:r>
              <w:t>4</w:t>
            </w:r>
          </w:p>
        </w:tc>
        <w:tc>
          <w:tcPr>
            <w:tcW w:type="dxa" w:w="1881"/>
            <w:shd w:val="clear" w:color="auto" w:fill="FFFFFF"/>
          </w:tcPr>
          <w:p>
            <w:r>
              <w:t>Hospital system API access for Better/openEHR integration (if Phase 3 integration planned)</w:t>
            </w:r>
          </w:p>
        </w:tc>
        <w:tc>
          <w:tcPr>
            <w:tcW w:type="dxa" w:w="1881"/>
            <w:shd w:val="clear" w:color="auto" w:fill="FFFFFF"/>
          </w:tcPr>
          <w:p>
            <w:r>
              <w:t>Client</w:t>
            </w:r>
          </w:p>
        </w:tc>
        <w:tc>
          <w:tcPr>
            <w:tcW w:type="dxa" w:w="1881"/>
            <w:shd w:val="clear" w:color="auto" w:fill="FFFFFF"/>
          </w:tcPr>
          <w:p>
            <w:r>
              <w:t>Before Phase 3</w:t>
            </w:r>
          </w:p>
        </w:tc>
        <w:tc>
          <w:tcPr>
            <w:tcW w:type="dxa" w:w="1881"/>
            <w:shd w:val="clear" w:color="auto" w:fill="FFFFFF"/>
          </w:tcPr>
          <w:p>
            <w:r>
              <w:t>Phase 3 hospital integration is blocked. Must be scoped as separate work package.</w:t>
            </w:r>
          </w:p>
        </w:tc>
      </w:tr>
      <w:tr>
        <w:tc>
          <w:tcPr>
            <w:tcW w:type="dxa" w:w="1881"/>
            <w:shd w:val="clear" w:color="auto" w:fill="F2F5FA"/>
          </w:tcPr>
          <w:p>
            <w:r>
              <w:t>5</w:t>
            </w:r>
          </w:p>
        </w:tc>
        <w:tc>
          <w:tcPr>
            <w:tcW w:type="dxa" w:w="1881"/>
            <w:shd w:val="clear" w:color="auto" w:fill="F2F5FA"/>
          </w:tcPr>
          <w:p>
            <w:r>
              <w:t>Medical supplier API documentation and availability (if Phase 2 supplier integration desired)</w:t>
            </w:r>
          </w:p>
        </w:tc>
        <w:tc>
          <w:tcPr>
            <w:tcW w:type="dxa" w:w="1881"/>
            <w:shd w:val="clear" w:color="auto" w:fill="F2F5FA"/>
          </w:tcPr>
          <w:p>
            <w:r>
              <w:t>Client</w:t>
            </w:r>
          </w:p>
        </w:tc>
        <w:tc>
          <w:tcPr>
            <w:tcW w:type="dxa" w:w="1881"/>
            <w:shd w:val="clear" w:color="auto" w:fill="F2F5FA"/>
          </w:tcPr>
          <w:p>
            <w:r>
              <w:t>Before Phase 2 start</w:t>
            </w:r>
          </w:p>
        </w:tc>
        <w:tc>
          <w:tcPr>
            <w:tcW w:type="dxa" w:w="1881"/>
            <w:shd w:val="clear" w:color="auto" w:fill="F2F5FA"/>
          </w:tcPr>
          <w:p>
            <w:r>
              <w:t>Supplier API automation deferred to later phase if API not available.</w:t>
            </w:r>
          </w:p>
        </w:tc>
      </w:tr>
      <w:tr>
        <w:tc>
          <w:tcPr>
            <w:tcW w:type="dxa" w:w="1881"/>
            <w:shd w:val="clear" w:color="auto" w:fill="FFFFFF"/>
          </w:tcPr>
          <w:p>
            <w:r>
              <w:t>6</w:t>
            </w:r>
          </w:p>
        </w:tc>
        <w:tc>
          <w:tcPr>
            <w:tcW w:type="dxa" w:w="1881"/>
            <w:shd w:val="clear" w:color="auto" w:fill="FFFFFF"/>
          </w:tcPr>
          <w:p>
            <w:r>
              <w:t>Service catalog at launch: exact list of service types and number of visit-form templates required</w:t>
            </w:r>
          </w:p>
        </w:tc>
        <w:tc>
          <w:tcPr>
            <w:tcW w:type="dxa" w:w="1881"/>
            <w:shd w:val="clear" w:color="auto" w:fill="FFFFFF"/>
          </w:tcPr>
          <w:p>
            <w:r>
              <w:t>Client</w:t>
            </w:r>
          </w:p>
        </w:tc>
        <w:tc>
          <w:tcPr>
            <w:tcW w:type="dxa" w:w="1881"/>
            <w:shd w:val="clear" w:color="auto" w:fill="FFFFFF"/>
          </w:tcPr>
          <w:p>
            <w:r>
              <w:t>Phase 0 Week 2</w:t>
            </w:r>
          </w:p>
        </w:tc>
        <w:tc>
          <w:tcPr>
            <w:tcW w:type="dxa" w:w="1881"/>
            <w:shd w:val="clear" w:color="auto" w:fill="FFFFFF"/>
          </w:tcPr>
          <w:p>
            <w:r>
              <w:t>CMS structure and form builder templates cannot be finalized. Affects Phase 1 delivery.</w:t>
            </w:r>
          </w:p>
        </w:tc>
      </w:tr>
      <w:tr>
        <w:tc>
          <w:tcPr>
            <w:tcW w:type="dxa" w:w="1881"/>
            <w:shd w:val="clear" w:color="auto" w:fill="F2F5FA"/>
          </w:tcPr>
          <w:p>
            <w:r>
              <w:t>7</w:t>
            </w:r>
          </w:p>
        </w:tc>
        <w:tc>
          <w:tcPr>
            <w:tcW w:type="dxa" w:w="1881"/>
            <w:shd w:val="clear" w:color="auto" w:fill="F2F5FA"/>
          </w:tcPr>
          <w:p>
            <w:r>
              <w:t>Clinical protocol definitions and content population for forms, CMS pages, and packages (or confirmation that vendor populates)</w:t>
            </w:r>
          </w:p>
        </w:tc>
        <w:tc>
          <w:tcPr>
            <w:tcW w:type="dxa" w:w="1881"/>
            <w:shd w:val="clear" w:color="auto" w:fill="F2F5FA"/>
          </w:tcPr>
          <w:p>
            <w:r>
              <w:t>Client</w:t>
            </w:r>
          </w:p>
        </w:tc>
        <w:tc>
          <w:tcPr>
            <w:tcW w:type="dxa" w:w="1881"/>
            <w:shd w:val="clear" w:color="auto" w:fill="F2F5FA"/>
          </w:tcPr>
          <w:p>
            <w:r>
              <w:t>Phase 0 Week 2</w:t>
            </w:r>
          </w:p>
        </w:tc>
        <w:tc>
          <w:tcPr>
            <w:tcW w:type="dxa" w:w="1881"/>
            <w:shd w:val="clear" w:color="auto" w:fill="F2F5FA"/>
          </w:tcPr>
          <w:p>
            <w:r>
              <w:t>Integration testing blocked if content is not available.</w:t>
            </w:r>
          </w:p>
        </w:tc>
      </w:tr>
      <w:tr>
        <w:tc>
          <w:tcPr>
            <w:tcW w:type="dxa" w:w="1881"/>
            <w:shd w:val="clear" w:color="auto" w:fill="FFFFFF"/>
          </w:tcPr>
          <w:p>
            <w:r>
              <w:t>8</w:t>
            </w:r>
          </w:p>
        </w:tc>
        <w:tc>
          <w:tcPr>
            <w:tcW w:type="dxa" w:w="1881"/>
            <w:shd w:val="clear" w:color="auto" w:fill="FFFFFF"/>
          </w:tcPr>
          <w:p>
            <w:r>
              <w:t>Exact payment and payout flows for private and reimbursed care at launch (private only? institutional invoicing?)</w:t>
            </w:r>
          </w:p>
        </w:tc>
        <w:tc>
          <w:tcPr>
            <w:tcW w:type="dxa" w:w="1881"/>
            <w:shd w:val="clear" w:color="auto" w:fill="FFFFFF"/>
          </w:tcPr>
          <w:p>
            <w:r>
              <w:t>Client</w:t>
            </w:r>
          </w:p>
        </w:tc>
        <w:tc>
          <w:tcPr>
            <w:tcW w:type="dxa" w:w="1881"/>
            <w:shd w:val="clear" w:color="auto" w:fill="FFFFFF"/>
          </w:tcPr>
          <w:p>
            <w:r>
              <w:t>Phase 0 Week 1</w:t>
            </w:r>
          </w:p>
        </w:tc>
        <w:tc>
          <w:tcPr>
            <w:tcW w:type="dxa" w:w="1881"/>
            <w:shd w:val="clear" w:color="auto" w:fill="FFFFFF"/>
          </w:tcPr>
          <w:p>
            <w:r>
              <w:t>Billing module scope depends on this. Wrong assumption = rework.</w:t>
            </w:r>
          </w:p>
        </w:tc>
      </w:tr>
      <w:tr>
        <w:tc>
          <w:tcPr>
            <w:tcW w:type="dxa" w:w="1881"/>
            <w:shd w:val="clear" w:color="auto" w:fill="F2F5FA"/>
          </w:tcPr>
          <w:p>
            <w:r>
              <w:t>9</w:t>
            </w:r>
          </w:p>
        </w:tc>
        <w:tc>
          <w:tcPr>
            <w:tcW w:type="dxa" w:w="1881"/>
            <w:shd w:val="clear" w:color="auto" w:fill="F2F5FA"/>
          </w:tcPr>
          <w:p>
            <w:r>
              <w:t>Post-launch SLA expectations: support hours, uptime target, bug-fix response times</w:t>
            </w:r>
          </w:p>
        </w:tc>
        <w:tc>
          <w:tcPr>
            <w:tcW w:type="dxa" w:w="1881"/>
            <w:shd w:val="clear" w:color="auto" w:fill="F2F5FA"/>
          </w:tcPr>
          <w:p>
            <w:r>
              <w:t>Client</w:t>
            </w:r>
          </w:p>
        </w:tc>
        <w:tc>
          <w:tcPr>
            <w:tcW w:type="dxa" w:w="1881"/>
            <w:shd w:val="clear" w:color="auto" w:fill="F2F5FA"/>
          </w:tcPr>
          <w:p>
            <w:r>
              <w:t>Phase 0 Week 1</w:t>
            </w:r>
          </w:p>
        </w:tc>
        <w:tc>
          <w:tcPr>
            <w:tcW w:type="dxa" w:w="1881"/>
            <w:shd w:val="clear" w:color="auto" w:fill="F2F5FA"/>
          </w:tcPr>
          <w:p>
            <w:r>
              <w:t>Infrastructure and on-call setup depends on this. Affects Phase 3 hardening scope.</w:t>
            </w:r>
          </w:p>
        </w:tc>
      </w:tr>
      <w:tr>
        <w:tc>
          <w:tcPr>
            <w:tcW w:type="dxa" w:w="1881"/>
            <w:shd w:val="clear" w:color="auto" w:fill="FFFFFF"/>
          </w:tcPr>
          <w:p>
            <w:r>
              <w:t>10</w:t>
            </w:r>
          </w:p>
        </w:tc>
        <w:tc>
          <w:tcPr>
            <w:tcW w:type="dxa" w:w="1881"/>
            <w:shd w:val="clear" w:color="auto" w:fill="FFFFFF"/>
          </w:tcPr>
          <w:p>
            <w:r>
              <w:t>Legal readiness for healthcare integrations: GDPR legal counsel, data processing agreements, consent framework sign-off</w:t>
            </w:r>
          </w:p>
        </w:tc>
        <w:tc>
          <w:tcPr>
            <w:tcW w:type="dxa" w:w="1881"/>
            <w:shd w:val="clear" w:color="auto" w:fill="FFFFFF"/>
          </w:tcPr>
          <w:p>
            <w:r>
              <w:t>Client</w:t>
            </w:r>
          </w:p>
        </w:tc>
        <w:tc>
          <w:tcPr>
            <w:tcW w:type="dxa" w:w="1881"/>
            <w:shd w:val="clear" w:color="auto" w:fill="FFFFFF"/>
          </w:tcPr>
          <w:p>
            <w:r>
              <w:t>Phase 0 Week 1</w:t>
            </w:r>
          </w:p>
        </w:tc>
        <w:tc>
          <w:tcPr>
            <w:tcW w:type="dxa" w:w="1881"/>
            <w:shd w:val="clear" w:color="auto" w:fill="FFFFFF"/>
          </w:tcPr>
          <w:p>
            <w:r>
              <w:t>Architecture may need rework if GDPR requirements are more stringent than assumed.</w:t>
            </w:r>
          </w:p>
        </w:tc>
      </w:tr>
    </w:tbl>
    <w:p>
      <w:pPr>
        <w:spacing w:after="200" w:before="0"/>
      </w:pPr>
    </w:p>
    <w:p>
      <w:pPr>
        <w:pStyle w:val="Heading2"/>
      </w:pPr>
      <w:r>
        <w:t>B.2 Technical Risk Factors — Known Complexity Areas</w:t>
      </w:r>
    </w:p>
    <w:p>
      <w:pPr>
        <w:spacing w:after="120"/>
        <w:jc w:val="left"/>
      </w:pPr>
      <w:r>
        <w:rPr>
          <w:b w:val="0"/>
          <w:i w:val="0"/>
        </w:rPr>
        <w:t>The following items represent technically complex or high-risk areas of the platform. We flag them here so there are no surprises during development. Each is solvable — but at a cost.</w:t>
      </w:r>
    </w:p>
    <w:p>
      <w:pPr>
        <w:spacing w:after="80" w:before="0"/>
      </w:pP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F497D"/>
          </w:tcPr>
          <w:p>
            <w:pPr>
              <w:jc w:val="center"/>
            </w:pPr>
            <w:r>
              <w:rPr>
                <w:b/>
                <w:color w:val="FFFFFF"/>
              </w:rPr>
              <w:t>Risk Area</w:t>
            </w:r>
          </w:p>
        </w:tc>
        <w:tc>
          <w:tcPr>
            <w:tcW w:type="dxa" w:w="1881"/>
            <w:shd w:val="clear" w:color="auto" w:fill="1F497D"/>
          </w:tcPr>
          <w:p>
            <w:pPr>
              <w:jc w:val="center"/>
            </w:pPr>
            <w:r>
              <w:rPr>
                <w:b/>
                <w:color w:val="FFFFFF"/>
              </w:rPr>
              <w:t>Description</w:t>
            </w:r>
          </w:p>
        </w:tc>
        <w:tc>
          <w:tcPr>
            <w:tcW w:type="dxa" w:w="1881"/>
            <w:shd w:val="clear" w:color="auto" w:fill="1F497D"/>
          </w:tcPr>
          <w:p>
            <w:pPr>
              <w:jc w:val="center"/>
            </w:pPr>
            <w:r>
              <w:rPr>
                <w:b/>
                <w:color w:val="FFFFFF"/>
              </w:rPr>
              <w:t>Likelihood</w:t>
            </w:r>
          </w:p>
        </w:tc>
        <w:tc>
          <w:tcPr>
            <w:tcW w:type="dxa" w:w="1881"/>
            <w:shd w:val="clear" w:color="auto" w:fill="1F497D"/>
          </w:tcPr>
          <w:p>
            <w:pPr>
              <w:jc w:val="center"/>
            </w:pPr>
            <w:r>
              <w:rPr>
                <w:b/>
                <w:color w:val="FFFFFF"/>
              </w:rPr>
              <w:t>Impact</w:t>
            </w:r>
          </w:p>
        </w:tc>
        <w:tc>
          <w:tcPr>
            <w:tcW w:type="dxa" w:w="1881"/>
            <w:shd w:val="clear" w:color="auto" w:fill="1F497D"/>
          </w:tcPr>
          <w:p>
            <w:pPr>
              <w:jc w:val="center"/>
            </w:pPr>
            <w:r>
              <w:rPr>
                <w:b/>
                <w:color w:val="FFFFFF"/>
              </w:rPr>
              <w:t>Mitigation</w:t>
            </w:r>
          </w:p>
        </w:tc>
      </w:tr>
      <w:tr>
        <w:tc>
          <w:tcPr>
            <w:tcW w:type="dxa" w:w="1881"/>
            <w:shd w:val="clear" w:color="auto" w:fill="F2F5FA"/>
          </w:tcPr>
          <w:p>
            <w:r>
              <w:t>Slot Locking Race Conditions</w:t>
            </w:r>
          </w:p>
        </w:tc>
        <w:tc>
          <w:tcPr>
            <w:tcW w:type="dxa" w:w="1881"/>
            <w:shd w:val="clear" w:color="auto" w:fill="F2F5FA"/>
          </w:tcPr>
          <w:p>
            <w:r>
              <w:t>Redis distributed locking for concurrent booking requests. Double-booking risk if locks fail or TTL is misconfigured. Requires idempotency keys on booking creation.</w:t>
            </w:r>
          </w:p>
        </w:tc>
        <w:tc>
          <w:tcPr>
            <w:tcW w:type="dxa" w:w="1881"/>
            <w:shd w:val="clear" w:color="auto" w:fill="F2F5FA"/>
          </w:tcPr>
          <w:p>
            <w:r>
              <w:t>Medium</w:t>
            </w:r>
          </w:p>
        </w:tc>
        <w:tc>
          <w:tcPr>
            <w:tcW w:type="dxa" w:w="1881"/>
            <w:shd w:val="clear" w:color="auto" w:fill="F2F5FA"/>
          </w:tcPr>
          <w:p>
            <w:r>
              <w:t>High</w:t>
            </w:r>
          </w:p>
        </w:tc>
        <w:tc>
          <w:tcPr>
            <w:tcW w:type="dxa" w:w="1881"/>
            <w:shd w:val="clear" w:color="auto" w:fill="F2F5FA"/>
          </w:tcPr>
          <w:p>
            <w:r>
              <w:t>Implement idempotency at API layer. Load test concurrent booking scenarios in Phase 3 (not deferred to end).</w:t>
            </w:r>
          </w:p>
        </w:tc>
      </w:tr>
      <w:tr>
        <w:tc>
          <w:tcPr>
            <w:tcW w:type="dxa" w:w="1881"/>
            <w:shd w:val="clear" w:color="auto" w:fill="FFFFFF"/>
          </w:tcPr>
          <w:p>
            <w:r>
              <w:t>PDF Report Generation</w:t>
            </w:r>
          </w:p>
        </w:tc>
        <w:tc>
          <w:tcPr>
            <w:tcW w:type="dxa" w:w="1881"/>
            <w:shd w:val="clear" w:color="auto" w:fill="FFFFFF"/>
          </w:tcPr>
          <w:p>
            <w:r>
              <w:t>Async PDF generation after visit completion (PDFBox/iText). Risk of timeouts on large clinical documents. PDFs must be cached in S3 with lifecycle policies. E-signature embedded adds rendering complexity.</w:t>
            </w:r>
          </w:p>
        </w:tc>
        <w:tc>
          <w:tcPr>
            <w:tcW w:type="dxa" w:w="1881"/>
            <w:shd w:val="clear" w:color="auto" w:fill="FFFFFF"/>
          </w:tcPr>
          <w:p>
            <w:r>
              <w:t>Medium</w:t>
            </w:r>
          </w:p>
        </w:tc>
        <w:tc>
          <w:tcPr>
            <w:tcW w:type="dxa" w:w="1881"/>
            <w:shd w:val="clear" w:color="auto" w:fill="FFFFFF"/>
          </w:tcPr>
          <w:p>
            <w:r>
              <w:t>Medium</w:t>
            </w:r>
          </w:p>
        </w:tc>
        <w:tc>
          <w:tcPr>
            <w:tcW w:type="dxa" w:w="1881"/>
            <w:shd w:val="clear" w:color="auto" w:fill="FFFFFF"/>
          </w:tcPr>
          <w:p>
            <w:r>
              <w:t>Queue-based generation (Spring @Async + Redis). Generate PDF as a background job with status polling. Set max document size limits.</w:t>
            </w:r>
          </w:p>
        </w:tc>
      </w:tr>
      <w:tr>
        <w:tc>
          <w:tcPr>
            <w:tcW w:type="dxa" w:w="1881"/>
            <w:shd w:val="clear" w:color="auto" w:fill="F2F5FA"/>
          </w:tcPr>
          <w:p>
            <w:r>
              <w:t>GPS Live Visit Tracking</w:t>
            </w:r>
          </w:p>
        </w:tc>
        <w:tc>
          <w:tcPr>
            <w:tcW w:type="dxa" w:w="1881"/>
            <w:shd w:val="clear" w:color="auto" w:fill="F2F5FA"/>
          </w:tcPr>
          <w:p>
            <w:r>
              <w:t>Continuous background location on iOS requires special entitlement (location updates in Info.plist). Apple may reject if justification is insufficient. Android is simpler. Opt-in only.</w:t>
            </w:r>
          </w:p>
        </w:tc>
        <w:tc>
          <w:tcPr>
            <w:tcW w:type="dxa" w:w="1881"/>
            <w:shd w:val="clear" w:color="auto" w:fill="F2F5FA"/>
          </w:tcPr>
          <w:p>
            <w:r>
              <w:t>Medium</w:t>
            </w:r>
          </w:p>
        </w:tc>
        <w:tc>
          <w:tcPr>
            <w:tcW w:type="dxa" w:w="1881"/>
            <w:shd w:val="clear" w:color="auto" w:fill="F2F5FA"/>
          </w:tcPr>
          <w:p>
            <w:r>
              <w:t>Medium</w:t>
            </w:r>
          </w:p>
        </w:tc>
        <w:tc>
          <w:tcPr>
            <w:tcW w:type="dxa" w:w="1881"/>
            <w:shd w:val="clear" w:color="auto" w:fill="F2F5FA"/>
          </w:tcPr>
          <w:p>
            <w:r>
              <w:t>Clearly justify background location in app store listing. Use foreground-service on Android. Lat/Long shared via backend-polled endpoint, not continuous push.</w:t>
            </w:r>
          </w:p>
        </w:tc>
      </w:tr>
      <w:tr>
        <w:tc>
          <w:tcPr>
            <w:tcW w:type="dxa" w:w="1881"/>
            <w:shd w:val="clear" w:color="auto" w:fill="FFFFFF"/>
          </w:tcPr>
          <w:p>
            <w:r>
              <w:t>E-Signature Legal Validity</w:t>
            </w:r>
          </w:p>
        </w:tc>
        <w:tc>
          <w:tcPr>
            <w:tcW w:type="dxa" w:w="1881"/>
            <w:shd w:val="clear" w:color="auto" w:fill="FFFFFF"/>
          </w:tcPr>
          <w:p>
            <w:r>
              <w:t>Patient e-signature on tablet/mobile must be legally valid under eIDAS regulation. Simple canvas signature may not meet qualified electronic signature requirements for clinical documents.</w:t>
            </w:r>
          </w:p>
        </w:tc>
        <w:tc>
          <w:tcPr>
            <w:tcW w:type="dxa" w:w="1881"/>
            <w:shd w:val="clear" w:color="auto" w:fill="FFFFFF"/>
          </w:tcPr>
          <w:p>
            <w:r>
              <w:t>Low</w:t>
            </w:r>
          </w:p>
        </w:tc>
        <w:tc>
          <w:tcPr>
            <w:tcW w:type="dxa" w:w="1881"/>
            <w:shd w:val="clear" w:color="auto" w:fill="FFFFFF"/>
          </w:tcPr>
          <w:p>
            <w:r>
              <w:t>High</w:t>
            </w:r>
          </w:p>
        </w:tc>
        <w:tc>
          <w:tcPr>
            <w:tcW w:type="dxa" w:w="1881"/>
            <w:shd w:val="clear" w:color="auto" w:fill="FFFFFF"/>
          </w:tcPr>
          <w:p>
            <w:r>
              <w:t>Clarify required signature class with client. If qualified signature needed, use third-party service (e.g., HelloSign, DocuSign) — adds cost. If simple consent signature, canvas is sufficient.</w:t>
            </w:r>
          </w:p>
        </w:tc>
      </w:tr>
      <w:tr>
        <w:tc>
          <w:tcPr>
            <w:tcW w:type="dxa" w:w="1881"/>
            <w:shd w:val="clear" w:color="auto" w:fill="F2F5FA"/>
          </w:tcPr>
          <w:p>
            <w:r>
              <w:t>Multi-Channel Notification Reliability</w:t>
            </w:r>
          </w:p>
        </w:tc>
        <w:tc>
          <w:tcPr>
            <w:tcW w:type="dxa" w:w="1881"/>
            <w:shd w:val="clear" w:color="auto" w:fill="F2F5FA"/>
          </w:tcPr>
          <w:p>
            <w:r>
              <w:t>Push (FCM/APNs), SMS, and email must all deliver reliably. Provider/patient notifications are safety-relevant (escalations, reminders). Failover when provider is down is non-trivial.</w:t>
            </w:r>
          </w:p>
        </w:tc>
        <w:tc>
          <w:tcPr>
            <w:tcW w:type="dxa" w:w="1881"/>
            <w:shd w:val="clear" w:color="auto" w:fill="F2F5FA"/>
          </w:tcPr>
          <w:p>
            <w:r>
              <w:t>Low</w:t>
            </w:r>
          </w:p>
        </w:tc>
        <w:tc>
          <w:tcPr>
            <w:tcW w:type="dxa" w:w="1881"/>
            <w:shd w:val="clear" w:color="auto" w:fill="F2F5FA"/>
          </w:tcPr>
          <w:p>
            <w:r>
              <w:t>High</w:t>
            </w:r>
          </w:p>
        </w:tc>
        <w:tc>
          <w:tcPr>
            <w:tcW w:type="dxa" w:w="1881"/>
            <w:shd w:val="clear" w:color="auto" w:fill="F2F5FA"/>
          </w:tcPr>
          <w:p>
            <w:r>
              <w:t>Use notification status tracking (delivered/failed). Implement retry with exponential backoff. Admin dashboard shows notification delivery logs. SMS as failover for critical alerts.</w:t>
            </w:r>
          </w:p>
        </w:tc>
      </w:tr>
      <w:tr>
        <w:tc>
          <w:tcPr>
            <w:tcW w:type="dxa" w:w="1881"/>
            <w:shd w:val="clear" w:color="auto" w:fill="FFFFFF"/>
          </w:tcPr>
          <w:p>
            <w:r>
              <w:t>OCR Accuracy &amp; Review Workflow</w:t>
            </w:r>
          </w:p>
        </w:tc>
        <w:tc>
          <w:tcPr>
            <w:tcW w:type="dxa" w:w="1881"/>
            <w:shd w:val="clear" w:color="auto" w:fill="FFFFFF"/>
          </w:tcPr>
          <w:p>
            <w:r>
              <w:t>Medical document OCR (discharge reports, lab results, X-rays) and provider license OCR. Accuracy is never 100%. Manual review workflow required. Document type classification adds ML complexity.</w:t>
            </w:r>
          </w:p>
        </w:tc>
        <w:tc>
          <w:tcPr>
            <w:tcW w:type="dxa" w:w="1881"/>
            <w:shd w:val="clear" w:color="auto" w:fill="FFFFFF"/>
          </w:tcPr>
          <w:p>
            <w:r>
              <w:t>High</w:t>
            </w:r>
          </w:p>
        </w:tc>
        <w:tc>
          <w:tcPr>
            <w:tcW w:type="dxa" w:w="1881"/>
            <w:shd w:val="clear" w:color="auto" w:fill="FFFFFF"/>
          </w:tcPr>
          <w:p>
            <w:r>
              <w:t>Medium</w:t>
            </w:r>
          </w:p>
        </w:tc>
        <w:tc>
          <w:tcPr>
            <w:tcW w:type="dxa" w:w="1881"/>
            <w:shd w:val="clear" w:color="auto" w:fill="FFFFFF"/>
          </w:tcPr>
          <w:p>
            <w:r>
              <w:t>Build manual review queue into Phase 1 scope. OCR accuracy target: 85-90% for structured fields. Flag low-confidence fields for human review.</w:t>
            </w:r>
          </w:p>
        </w:tc>
      </w:tr>
      <w:tr>
        <w:tc>
          <w:tcPr>
            <w:tcW w:type="dxa" w:w="1881"/>
            <w:shd w:val="clear" w:color="auto" w:fill="F2F5FA"/>
          </w:tcPr>
          <w:p>
            <w:r>
              <w:t>GDPR Data Export Assemblage</w:t>
            </w:r>
          </w:p>
        </w:tc>
        <w:tc>
          <w:tcPr>
            <w:tcW w:type="dxa" w:w="1881"/>
            <w:shd w:val="clear" w:color="auto" w:fill="F2F5FA"/>
          </w:tcPr>
          <w:p>
            <w:r>
              <w:t>ZIP generation assembling all patient data: JSON, visit PDFs, history PDF. Must handle large patients (many visits). Async job with 24h expiry download link.</w:t>
            </w:r>
          </w:p>
        </w:tc>
        <w:tc>
          <w:tcPr>
            <w:tcW w:type="dxa" w:w="1881"/>
            <w:shd w:val="clear" w:color="auto" w:fill="F2F5FA"/>
          </w:tcPr>
          <w:p>
            <w:r>
              <w:t>Medium</w:t>
            </w:r>
          </w:p>
        </w:tc>
        <w:tc>
          <w:tcPr>
            <w:tcW w:type="dxa" w:w="1881"/>
            <w:shd w:val="clear" w:color="auto" w:fill="F2F5FA"/>
          </w:tcPr>
          <w:p>
            <w:r>
              <w:t>Low</w:t>
            </w:r>
          </w:p>
        </w:tc>
        <w:tc>
          <w:tcPr>
            <w:tcW w:type="dxa" w:w="1881"/>
            <w:shd w:val="clear" w:color="auto" w:fill="F2F5FA"/>
          </w:tcPr>
          <w:p>
            <w:r>
              <w:t>Implement as async job with status polling. Estimate max export size (e.g., cap at 500MB). Streaming ZIP generation to avoid memory pressure.</w:t>
            </w:r>
          </w:p>
        </w:tc>
      </w:tr>
      <w:tr>
        <w:tc>
          <w:tcPr>
            <w:tcW w:type="dxa" w:w="1881"/>
            <w:shd w:val="clear" w:color="auto" w:fill="FFFFFF"/>
          </w:tcPr>
          <w:p>
            <w:r>
              <w:t>Calendar Sync Complexity</w:t>
            </w:r>
          </w:p>
        </w:tc>
        <w:tc>
          <w:tcPr>
            <w:tcW w:type="dxa" w:w="1881"/>
            <w:shd w:val="clear" w:color="auto" w:fill="FFFFFF"/>
          </w:tcPr>
          <w:p>
            <w:r>
              <w:t>Google/Apple/CalDAV sync — two-way sync vs. read-only are vastly different efforts. CalDAV has high variability across providers. Bidirectional sync deferred to Phase 2.</w:t>
            </w:r>
          </w:p>
        </w:tc>
        <w:tc>
          <w:tcPr>
            <w:tcW w:type="dxa" w:w="1881"/>
            <w:shd w:val="clear" w:color="auto" w:fill="FFFFFF"/>
          </w:tcPr>
          <w:p>
            <w:r>
              <w:t>High</w:t>
            </w:r>
          </w:p>
        </w:tc>
        <w:tc>
          <w:tcPr>
            <w:tcW w:type="dxa" w:w="1881"/>
            <w:shd w:val="clear" w:color="auto" w:fill="FFFFFF"/>
          </w:tcPr>
          <w:p>
            <w:r>
              <w:t>Medium</w:t>
            </w:r>
          </w:p>
        </w:tc>
        <w:tc>
          <w:tcPr>
            <w:tcW w:type="dxa" w:w="1881"/>
            <w:shd w:val="clear" w:color="auto" w:fill="FFFFFF"/>
          </w:tcPr>
          <w:p>
            <w:r>
              <w:t>MVP: read-only Google/Apple calendar display. Phase 2: optional bidirectional sync with clear scope definition per calendar provider.</w:t>
            </w:r>
          </w:p>
        </w:tc>
      </w:tr>
      <w:tr>
        <w:tc>
          <w:tcPr>
            <w:tcW w:type="dxa" w:w="1881"/>
            <w:shd w:val="clear" w:color="auto" w:fill="F2F5FA"/>
          </w:tcPr>
          <w:p>
            <w:r>
              <w:t>Hospital EHR Integration</w:t>
            </w:r>
          </w:p>
        </w:tc>
        <w:tc>
          <w:tcPr>
            <w:tcW w:type="dxa" w:w="1881"/>
            <w:shd w:val="clear" w:color="auto" w:fill="F2F5FA"/>
          </w:tcPr>
          <w:p>
            <w:r>
              <w:t>Bidirectional data exchange with hospital systems. Better/openEHR integration flagged as "one of the largest integration risks" in source brief. External system availability is outside our control.</w:t>
            </w:r>
          </w:p>
        </w:tc>
        <w:tc>
          <w:tcPr>
            <w:tcW w:type="dxa" w:w="1881"/>
            <w:shd w:val="clear" w:color="auto" w:fill="F2F5FA"/>
          </w:tcPr>
          <w:p>
            <w:r>
              <w:t>Medium</w:t>
            </w:r>
          </w:p>
        </w:tc>
        <w:tc>
          <w:tcPr>
            <w:tcW w:type="dxa" w:w="1881"/>
            <w:shd w:val="clear" w:color="auto" w:fill="F2F5FA"/>
          </w:tcPr>
          <w:p>
            <w:r>
              <w:t>High</w:t>
            </w:r>
          </w:p>
        </w:tc>
        <w:tc>
          <w:tcPr>
            <w:tcW w:type="dxa" w:w="1881"/>
            <w:shd w:val="clear" w:color="auto" w:fill="F2F5FA"/>
          </w:tcPr>
          <w:p>
            <w:r>
              <w:t>Phase 3 as separate work package with milestone-based pricing. Manual PDF fallback for MVP. Clear dependency on hospital API availability.</w:t>
            </w:r>
          </w:p>
        </w:tc>
      </w:tr>
      <w:tr>
        <w:tc>
          <w:tcPr>
            <w:tcW w:type="dxa" w:w="1881"/>
            <w:shd w:val="clear" w:color="auto" w:fill="FFFFFF"/>
          </w:tcPr>
          <w:p>
            <w:r>
              <w:t>Infrastructure Knowledge Bottleneck</w:t>
            </w:r>
          </w:p>
        </w:tc>
        <w:tc>
          <w:tcPr>
            <w:tcW w:type="dxa" w:w="1881"/>
            <w:shd w:val="clear" w:color="auto" w:fill="FFFFFF"/>
          </w:tcPr>
          <w:p>
            <w:r>
              <w:t>Backend doc explicitly notes: only one person knows the full infrastructure. All infrastructure as code (Terraform/Pulumi) with runbooks — but execution requires discipline.</w:t>
            </w:r>
          </w:p>
        </w:tc>
        <w:tc>
          <w:tcPr>
            <w:tcW w:type="dxa" w:w="1881"/>
            <w:shd w:val="clear" w:color="auto" w:fill="FFFFFF"/>
          </w:tcPr>
          <w:p>
            <w:r>
              <w:t>Medium</w:t>
            </w:r>
          </w:p>
        </w:tc>
        <w:tc>
          <w:tcPr>
            <w:tcW w:type="dxa" w:w="1881"/>
            <w:shd w:val="clear" w:color="auto" w:fill="FFFFFF"/>
          </w:tcPr>
          <w:p>
            <w:r>
              <w:t>High</w:t>
            </w:r>
          </w:p>
        </w:tc>
        <w:tc>
          <w:tcPr>
            <w:tcW w:type="dxa" w:w="1881"/>
            <w:shd w:val="clear" w:color="auto" w:fill="FFFFFF"/>
          </w:tcPr>
          <w:p>
            <w:r>
              <w:t>Rotate DevOps tasks across team members during Phase 1. Document every infrastructure decision. Ensure at least two people can deploy to production.</w:t>
            </w:r>
          </w:p>
        </w:tc>
      </w:tr>
      <w:tr>
        <w:tc>
          <w:tcPr>
            <w:tcW w:type="dxa" w:w="1881"/>
            <w:shd w:val="clear" w:color="auto" w:fill="F2F5FA"/>
          </w:tcPr>
          <w:p>
            <w:r>
              <w:t>Stripe Webhook Idempotency</w:t>
            </w:r>
          </w:p>
        </w:tc>
        <w:tc>
          <w:tcPr>
            <w:tcW w:type="dxa" w:w="1881"/>
            <w:shd w:val="clear" w:color="auto" w:fill="F2F5FA"/>
          </w:tcPr>
          <w:p>
            <w:r>
              <w:t>Stripe may deliver webhooks multiple times. Refund, payment, and subscription webhooks must be handled idempotently. Split payments and partial refunds add complexity.</w:t>
            </w:r>
          </w:p>
        </w:tc>
        <w:tc>
          <w:tcPr>
            <w:tcW w:type="dxa" w:w="1881"/>
            <w:shd w:val="clear" w:color="auto" w:fill="F2F5FA"/>
          </w:tcPr>
          <w:p>
            <w:r>
              <w:t>Low</w:t>
            </w:r>
          </w:p>
        </w:tc>
        <w:tc>
          <w:tcPr>
            <w:tcW w:type="dxa" w:w="1881"/>
            <w:shd w:val="clear" w:color="auto" w:fill="F2F5FA"/>
          </w:tcPr>
          <w:p>
            <w:r>
              <w:t>High</w:t>
            </w:r>
          </w:p>
        </w:tc>
        <w:tc>
          <w:tcPr>
            <w:tcW w:type="dxa" w:w="1881"/>
            <w:shd w:val="clear" w:color="auto" w:fill="F2F5FA"/>
          </w:tcPr>
          <w:p>
            <w:r>
              <w:t>Use Stripe webhook idempotency key. Store webhook events in DB with processed flag. Implement Stripe event replay handling carefully.</w:t>
            </w:r>
          </w:p>
        </w:tc>
      </w:tr>
      <w:tr>
        <w:tc>
          <w:tcPr>
            <w:tcW w:type="dxa" w:w="1881"/>
            <w:shd w:val="clear" w:color="auto" w:fill="FFFFFF"/>
          </w:tcPr>
          <w:p>
            <w:r>
              <w:t>PostgreSQL JSONB for Clinical Forms</w:t>
            </w:r>
          </w:p>
        </w:tc>
        <w:tc>
          <w:tcPr>
            <w:tcW w:type="dxa" w:w="1881"/>
            <w:shd w:val="clear" w:color="auto" w:fill="FFFFFF"/>
          </w:tcPr>
          <w:p>
            <w:r>
              <w:t>Dynamic visit forms stored as JSONB in PostgreSQL. Querying structured JSON efficiently requires GIN indexes. Form validation must be enforced at API layer — not just client-side.</w:t>
            </w:r>
          </w:p>
        </w:tc>
        <w:tc>
          <w:tcPr>
            <w:tcW w:type="dxa" w:w="1881"/>
            <w:shd w:val="clear" w:color="auto" w:fill="FFFFFF"/>
          </w:tcPr>
          <w:p>
            <w:r>
              <w:t>Low</w:t>
            </w:r>
          </w:p>
        </w:tc>
        <w:tc>
          <w:tcPr>
            <w:tcW w:type="dxa" w:w="1881"/>
            <w:shd w:val="clear" w:color="auto" w:fill="FFFFFF"/>
          </w:tcPr>
          <w:p>
            <w:r>
              <w:t>Medium</w:t>
            </w:r>
          </w:p>
        </w:tc>
        <w:tc>
          <w:tcPr>
            <w:tcW w:type="dxa" w:w="1881"/>
            <w:shd w:val="clear" w:color="auto" w:fill="FFFFFF"/>
          </w:tcPr>
          <w:p>
            <w:r>
              <w:t>Define JSON schema per form type. Use PostgreSQL JSONB operators with proper indexes. Validate form payloads with JSON Schema library in Java.</w:t>
            </w:r>
          </w:p>
        </w:tc>
      </w:tr>
      <w:tr>
        <w:tc>
          <w:tcPr>
            <w:tcW w:type="dxa" w:w="1881"/>
            <w:shd w:val="clear" w:color="auto" w:fill="F2F5FA"/>
          </w:tcPr>
          <w:p>
            <w:r>
              <w:t>EU Health Data Retention (10 years)</w:t>
            </w:r>
          </w:p>
        </w:tc>
        <w:tc>
          <w:tcPr>
            <w:tcW w:type="dxa" w:w="1881"/>
            <w:shd w:val="clear" w:color="auto" w:fill="F2F5FA"/>
          </w:tcPr>
          <w:p>
            <w:r>
              <w:t>Health documents must be retained for 10 years under Slovenian/EU law. Soft-delete with anonymization (not hard-delete) required. Backup/restore procedures must respect retention across restore scenarios.</w:t>
            </w:r>
          </w:p>
        </w:tc>
        <w:tc>
          <w:tcPr>
            <w:tcW w:type="dxa" w:w="1881"/>
            <w:shd w:val="clear" w:color="auto" w:fill="F2F5FA"/>
          </w:tcPr>
          <w:p>
            <w:r>
              <w:t>Low</w:t>
            </w:r>
          </w:p>
        </w:tc>
        <w:tc>
          <w:tcPr>
            <w:tcW w:type="dxa" w:w="1881"/>
            <w:shd w:val="clear" w:color="auto" w:fill="F2F5FA"/>
          </w:tcPr>
          <w:p>
            <w:r>
              <w:t>High</w:t>
            </w:r>
          </w:p>
        </w:tc>
        <w:tc>
          <w:tcPr>
            <w:tcW w:type="dxa" w:w="1881"/>
            <w:shd w:val="clear" w:color="auto" w:fill="F2F5FA"/>
          </w:tcPr>
          <w:p>
            <w:r>
              <w:t>Retention policy enforced at database level with scheduled jobs. Hard delete never applied to health records. Anonymization script reviewed by legal counsel.</w:t>
            </w:r>
          </w:p>
        </w:tc>
      </w:tr>
      <w:tr>
        <w:tc>
          <w:tcPr>
            <w:tcW w:type="dxa" w:w="1881"/>
            <w:shd w:val="clear" w:color="auto" w:fill="FFFFFF"/>
          </w:tcPr>
          <w:p>
            <w:r>
              <w:t>React Native Offline Queue</w:t>
            </w:r>
          </w:p>
        </w:tc>
        <w:tc>
          <w:tcPr>
            <w:tcW w:type="dxa" w:w="1881"/>
            <w:shd w:val="clear" w:color="auto" w:fill="FFFFFF"/>
          </w:tcPr>
          <w:p>
            <w:r>
              <w:t>Provider app must work offline with auto-save of visit forms locally every 30 seconds. Queue must sync reliably on reconnect. Conflict resolution is non-trivial.</w:t>
            </w:r>
          </w:p>
        </w:tc>
        <w:tc>
          <w:tcPr>
            <w:tcW w:type="dxa" w:w="1881"/>
            <w:shd w:val="clear" w:color="auto" w:fill="FFFFFF"/>
          </w:tcPr>
          <w:p>
            <w:r>
              <w:t>Medium</w:t>
            </w:r>
          </w:p>
        </w:tc>
        <w:tc>
          <w:tcPr>
            <w:tcW w:type="dxa" w:w="1881"/>
            <w:shd w:val="clear" w:color="auto" w:fill="FFFFFF"/>
          </w:tcPr>
          <w:p>
            <w:r>
              <w:t>Medium</w:t>
            </w:r>
          </w:p>
        </w:tc>
        <w:tc>
          <w:tcPr>
            <w:tcW w:type="dxa" w:w="1881"/>
            <w:shd w:val="clear" w:color="auto" w:fill="FFFFFF"/>
          </w:tcPr>
          <w:p>
            <w:r>
              <w:t>Use local DB (SQLite) on device with sync queue. Disable critical actions (payment, booking) when offline. Clear UX for pending sync items.</w:t>
            </w:r>
          </w:p>
        </w:tc>
      </w:tr>
      <w:tr>
        <w:tc>
          <w:tcPr>
            <w:tcW w:type="dxa" w:w="1881"/>
            <w:shd w:val="clear" w:color="auto" w:fill="F2F5FA"/>
          </w:tcPr>
          <w:p>
            <w:r>
              <w:t>OpenAPI Contract Deadline</w:t>
            </w:r>
          </w:p>
        </w:tc>
        <w:tc>
          <w:tcPr>
            <w:tcW w:type="dxa" w:w="1881"/>
            <w:shd w:val="clear" w:color="auto" w:fill="F2F5FA"/>
          </w:tcPr>
          <w:p>
            <w:r>
              <w:t>Mobile and admin teams consume OpenAPI docs from Week 3. Any slip in API spec delivery delays the entire frontend workstream. Breaking changes after Week 8 are expensive.</w:t>
            </w:r>
          </w:p>
        </w:tc>
        <w:tc>
          <w:tcPr>
            <w:tcW w:type="dxa" w:w="1881"/>
            <w:shd w:val="clear" w:color="auto" w:fill="F2F5FA"/>
          </w:tcPr>
          <w:p>
            <w:r>
              <w:t>Medium</w:t>
            </w:r>
          </w:p>
        </w:tc>
        <w:tc>
          <w:tcPr>
            <w:tcW w:type="dxa" w:w="1881"/>
            <w:shd w:val="clear" w:color="auto" w:fill="F2F5FA"/>
          </w:tcPr>
          <w:p>
            <w:r>
              <w:t>High</w:t>
            </w:r>
          </w:p>
        </w:tc>
        <w:tc>
          <w:tcPr>
            <w:tcW w:type="dxa" w:w="1881"/>
            <w:shd w:val="clear" w:color="auto" w:fill="F2F5FA"/>
          </w:tcPr>
          <w:p>
            <w:r>
              <w:t>API contract signed off by all teams before development starts. Breaking changes require formal change request. Contract-first development (OpenAPI first, then code).</w:t>
            </w:r>
          </w:p>
        </w:tc>
      </w:tr>
    </w:tbl>
    <w:p>
      <w:pPr>
        <w:spacing w:after="160" w:before="0"/>
      </w:pPr>
    </w:p>
    <w:p>
      <w:pPr>
        <w:spacing w:after="120"/>
        <w:jc w:val="left"/>
      </w:pPr>
      <w:r>
        <w:rPr>
          <w:b w:val="0"/>
          <w:i/>
          <w:sz w:val="20"/>
        </w:rPr>
        <w:t>All of the above are technically solvable. Our recommendation is to treat the high-impact, medium-likelihood items as explicit line items in the discovery phase backlog so they can be properly estimated before Phase 1 begins.</w:t>
      </w:r>
    </w:p>
    <w:p>
      <w:r>
        <w:br w:type="page"/>
      </w:r>
    </w:p>
    <w:p>
      <w:pPr>
        <w:pStyle w:val="Heading1"/>
      </w:pPr>
      <w:r>
        <w:t>Appendix A — Pricing Summary</w:t>
      </w:r>
    </w:p>
    <w:p>
      <w:pPr>
        <w:spacing w:after="120"/>
        <w:jc w:val="left"/>
      </w:pPr>
      <w:r>
        <w:rPr>
          <w:b w:val="0"/>
          <w:i w:val="0"/>
        </w:rPr>
        <w:t>The table below provides a single-page summary of the commercial proposal. Detailed breakdown is in Section 5.</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rPr>
              <w:t>Phase / Workstream</w:t>
            </w:r>
          </w:p>
        </w:tc>
        <w:tc>
          <w:tcPr>
            <w:tcW w:type="dxa" w:w="3135"/>
            <w:shd w:val="clear" w:color="auto" w:fill="1F497D"/>
          </w:tcPr>
          <w:p>
            <w:pPr>
              <w:jc w:val="center"/>
            </w:pPr>
            <w:r>
              <w:rPr>
                <w:b/>
                <w:color w:val="FFFFFF"/>
              </w:rPr>
              <w:t>Effort</w:t>
            </w:r>
          </w:p>
        </w:tc>
        <w:tc>
          <w:tcPr>
            <w:tcW w:type="dxa" w:w="3135"/>
            <w:shd w:val="clear" w:color="auto" w:fill="1F497D"/>
          </w:tcPr>
          <w:p>
            <w:pPr>
              <w:jc w:val="center"/>
            </w:pPr>
            <w:r>
              <w:rPr>
                <w:b/>
                <w:color w:val="FFFFFF"/>
              </w:rPr>
              <w:t>Price (EUR)</w:t>
            </w:r>
          </w:p>
        </w:tc>
      </w:tr>
      <w:tr>
        <w:tc>
          <w:tcPr>
            <w:tcW w:type="dxa" w:w="3135"/>
            <w:shd w:val="clear" w:color="auto" w:fill="F2F5FA"/>
          </w:tcPr>
          <w:p>
            <w:r>
              <w:t>Phase 0: Discovery &amp; Solution Design</w:t>
            </w:r>
          </w:p>
        </w:tc>
        <w:tc>
          <w:tcPr>
            <w:tcW w:type="dxa" w:w="3135"/>
            <w:shd w:val="clear" w:color="auto" w:fill="F2F5FA"/>
          </w:tcPr>
          <w:p>
            <w:pPr>
              <w:jc w:val="center"/>
            </w:pPr>
            <w:r>
              <w:t>3 weeks</w:t>
            </w:r>
          </w:p>
        </w:tc>
        <w:tc>
          <w:tcPr>
            <w:tcW w:type="dxa" w:w="3135"/>
            <w:shd w:val="clear" w:color="auto" w:fill="F2F5FA"/>
          </w:tcPr>
          <w:p>
            <w:pPr>
              <w:jc w:val="center"/>
            </w:pPr>
            <w:r>
              <w:t>EUR 8,000</w:t>
            </w:r>
          </w:p>
        </w:tc>
      </w:tr>
      <w:tr>
        <w:tc>
          <w:tcPr>
            <w:tcW w:type="dxa" w:w="3135"/>
            <w:shd w:val="clear" w:color="auto" w:fill="FFFFFF"/>
          </w:tcPr>
          <w:p>
            <w:r>
              <w:t>Phase 1: MVP Build</w:t>
            </w:r>
          </w:p>
        </w:tc>
        <w:tc>
          <w:tcPr>
            <w:tcW w:type="dxa" w:w="3135"/>
            <w:shd w:val="clear" w:color="auto" w:fill="FFFFFF"/>
          </w:tcPr>
          <w:p>
            <w:pPr>
              <w:jc w:val="center"/>
            </w:pPr>
            <w:r>
              <w:t>20 weeks</w:t>
            </w:r>
          </w:p>
        </w:tc>
        <w:tc>
          <w:tcPr>
            <w:tcW w:type="dxa" w:w="3135"/>
            <w:shd w:val="clear" w:color="auto" w:fill="FFFFFF"/>
          </w:tcPr>
          <w:p>
            <w:pPr>
              <w:jc w:val="center"/>
            </w:pPr>
            <w:r>
              <w:t>EUR 80,000</w:t>
            </w:r>
          </w:p>
        </w:tc>
      </w:tr>
      <w:tr>
        <w:tc>
          <w:tcPr>
            <w:tcW w:type="dxa" w:w="3135"/>
            <w:shd w:val="clear" w:color="auto" w:fill="F2F5FA"/>
          </w:tcPr>
          <w:p>
            <w:r>
              <w:t>Phase 2: Operational Scale</w:t>
            </w:r>
          </w:p>
        </w:tc>
        <w:tc>
          <w:tcPr>
            <w:tcW w:type="dxa" w:w="3135"/>
            <w:shd w:val="clear" w:color="auto" w:fill="F2F5FA"/>
          </w:tcPr>
          <w:p>
            <w:pPr>
              <w:jc w:val="center"/>
            </w:pPr>
            <w:r>
              <w:t>12 weeks</w:t>
            </w:r>
          </w:p>
        </w:tc>
        <w:tc>
          <w:tcPr>
            <w:tcW w:type="dxa" w:w="3135"/>
            <w:shd w:val="clear" w:color="auto" w:fill="F2F5FA"/>
          </w:tcPr>
          <w:p>
            <w:pPr>
              <w:jc w:val="center"/>
            </w:pPr>
            <w:r>
              <w:t>EUR 48,000</w:t>
            </w:r>
          </w:p>
        </w:tc>
      </w:tr>
      <w:tr>
        <w:tc>
          <w:tcPr>
            <w:tcW w:type="dxa" w:w="3135"/>
            <w:shd w:val="clear" w:color="auto" w:fill="FFFFFF"/>
          </w:tcPr>
          <w:p>
            <w:r>
              <w:t>Phase 3: Hardening, Security &amp; Launch</w:t>
            </w:r>
          </w:p>
        </w:tc>
        <w:tc>
          <w:tcPr>
            <w:tcW w:type="dxa" w:w="3135"/>
            <w:shd w:val="clear" w:color="auto" w:fill="FFFFFF"/>
          </w:tcPr>
          <w:p>
            <w:pPr>
              <w:jc w:val="center"/>
            </w:pPr>
            <w:r>
              <w:t>4 weeks</w:t>
            </w:r>
          </w:p>
        </w:tc>
        <w:tc>
          <w:tcPr>
            <w:tcW w:type="dxa" w:w="3135"/>
            <w:shd w:val="clear" w:color="auto" w:fill="FFFFFF"/>
          </w:tcPr>
          <w:p>
            <w:pPr>
              <w:jc w:val="center"/>
            </w:pPr>
            <w:r>
              <w:t>EUR 24,000</w:t>
            </w:r>
          </w:p>
        </w:tc>
      </w:tr>
      <w:tr>
        <w:tc>
          <w:tcPr>
            <w:tcW w:type="dxa" w:w="3135"/>
            <w:shd w:val="clear" w:color="auto" w:fill="F2F5FA"/>
          </w:tcPr>
          <w:p>
            <w:r>
              <w:t>Phase 4: Full Healthcare Integration*</w:t>
            </w:r>
          </w:p>
        </w:tc>
        <w:tc>
          <w:tcPr>
            <w:tcW w:type="dxa" w:w="3135"/>
            <w:shd w:val="clear" w:color="auto" w:fill="F2F5FA"/>
          </w:tcPr>
          <w:p>
            <w:pPr>
              <w:jc w:val="center"/>
            </w:pPr>
            <w:r>
              <w:t>12 weeks</w:t>
            </w:r>
          </w:p>
        </w:tc>
        <w:tc>
          <w:tcPr>
            <w:tcW w:type="dxa" w:w="3135"/>
            <w:shd w:val="clear" w:color="auto" w:fill="F2F5FA"/>
          </w:tcPr>
          <w:p>
            <w:pPr>
              <w:jc w:val="center"/>
            </w:pPr>
            <w:r>
              <w:t>EUR 16,000 (add-on)</w:t>
            </w:r>
          </w:p>
        </w:tc>
      </w:tr>
      <w:tr>
        <w:tc>
          <w:tcPr>
            <w:tcW w:type="dxa" w:w="3135"/>
            <w:shd w:val="clear" w:color="auto" w:fill="FFFFFF"/>
          </w:tcPr>
          <w:p>
            <w:r>
              <w:t>UX/UI Design Package* (Optional Add-on)</w:t>
            </w:r>
          </w:p>
        </w:tc>
        <w:tc>
          <w:tcPr>
            <w:tcW w:type="dxa" w:w="3135"/>
            <w:shd w:val="clear" w:color="auto" w:fill="FFFFFF"/>
          </w:tcPr>
          <w:p>
            <w:pPr>
              <w:jc w:val="center"/>
            </w:pPr>
            <w:r>
              <w:t>6-8 weeks</w:t>
            </w:r>
          </w:p>
        </w:tc>
        <w:tc>
          <w:tcPr>
            <w:tcW w:type="dxa" w:w="3135"/>
            <w:shd w:val="clear" w:color="auto" w:fill="FFFFFF"/>
          </w:tcPr>
          <w:p>
            <w:pPr>
              <w:jc w:val="center"/>
            </w:pPr>
            <w:r>
              <w:t>EUR 12,000</w:t>
            </w:r>
          </w:p>
        </w:tc>
      </w:tr>
      <w:tr>
        <w:tc>
          <w:tcPr>
            <w:tcW w:type="dxa" w:w="3135"/>
            <w:shd w:val="clear" w:color="auto" w:fill="D9E2F3"/>
          </w:tcPr>
          <w:p>
            <w:r>
              <w:rPr>
                <w:b/>
              </w:rPr>
            </w:r>
          </w:p>
        </w:tc>
        <w:tc>
          <w:tcPr>
            <w:tcW w:type="dxa" w:w="3135"/>
            <w:shd w:val="clear" w:color="auto" w:fill="D9E2F3"/>
          </w:tcPr>
          <w:p>
            <w:pPr>
              <w:jc w:val="center"/>
            </w:pPr>
            <w:r>
              <w:rPr>
                <w:b/>
              </w:rPr>
              <w:t>Main Contract Total (Phases 0-3)</w:t>
            </w:r>
          </w:p>
        </w:tc>
        <w:tc>
          <w:tcPr>
            <w:tcW w:type="dxa" w:w="3135"/>
            <w:shd w:val="clear" w:color="auto" w:fill="D9E2F3"/>
          </w:tcPr>
          <w:p>
            <w:pPr>
              <w:jc w:val="center"/>
            </w:pPr>
            <w:r>
              <w:rPr>
                <w:b/>
              </w:rPr>
              <w:t>EUR 160,000</w:t>
            </w:r>
          </w:p>
        </w:tc>
      </w:tr>
    </w:tbl>
    <w:p>
      <w:pPr>
        <w:spacing w:after="160" w:before="0"/>
      </w:pPr>
    </w:p>
    <w:p>
      <w:pPr>
        <w:spacing w:after="120"/>
        <w:jc w:val="left"/>
      </w:pPr>
      <w:r>
        <w:rPr>
          <w:b w:val="0"/>
          <w:i/>
          <w:sz w:val="18"/>
        </w:rPr>
        <w:t>* All prices exclude VAT. Third-party licenses (Stripe, Twilio, AWS/Hetzner) billed at cost.</w:t>
      </w:r>
    </w:p>
    <w:p>
      <w:pPr>
        <w:spacing w:after="120"/>
        <w:jc w:val="left"/>
      </w:pPr>
      <w:r>
        <w:rPr>
          <w:b w:val="0"/>
          <w:i/>
          <w:sz w:val="18"/>
        </w:rPr>
        <w:t>* Phase 4 (Full Healthcare Integration) is a CONDITIONAL optional add-on at EUR 16,000. Requires NIJZ/ZZZS sandbox access and concession agreements before Phase 4 can start. Not included in the EUR 160,000 main contract.</w:t>
      </w:r>
    </w:p>
    <w:p>
      <w:pPr>
        <w:spacing w:after="120"/>
        <w:jc w:val="left"/>
      </w:pPr>
      <w:r>
        <w:rPr>
          <w:b w:val="0"/>
          <w:i/>
          <w:sz w:val="18"/>
        </w:rPr>
        <w:t>* External penetration testing (EUR 6,000 pass-through) recommended as part of Phase 3 hardening.</w:t>
      </w:r>
    </w:p>
    <w:p>
      <w:pPr>
        <w:spacing w:after="120"/>
        <w:jc w:val="left"/>
      </w:pPr>
      <w:r>
        <w:rPr>
          <w:b w:val="0"/>
          <w:i/>
          <w:sz w:val="18"/>
        </w:rPr>
        <w:t>* Main contract: EUR 160,000 covering Phases 0-3. Timeline: 39 weeks (~9 months). Phase 4 adds up to 12 weeks if prerequisites are met.</w:t>
      </w:r>
    </w:p>
    <w:p>
      <w:pPr>
        <w:spacing w:after="120"/>
        <w:jc w:val="left"/>
      </w:pPr>
      <w:r>
        <w:rPr>
          <w:b w:val="0"/>
          <w:i/>
          <w:sz w:val="18"/>
        </w:rPr>
        <w:t>* UX/UI Design (EUR 12,000 recommended Standard package) is an optional add-on. Covers all 3 apps: Patient App, Provider App, Admin Portal. Runs in parallel with Phase 0/1.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