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D4</w:t>
      </w:r>
      <w:r>
        <w:t xml:space="preserve"> </w:t>
      </w:r>
      <w:r>
        <w:t xml:space="preserve">-</w:t>
      </w:r>
      <w:r>
        <w:t xml:space="preserve"> </w:t>
      </w:r>
      <w:r>
        <w:t xml:space="preserve">Competitive</w:t>
      </w:r>
      <w:r>
        <w:t xml:space="preserve"> </w:t>
      </w:r>
      <w:r>
        <w:t xml:space="preserve">&amp;</w:t>
      </w:r>
      <w:r>
        <w:t xml:space="preserve"> </w:t>
      </w:r>
      <w:r>
        <w:t xml:space="preserve">Market</w:t>
      </w:r>
      <w:r>
        <w:t xml:space="preserve"> </w:t>
      </w:r>
      <w:r>
        <w:t xml:space="preserve">Assessment</w:t>
      </w:r>
    </w:p>
    <w:p>
      <w:pPr>
        <w:pStyle w:val="Subtitle"/>
      </w:pPr>
      <w:r>
        <w:t xml:space="preserve">FHIR</w:t>
      </w:r>
      <w:r>
        <w:t xml:space="preserve"> </w:t>
      </w:r>
      <w:r>
        <w:t xml:space="preserve">ePI</w:t>
      </w:r>
      <w:r>
        <w:t xml:space="preserve"> </w:t>
      </w:r>
      <w:r>
        <w:t xml:space="preserve">Enterprise</w:t>
      </w:r>
      <w:r>
        <w:t xml:space="preserve"> </w:t>
      </w:r>
      <w:r>
        <w:t xml:space="preserve">System</w:t>
      </w:r>
      <w:r>
        <w:t xml:space="preserve"> </w:t>
      </w:r>
      <w:r>
        <w:t xml:space="preserve">(D1-D3</w:t>
      </w:r>
      <w:r>
        <w:t xml:space="preserve"> </w:t>
      </w:r>
      <w:r>
        <w:t xml:space="preserve">as</w:t>
      </w:r>
      <w:r>
        <w:t xml:space="preserve"> </w:t>
      </w:r>
      <w:r>
        <w:t xml:space="preserve">specified)</w:t>
      </w:r>
    </w:p>
    <w:p>
      <w:pPr>
        <w:pStyle w:val="Date"/>
      </w:pPr>
      <w:r>
        <w:t xml:space="preserve">Draft</w:t>
      </w:r>
      <w:r>
        <w:t xml:space="preserve"> </w:t>
      </w:r>
      <w:r>
        <w:t xml:space="preserve">v0.1</w:t>
      </w:r>
      <w:r>
        <w:t xml:space="preserve"> </w:t>
      </w:r>
      <w:r>
        <w:t xml:space="preserve">-</w:t>
      </w:r>
      <w:r>
        <w:t xml:space="preserve"> </w:t>
      </w:r>
      <w:r>
        <w:t xml:space="preserve">14</w:t>
      </w:r>
      <w:r>
        <w:t xml:space="preserve"> </w:t>
      </w:r>
      <w:r>
        <w:t xml:space="preserve">August</w:t>
      </w:r>
      <w:r>
        <w:t xml:space="preserve"> </w:t>
      </w:r>
      <w:r>
        <w:t xml:space="preserve">2026</w:t>
      </w:r>
    </w:p>
    <w:p>
      <w:pPr>
        <w:pStyle w:val="FirstParagraph"/>
      </w:pPr>
      <w:r>
        <w:rPr>
          <w:bCs/>
          <w:b/>
        </w:rPr>
        <w:t xml:space="preserve">Status:</w:t>
      </w:r>
      <w:r>
        <w:t xml:space="preserve"> </w:t>
      </w:r>
      <w:r>
        <w:t xml:space="preserve">Draft v0.1 |</w:t>
      </w:r>
      <w:r>
        <w:t xml:space="preserve"> </w:t>
      </w:r>
      <w:r>
        <w:rPr>
          <w:bCs/>
          <w:b/>
        </w:rPr>
        <w:t xml:space="preserve">Date:</w:t>
      </w:r>
      <w:r>
        <w:t xml:space="preserve"> </w:t>
      </w:r>
      <w:r>
        <w:t xml:space="preserve">2026-08-14 |</w:t>
      </w:r>
      <w:r>
        <w:t xml:space="preserve"> </w:t>
      </w:r>
      <w:r>
        <w:rPr>
          <w:bCs/>
          <w:b/>
        </w:rPr>
        <w:t xml:space="preserve">Audience:</w:t>
      </w:r>
      <w:r>
        <w:t xml:space="preserve"> </w:t>
      </w:r>
      <w:r>
        <w:t xml:space="preserve">Sponsor / architecture / commercial</w:t>
      </w:r>
    </w:p>
    <w:p>
      <w:pPr>
        <w:pStyle w:val="BodyText"/>
      </w:pPr>
      <w:r>
        <w:rPr>
          <w:bCs/>
          <w:b/>
        </w:rPr>
        <w:t xml:space="preserve">Companion documents:</w:t>
      </w:r>
      <w:r>
        <w:t xml:space="preserve"> </w:t>
      </w:r>
      <w:r>
        <w:t xml:space="preserve">D1 Solution Overview, D2.1-D2.6 Capability Specifications, D3 Technical Architecture</w:t>
      </w:r>
    </w:p>
    <w:p>
      <w:pPr>
        <w:pStyle w:val="BodyText"/>
      </w:pPr>
      <w:r>
        <w:rPr>
          <w:bCs/>
          <w:b/>
        </w:rPr>
        <w:t xml:space="preserve">Evidence note.</w:t>
      </w:r>
      <w:r>
        <w:t xml:space="preserve"> </w:t>
      </w:r>
      <w:r>
        <w:t xml:space="preserve">Based on public sources as at August 2026. Vendor capability claims are marketing-sourced unless stated; almost no vendor publishes pricing, customer references for ePI, or architecture detail. Regulatory status is drawn from primary EMA, EC and regulator sources; where only secondary sources exist this is flagged. Section 8 lists what could not be verified.</w:t>
      </w:r>
    </w:p>
    <w:p>
      <w:r>
        <w:pict>
          <v:rect style="width:0;height:1.5pt" o:hralign="center" o:hrstd="t" o:hr="t"/>
        </w:pict>
      </w:r>
    </w:p>
    <w:bookmarkStart w:id="20" w:name="headline-verdict"/>
    <w:p>
      <w:pPr>
        <w:pStyle w:val="Heading1"/>
      </w:pPr>
      <w:r>
        <w:t xml:space="preserve">1. Headline verdict</w:t>
      </w:r>
    </w:p>
    <w:p>
      <w:pPr>
        <w:pStyle w:val="FirstParagraph"/>
      </w:pPr>
      <w:r>
        <w:t xml:space="preserve">If built as specified and operated at scale, this would be one of the most complete ePI platforms in existence - because the market does not currently contain a complete one. No vendor spans authoring plus lifecycle/change plus multi-market conformance plus rendering plus publishing with FHIR as the canonical model. The specification targets precisely the gaps.</w:t>
      </w:r>
    </w:p>
    <w:p>
      <w:pPr>
        <w:pStyle w:val="BodyText"/>
      </w:pPr>
      <w:r>
        <w:t xml:space="preserve">That is the good news and the warning. The reason no one has built it is not that it is hard to conceive; it is that demand is not yet enforced. There is no mandatory EU ePI requirement today and there will not be one before roughly 2028. The competitive question is therefore less "is this better than Veeva" and more "can this be delivered, validated and populated with real labels before the incumbents ship an adequate ePI module".</w:t>
      </w:r>
    </w:p>
    <w:p>
      <w:pPr>
        <w:pStyle w:val="BodyText"/>
      </w:pPr>
      <w:r>
        <w:t xml:space="preserve">Positioning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Assessed as</w:t>
            </w:r>
          </w:p>
        </w:tc>
        <w:tc>
          <w:tcPr/>
          <w:p>
            <w:pPr>
              <w:pStyle w:val="Compact"/>
              <w:jc w:val="left"/>
            </w:pPr>
            <w:r>
              <w:t xml:space="preserve">Verdict</w:t>
            </w:r>
          </w:p>
        </w:tc>
      </w:tr>
      <w:tr>
        <w:tc>
          <w:tcPr/>
          <w:p>
            <w:pPr>
              <w:pStyle w:val="Compact"/>
              <w:jc w:val="left"/>
            </w:pPr>
            <w:r>
              <w:t xml:space="preserve">Internal platform for a large MAH</w:t>
            </w:r>
          </w:p>
        </w:tc>
        <w:tc>
          <w:tcPr/>
          <w:p>
            <w:pPr>
              <w:pStyle w:val="Compact"/>
              <w:jc w:val="left"/>
            </w:pPr>
            <w:r>
              <w:rPr>
                <w:bCs/>
                <w:b/>
              </w:rPr>
              <w:t xml:space="preserve">Strong.</w:t>
            </w:r>
            <w:r>
              <w:t xml:space="preserve"> </w:t>
            </w:r>
            <w:r>
              <w:t xml:space="preserve">Better fit than anything currently purchasable, provided the organisation accepts a multi-year build and 100% of the validation cost.</w:t>
            </w:r>
          </w:p>
        </w:tc>
      </w:tr>
      <w:tr>
        <w:tc>
          <w:tcPr/>
          <w:p>
            <w:pPr>
              <w:pStyle w:val="Compact"/>
              <w:jc w:val="left"/>
            </w:pPr>
            <w:r>
              <w:t xml:space="preserve">Commercial product</w:t>
            </w:r>
          </w:p>
        </w:tc>
        <w:tc>
          <w:tcPr/>
          <w:p>
            <w:pPr>
              <w:pStyle w:val="Compact"/>
              <w:jc w:val="left"/>
            </w:pPr>
            <w:r>
              <w:rPr>
                <w:bCs/>
                <w:b/>
              </w:rPr>
              <w:t xml:space="preserve">Credible but hard.</w:t>
            </w:r>
            <w:r>
              <w:t xml:space="preserve"> </w:t>
            </w:r>
            <w:r>
              <w:t xml:space="preserve">Genuine white space, but no analyst category, no reference customers, RIM-anchored procurement, and a non-profit consortium undercutting the distribution layer.</w:t>
            </w:r>
          </w:p>
        </w:tc>
      </w:tr>
      <w:tr>
        <w:tc>
          <w:tcPr/>
          <w:p>
            <w:pPr>
              <w:pStyle w:val="Compact"/>
              <w:jc w:val="left"/>
            </w:pPr>
            <w:r>
              <w:t xml:space="preserve">Timing</w:t>
            </w:r>
          </w:p>
        </w:tc>
        <w:tc>
          <w:tcPr/>
          <w:p>
            <w:pPr>
              <w:pStyle w:val="Compact"/>
              <w:jc w:val="left"/>
            </w:pPr>
            <w:r>
              <w:rPr>
                <w:bCs/>
                <w:b/>
              </w:rPr>
              <w:t xml:space="preserve">Window is approximately 2026-2029.</w:t>
            </w:r>
            <w:r>
              <w:t xml:space="preserve"> </w:t>
            </w:r>
            <w:r>
              <w:t xml:space="preserve">Build ahead of the mandate; after the incumbents ship ePI, incumbency wins.</w:t>
            </w:r>
          </w:p>
        </w:tc>
      </w:tr>
    </w:tbl>
    <w:p>
      <w:r>
        <w:pict>
          <v:rect style="width:0;height:1.5pt" o:hralign="center" o:hrstd="t" o:hr="t"/>
        </w:pict>
      </w:r>
    </w:p>
    <w:bookmarkEnd w:id="20"/>
    <w:bookmarkStart w:id="21" w:name="market-reality-check"/>
    <w:p>
      <w:pPr>
        <w:pStyle w:val="Heading1"/>
      </w:pPr>
      <w:r>
        <w:t xml:space="preserve">2. Market reality check</w:t>
      </w:r>
    </w:p>
    <w:p>
      <w:pPr>
        <w:pStyle w:val="FirstParagraph"/>
      </w:pPr>
      <w:r>
        <w:t xml:space="preserve">This section constrains everything that follows.</w:t>
      </w:r>
    </w:p>
    <w:p>
      <w:pPr>
        <w:numPr>
          <w:ilvl w:val="0"/>
          <w:numId w:val="1001"/>
        </w:numPr>
      </w:pPr>
      <w:r>
        <w:rPr>
          <w:bCs/>
          <w:b/>
        </w:rPr>
        <w:t xml:space="preserve">No enforceable EU ePI mandate exists.</w:t>
      </w:r>
      <w:r>
        <w:t xml:space="preserve"> </w:t>
      </w:r>
      <w:r>
        <w:t xml:space="preserve">The revised EU pharmaceutical legislation reached provisional political agreement on 11 December 2025 and COREPER endorsement on 6 March 2026, but is not yet in the Official Journal; the plenary vote is expected in autumn 2026 and full applicability is targeted for 2028. EMA's Management Board (March 2026) stated that ePI "will become mandatory for all newly authorised medicines" once the legislation takes effect.</w:t>
      </w:r>
    </w:p>
    <w:p>
      <w:pPr>
        <w:numPr>
          <w:ilvl w:val="0"/>
          <w:numId w:val="1001"/>
        </w:numPr>
      </w:pPr>
      <w:r>
        <w:rPr>
          <w:bCs/>
          <w:b/>
        </w:rPr>
        <w:t xml:space="preserve">EMA's ePI roadmap (20 March 2026) is a draft with only voluntary phases:</w:t>
      </w:r>
      <w:r>
        <w:t xml:space="preserve"> </w:t>
      </w:r>
      <w:r>
        <w:t xml:space="preserve">oncology (ATC L01/L04) Q3 2026, all centrally authorised products Q4 2026, vaccines (J07) Q1 2027, NCA implementation 2027, stabilisation 2028. Vendor blogs invert this ordering and describe it as a mandate; they are wrong.</w:t>
      </w:r>
    </w:p>
    <w:p>
      <w:pPr>
        <w:numPr>
          <w:ilvl w:val="0"/>
          <w:numId w:val="1001"/>
        </w:numPr>
      </w:pPr>
      <w:r>
        <w:rPr>
          <w:bCs/>
          <w:b/>
        </w:rPr>
        <w:t xml:space="preserve">ePI is additive burden in phase 1.</w:t>
      </w:r>
      <w:r>
        <w:t xml:space="preserve"> </w:t>
      </w:r>
      <w:r>
        <w:t xml:space="preserve">MAHs upload ePI at the PLM Portal alongside the existing Word/PDF submission, in English only initially. There is no near-term MAH cost saving, which is a classic adoption inhibitor.</w:t>
      </w:r>
    </w:p>
    <w:p>
      <w:pPr>
        <w:numPr>
          <w:ilvl w:val="0"/>
          <w:numId w:val="1001"/>
        </w:numPr>
      </w:pPr>
      <w:r>
        <w:rPr>
          <w:bCs/>
          <w:b/>
        </w:rPr>
        <w:t xml:space="preserve">Adoption to date is tiny.</w:t>
      </w:r>
      <w:r>
        <w:t xml:space="preserve"> </w:t>
      </w:r>
      <w:r>
        <w:t xml:space="preserve">The EU pilot (July 2023 to August 2024, five regulators) produced 23 ePIs. Published ePIs still carry a "pilot purposes only - not to be used as medicines information" disclaimer.</w:t>
      </w:r>
    </w:p>
    <w:p>
      <w:pPr>
        <w:numPr>
          <w:ilvl w:val="0"/>
          <w:numId w:val="1001"/>
        </w:numPr>
      </w:pPr>
      <w:r>
        <w:rPr>
          <w:bCs/>
          <w:b/>
        </w:rPr>
        <w:t xml:space="preserve">The global installed reality is PDF behind a QR code, hosted by the manufacturer.</w:t>
      </w:r>
      <w:r>
        <w:t xml:space="preserve"> </w:t>
      </w:r>
      <w:r>
        <w:t xml:space="preserve">A 182-country survey (Frontiers in Medicine, December 2025) found 48% of countries engaged in e-labelling, only 3% fully paperless, roughly 75% still mandating print, QR codes at 74.7% and PDF at 67.3% as the dominant technologies, and 53% of e-labelling platforms owned by pharmaceutical companies rather than regulators.</w:t>
      </w:r>
    </w:p>
    <w:p>
      <w:pPr>
        <w:numPr>
          <w:ilvl w:val="0"/>
          <w:numId w:val="1001"/>
        </w:numPr>
      </w:pPr>
      <w:r>
        <w:rPr>
          <w:bCs/>
          <w:b/>
        </w:rPr>
        <w:t xml:space="preserve">The only hard FHIR ePI mandate is Jordan</w:t>
      </w:r>
      <w:r>
        <w:t xml:space="preserve"> </w:t>
      </w:r>
      <w:r>
        <w:t xml:space="preserve">(JFDA, FHIR R5, Vulcan Type 2, GS1 DataMatrix-linked, re-registration deadline 17 January 2025) - and paper is retained in the current phase. Japan is the only large market with paper genuinely abolished (2021, PMDA electronic package inserts) and it does not use FHIR. Saudi Arabia's mandate is a searchable-text digital leaflet in addition to print, not structured ePI. Canada mandates XML Product Monograph (from 18 July 2025), not FHIR. The US has no ePI mandate; the 2014 proposed rule was killed by appropriations riders, and the Prescription Information Modernization Act was reintroduced again in August 2026, still unenacted.</w:t>
      </w:r>
    </w:p>
    <w:p>
      <w:pPr>
        <w:numPr>
          <w:ilvl w:val="0"/>
          <w:numId w:val="1001"/>
        </w:numPr>
      </w:pPr>
      <w:r>
        <w:rPr>
          <w:bCs/>
          <w:b/>
        </w:rPr>
        <w:t xml:space="preserve">Paper never fully disappears.</w:t>
      </w:r>
      <w:r>
        <w:t xml:space="preserve"> </w:t>
      </w:r>
      <w:r>
        <w:t xml:space="preserve">The new Directive reportedly preserves a patient right to a free printed copy (secondary source - see Section 8). Dual-channel FHIR plus HTML plus PDF/print is the permanent steady state, not a transition. D1's three-representation model is therefore correct on regulation, not merely on pragmatism.</w:t>
      </w:r>
    </w:p>
    <w:p>
      <w:pPr>
        <w:numPr>
          <w:ilvl w:val="0"/>
          <w:numId w:val="1001"/>
        </w:numPr>
      </w:pPr>
      <w:r>
        <w:rPr>
          <w:bCs/>
          <w:b/>
        </w:rPr>
        <w:t xml:space="preserve">The near-term forcing functions are adjacent, not ePI:</w:t>
      </w:r>
      <w:r>
        <w:t xml:space="preserve"> </w:t>
      </w:r>
      <w:r>
        <w:t xml:space="preserve">PLM web-based eAF mandatory for human CAP variations on 1 September 2026; eCTD v4.0 mandatory for CAPs in 2026; PMS/IDMP enrichment for non-critical products end 2026 to mid 2027.</w:t>
      </w:r>
    </w:p>
    <w:p>
      <w:pPr>
        <w:pStyle w:val="FirstParagraph"/>
      </w:pPr>
      <w:r>
        <w:rPr>
          <w:bCs/>
          <w:b/>
        </w:rPr>
        <w:t xml:space="preserve">Implication:</w:t>
      </w:r>
      <w:r>
        <w:t xml:space="preserve"> </w:t>
      </w:r>
      <w:r>
        <w:t xml:space="preserve">a system that only does ePI misses the 2026-27 budget cycle. The business case strengthens materially if the platform also carries IDMP/SPOR product-data stewardship and the label-to-variation linkage - both already in the capability map (#5, #8, #24) but currently framed as integrations rather than value propositions.</w:t>
      </w:r>
    </w:p>
    <w:p>
      <w:r>
        <w:pict>
          <v:rect style="width:0;height:1.5pt" o:hralign="center" o:hrstd="t" o:hr="t"/>
        </w:pict>
      </w:r>
    </w:p>
    <w:bookmarkEnd w:id="21"/>
    <w:bookmarkStart w:id="25" w:name="competitive-landscape"/>
    <w:p>
      <w:pPr>
        <w:pStyle w:val="Heading1"/>
      </w:pPr>
      <w:r>
        <w:t xml:space="preserve">3. Competitive landscape</w:t>
      </w:r>
    </w:p>
    <w:bookmarkStart w:id="22" w:name="Xa2b98dd17ae4cf0a048f43a4525f27d73f9dfb5"/>
    <w:p>
      <w:pPr>
        <w:pStyle w:val="Heading2"/>
      </w:pPr>
      <w:r>
        <w:t xml:space="preserve">3.1 The market splits into three non-overlapping groups</w:t>
      </w:r>
    </w:p>
    <w:tbl>
      <w:tblPr>
        <w:tblStyle w:val="Table"/>
        <w:tblW w:type="pct" w:w="5000"/>
        <w:tblLook w:firstRow="1" w:lastRow="0" w:firstColumn="0" w:lastColumn="0" w:noHBand="0" w:noVBand="0" w:val="0020"/>
        <w:jc w:val="start"/>
      </w:tblPr>
      <w:tblGrid>
        <w:gridCol w:w="1421"/>
        <w:gridCol w:w="2944"/>
        <w:gridCol w:w="1015"/>
        <w:gridCol w:w="1116"/>
        <w:gridCol w:w="1421"/>
      </w:tblGrid>
      <w:tr>
        <w:trPr>
          <w:tblHeader w:val="true"/>
        </w:trPr>
        <w:tc>
          <w:tcPr/>
          <w:p>
            <w:pPr>
              <w:pStyle w:val="Compact"/>
              <w:jc w:val="left"/>
            </w:pPr>
            <w:r>
              <w:t xml:space="preserve">Group</w:t>
            </w:r>
          </w:p>
        </w:tc>
        <w:tc>
          <w:tcPr/>
          <w:p>
            <w:pPr>
              <w:pStyle w:val="Compact"/>
              <w:jc w:val="left"/>
            </w:pPr>
            <w:r>
              <w:t xml:space="preserve">Players</w:t>
            </w:r>
          </w:p>
        </w:tc>
        <w:tc>
          <w:tcPr/>
          <w:p>
            <w:pPr>
              <w:pStyle w:val="Compact"/>
              <w:jc w:val="left"/>
            </w:pPr>
            <w:r>
              <w:t xml:space="preserve">FHIR ePI</w:t>
            </w:r>
          </w:p>
        </w:tc>
        <w:tc>
          <w:tcPr/>
          <w:p>
            <w:pPr>
              <w:pStyle w:val="Compact"/>
              <w:jc w:val="left"/>
            </w:pPr>
            <w:r>
              <w:t xml:space="preserve">Lifecycle</w:t>
            </w:r>
          </w:p>
        </w:tc>
        <w:tc>
          <w:tcPr/>
          <w:p>
            <w:pPr>
              <w:pStyle w:val="Compact"/>
              <w:jc w:val="left"/>
            </w:pPr>
            <w:r>
              <w:t xml:space="preserve">Distribution</w:t>
            </w:r>
          </w:p>
        </w:tc>
      </w:tr>
      <w:tr>
        <w:tc>
          <w:tcPr/>
          <w:p>
            <w:pPr>
              <w:pStyle w:val="Compact"/>
              <w:jc w:val="left"/>
            </w:pPr>
            <w:r>
              <w:t xml:space="preserve">A. RIM / workflow platforms</w:t>
            </w:r>
          </w:p>
        </w:tc>
        <w:tc>
          <w:tcPr/>
          <w:p>
            <w:pPr>
              <w:pStyle w:val="Compact"/>
              <w:jc w:val="left"/>
            </w:pPr>
            <w:r>
              <w:t xml:space="preserve">Veeva Vault RIM, ArisGlobal LifeSphere (incl. absorbed Amplexor), Freyr LABEL 360, Ennov, IQVIA RIM Smart</w:t>
            </w:r>
          </w:p>
        </w:tc>
        <w:tc>
          <w:tcPr/>
          <w:p>
            <w:pPr>
              <w:pStyle w:val="Compact"/>
              <w:jc w:val="left"/>
            </w:pPr>
            <w:r>
              <w:t xml:space="preserve">No</w:t>
            </w:r>
          </w:p>
        </w:tc>
        <w:tc>
          <w:tcPr/>
          <w:p>
            <w:pPr>
              <w:pStyle w:val="Compact"/>
              <w:jc w:val="left"/>
            </w:pPr>
            <w:r>
              <w:t xml:space="preserve">Yes (strong)</w:t>
            </w:r>
          </w:p>
        </w:tc>
        <w:tc>
          <w:tcPr/>
          <w:p>
            <w:pPr>
              <w:pStyle w:val="Compact"/>
              <w:jc w:val="left"/>
            </w:pPr>
            <w:r>
              <w:t xml:space="preserve">No</w:t>
            </w:r>
          </w:p>
        </w:tc>
      </w:tr>
      <w:tr>
        <w:tc>
          <w:tcPr/>
          <w:p>
            <w:pPr>
              <w:pStyle w:val="Compact"/>
              <w:jc w:val="left"/>
            </w:pPr>
            <w:r>
              <w:t xml:space="preserve">B. Structured-content authoring</w:t>
            </w:r>
          </w:p>
        </w:tc>
        <w:tc>
          <w:tcPr/>
          <w:p>
            <w:pPr>
              <w:pStyle w:val="Compact"/>
              <w:jc w:val="left"/>
            </w:pPr>
            <w:r>
              <w:t xml:space="preserve">Glemser ComplianceAuthor AI, i4i A4L/ALiCE, RWS Tridion One, Docuvera (cormeo/Bertelsmann)</w:t>
            </w:r>
          </w:p>
        </w:tc>
        <w:tc>
          <w:tcPr/>
          <w:p>
            <w:pPr>
              <w:pStyle w:val="Compact"/>
              <w:jc w:val="left"/>
            </w:pPr>
            <w:r>
              <w:t xml:space="preserve">Yes (varying depth)</w:t>
            </w:r>
          </w:p>
        </w:tc>
        <w:tc>
          <w:tcPr/>
          <w:p>
            <w:pPr>
              <w:pStyle w:val="Compact"/>
              <w:jc w:val="left"/>
            </w:pPr>
            <w:r>
              <w:t xml:space="preserve">Partial</w:t>
            </w:r>
          </w:p>
        </w:tc>
        <w:tc>
          <w:tcPr/>
          <w:p>
            <w:pPr>
              <w:pStyle w:val="Compact"/>
              <w:jc w:val="left"/>
            </w:pPr>
            <w:r>
              <w:t xml:space="preserve">No</w:t>
            </w:r>
          </w:p>
        </w:tc>
      </w:tr>
      <w:tr>
        <w:tc>
          <w:tcPr/>
          <w:p>
            <w:pPr>
              <w:pStyle w:val="Compact"/>
              <w:jc w:val="left"/>
            </w:pPr>
            <w:r>
              <w:t xml:space="preserve">C. Distribution / patient-facing</w:t>
            </w:r>
          </w:p>
        </w:tc>
        <w:tc>
          <w:tcPr/>
          <w:p>
            <w:pPr>
              <w:pStyle w:val="Compact"/>
              <w:jc w:val="left"/>
            </w:pPr>
            <w:r>
              <w:t xml:space="preserve">PharmaLedger Association AstraLabel, Datapharm emc, myHealthbox/eLeaflet, tracekey, PharmaTag</w:t>
            </w:r>
          </w:p>
        </w:tc>
        <w:tc>
          <w:tcPr/>
          <w:p>
            <w:pPr>
              <w:pStyle w:val="Compact"/>
              <w:jc w:val="left"/>
            </w:pPr>
            <w:r>
              <w:t xml:space="preserve">Yes (as data model)</w:t>
            </w:r>
          </w:p>
        </w:tc>
        <w:tc>
          <w:tcPr/>
          <w:p>
            <w:pPr>
              <w:pStyle w:val="Compact"/>
              <w:jc w:val="left"/>
            </w:pPr>
            <w:r>
              <w:t xml:space="preserve">No</w:t>
            </w:r>
          </w:p>
        </w:tc>
        <w:tc>
          <w:tcPr/>
          <w:p>
            <w:pPr>
              <w:pStyle w:val="Compact"/>
              <w:jc w:val="left"/>
            </w:pPr>
            <w:r>
              <w:t xml:space="preserve">Yes</w:t>
            </w:r>
          </w:p>
        </w:tc>
      </w:tr>
    </w:tbl>
    <w:p>
      <w:pPr>
        <w:pStyle w:val="BodyText"/>
      </w:pPr>
      <w:r>
        <w:t xml:space="preserve">No single vendor spans all three. That is the white space this specification occupies.</w:t>
      </w:r>
    </w:p>
    <w:bookmarkEnd w:id="22"/>
    <w:bookmarkStart w:id="23" w:name="primary-competitors"/>
    <w:p>
      <w:pPr>
        <w:pStyle w:val="Heading2"/>
      </w:pPr>
      <w:r>
        <w:t xml:space="preserve">3.2 Primary competitors</w:t>
      </w:r>
    </w:p>
    <w:p>
      <w:pPr>
        <w:pStyle w:val="FirstParagraph"/>
      </w:pPr>
      <w:r>
        <w:rPr>
          <w:bCs/>
          <w:b/>
        </w:rPr>
        <w:t xml:space="preserve">Veeva Vault RIM - the incumbent that matters most.</w:t>
      </w:r>
      <w:r>
        <w:t xml:space="preserve"> </w:t>
      </w:r>
      <w:r>
        <w:t xml:space="preserve">450+ organisations including 19 of the top 20 biopharma. Its labeling model (Labeling Events, then Labeling Concepts, then per-market activities, then Labeling Deviation records, cutover dashboards and eCTD hand-off) is the de-facto industry pattern and is genuinely strong. It is document-centric rich-text authoring, not component or XML based. Critically: no public ePI or FHIR capability, and none on the published roadmap - the RIM product page and the 26R2 release preview mention neither. Weaknesses: cloud-only, premium pricing (unpublished), forces process standardisation, and its own users cite IDMP readiness gaps.</w:t>
      </w:r>
    </w:p>
    <w:p>
      <w:pPr>
        <w:pStyle w:val="BodyText"/>
      </w:pPr>
      <w:r>
        <w:rPr>
          <w:iCs/>
          <w:i/>
        </w:rPr>
        <w:t xml:space="preserve">Competitive read:</w:t>
      </w:r>
      <w:r>
        <w:t xml:space="preserve"> </w:t>
      </w:r>
      <w:r>
        <w:t xml:space="preserve">competing with Veeva on label change control is the weakest possible ground - see Section 5, risk 2. Competing with Veeva on FHIR-native structured content is currently uncontested. Assume Veeva ships something once the legislation lands.</w:t>
      </w:r>
    </w:p>
    <w:p>
      <w:pPr>
        <w:pStyle w:val="BodyText"/>
      </w:pPr>
      <w:r>
        <w:rPr>
          <w:bCs/>
          <w:b/>
        </w:rPr>
        <w:t xml:space="preserve">Glemser ComplianceAuthor AI - the closest functional competitor.</w:t>
      </w:r>
      <w:r>
        <w:t xml:space="preserve"> </w:t>
      </w:r>
      <w:r>
        <w:t xml:space="preserve">The most explicit FHIR position in the market: publishes SPL and FHIR automatically, plus QRD, Canadian SPA and PharmaLedger formats; AI drift detection between local and global labels; section-level branch management for parallel in-flight revisions; component-level translation with reuse libraries; exclusive ePI conversion partner to the PharmaLedger Association with a 2-3 day Word/PDF to validated EMA or Jordan FHIR turnaround. Weaknesses: small private vendor, no named customers, no case studies, no pricing, no published architecture, and unverifiable self-reported quality claims.</w:t>
      </w:r>
    </w:p>
    <w:p>
      <w:pPr>
        <w:pStyle w:val="BodyText"/>
      </w:pPr>
      <w:r>
        <w:rPr>
          <w:bCs/>
          <w:b/>
        </w:rPr>
        <w:t xml:space="preserve">RWS Tridion One - the strongest paper competitor.</w:t>
      </w:r>
      <w:r>
        <w:t xml:space="preserve"> </w:t>
      </w:r>
      <w:r>
        <w:t xml:space="preserve">Pharma-specific structured authoring covering CMC, labeling/ePI and clinical documents, optimised for JSON or HL7 FHIR output, sitting on Tridion Docs (enterprise DITA CCMS) with RWS's native translation at scale. Fonto was selected by the Swedish Medical Products Agency for electronic structured SmPCs - a regulator-side reference. Weaknesses: GA status and pharma customers unverified; organisational disruption reported at RWS.</w:t>
      </w:r>
    </w:p>
    <w:p>
      <w:pPr>
        <w:pStyle w:val="BodyText"/>
      </w:pPr>
      <w:r>
        <w:rPr>
          <w:bCs/>
          <w:b/>
        </w:rPr>
        <w:t xml:space="preserve">i4i (A4L / ALiCE)</w:t>
      </w:r>
      <w:r>
        <w:t xml:space="preserve"> </w:t>
      </w:r>
      <w:r>
        <w:t xml:space="preserve">- probably the most technically credible ePI-native authoring vendor: Word-based structured authoring producing SPL, Health Canada XML PM and FHIR ePI, plus an enterprise platform. Very small, desktop-anchored, no public references.</w:t>
      </w:r>
    </w:p>
    <w:p>
      <w:pPr>
        <w:pStyle w:val="BodyText"/>
      </w:pPr>
      <w:r>
        <w:rPr>
          <w:bCs/>
          <w:b/>
        </w:rPr>
        <w:t xml:space="preserve">ArisGlobal LifeSphere Regulatory</w:t>
      </w:r>
      <w:r>
        <w:t xml:space="preserve"> </w:t>
      </w:r>
      <w:r>
        <w:t xml:space="preserve">- strong labeling workflow, heavy GenAI positioning (NavaX), named customers (Astellas, Roche, Boehringer Ingelheim, AstraZeneca). No public ePI or FHIR claim. Post-Amplexor integration risk.</w:t>
      </w:r>
    </w:p>
    <w:p>
      <w:pPr>
        <w:pStyle w:val="BodyText"/>
      </w:pPr>
      <w:r>
        <w:rPr>
          <w:bCs/>
          <w:b/>
        </w:rPr>
        <w:t xml:space="preserve">Freyr LABEL 360</w:t>
      </w:r>
      <w:r>
        <w:t xml:space="preserve"> </w:t>
      </w:r>
      <w:r>
        <w:t xml:space="preserve">- the most complete functional change-control model outside Veeva (pack-set traceability, downstream artwork/print/supply-chain cascade, deviation looping). Silent on ePI and FHIR in product materials; Freyr is fundamentally a services organisation.</w:t>
      </w:r>
    </w:p>
    <w:p>
      <w:pPr>
        <w:pStyle w:val="BodyText"/>
      </w:pPr>
      <w:r>
        <w:rPr>
          <w:bCs/>
          <w:b/>
        </w:rPr>
        <w:t xml:space="preserve">PharmaLedger Association / AstraLabel SOLO - the structural threat.</w:t>
      </w:r>
      <w:r>
        <w:t xml:space="preserve"> </w:t>
      </w:r>
      <w:r>
        <w:t xml:space="preserve">A non-profit industry consortium supplying a GxP-validated ePI distribution platform: FHIR-native data model, REST API, integrations claimed to 46+ national repositories across 29 languages, GS1 Digital Link, published price of CHF 180,000 per year, 1-2 month implementation, with Glemser as conversion partner. Members include GSK, MSD, Takeda, Moderna and Elanco. Live for veterinary medicines in Spain; human-health EU transition "underway"; no named production MAH customers.</w:t>
      </w:r>
    </w:p>
    <w:p>
      <w:pPr>
        <w:pStyle w:val="BodyText"/>
      </w:pPr>
      <w:r>
        <w:rPr>
          <w:iCs/>
          <w:i/>
        </w:rPr>
        <w:t xml:space="preserve">Competitive read:</w:t>
      </w:r>
      <w:r>
        <w:t xml:space="preserve"> </w:t>
      </w:r>
      <w:r>
        <w:t xml:space="preserve">this is the one competitor a per-company build cannot beat on cost, because the cost is shared across the industry. It is also downstream of this specification - a partner for capability #14 rather than a rival to the whole.</w:t>
      </w:r>
    </w:p>
    <w:p>
      <w:pPr>
        <w:pStyle w:val="BodyText"/>
      </w:pPr>
      <w:r>
        <w:rPr>
          <w:bCs/>
          <w:b/>
        </w:rPr>
        <w:t xml:space="preserve">Adjacent, not competitors:</w:t>
      </w:r>
      <w:r>
        <w:t xml:space="preserve"> </w:t>
      </w:r>
      <w:r>
        <w:t xml:space="preserve">Certara (no labeling or ePI product at all), Kallik / Esko / Loftware (artwork), Schlafender Hase and GlobalVision (proofreading), LORENZ and EXTEDO (eCTD publishing), Accenture, Deloitte, Parexel and PharmaLex (services).</w:t>
      </w:r>
    </w:p>
    <w:p>
      <w:pPr>
        <w:pStyle w:val="BodyText"/>
      </w:pPr>
      <w:r>
        <w:t xml:space="preserve">Note the consolidation: ArisGlobal and Amplexor (2023), RWS and Fonto (2022), and cormeo/Bertelsmann acquiring Docuvera, EXTEDO and medicines.ie (2025). The last of these assembles a plausible author-to-submit-to-publish chain under one owner and is worth watching.</w:t>
      </w:r>
    </w:p>
    <w:bookmarkEnd w:id="23"/>
    <w:bookmarkStart w:id="24" w:name="market-size"/>
    <w:p>
      <w:pPr>
        <w:pStyle w:val="Heading2"/>
      </w:pPr>
      <w:r>
        <w:t xml:space="preserve">3.3 Market size</w:t>
      </w:r>
    </w:p>
    <w:p>
      <w:pPr>
        <w:pStyle w:val="FirstParagraph"/>
      </w:pPr>
      <w:r>
        <w:t xml:space="preserve">Defensible anchor: RIM software at approximately USD 2.5-2.8bn (2026), growing at 9-11% CAGR (Grand View, Future Market Insights, Precedence - all mid-tier publishers, treat as directional). Pharma is roughly 43% of end-use. There is no credible standalone sizing for a labeling or ePI platform segment, no Gartner Magic Quadrant, and no published TCO benchmarks. The only public price in the entire market is PharmaLedger's CHF 180,000 per year. Procurement in this category is effectively flying blind - which is an argument for an independent specification, and a warning about how hard the sale is.</w:t>
      </w:r>
    </w:p>
    <w:p>
      <w:r>
        <w:pict>
          <v:rect style="width:0;height:1.5pt" o:hralign="center" o:hrstd="t" o:hr="t"/>
        </w:pict>
      </w:r>
    </w:p>
    <w:bookmarkEnd w:id="24"/>
    <w:bookmarkEnd w:id="25"/>
    <w:bookmarkStart w:id="26" w:name="how-the-specification-scores"/>
    <w:p>
      <w:pPr>
        <w:pStyle w:val="Heading1"/>
      </w:pPr>
      <w:r>
        <w:t xml:space="preserve">4. How the specification scores</w:t>
      </w:r>
    </w:p>
    <w:p>
      <w:pPr>
        <w:pStyle w:val="FirstParagraph"/>
      </w:pPr>
      <w:r>
        <w:t xml:space="preserve">Rating key:</w:t>
      </w:r>
      <w:r>
        <w:t xml:space="preserve"> </w:t>
      </w:r>
      <w:r>
        <w:rPr>
          <w:bCs/>
          <w:b/>
        </w:rPr>
        <w:t xml:space="preserve">A</w:t>
      </w:r>
      <w:r>
        <w:t xml:space="preserve"> </w:t>
      </w:r>
      <w:r>
        <w:t xml:space="preserve">= market-leading or uncontested,</w:t>
      </w:r>
      <w:r>
        <w:t xml:space="preserve"> </w:t>
      </w:r>
      <w:r>
        <w:rPr>
          <w:bCs/>
          <w:b/>
        </w:rPr>
        <w:t xml:space="preserve">B</w:t>
      </w:r>
      <w:r>
        <w:t xml:space="preserve"> </w:t>
      </w:r>
      <w:r>
        <w:t xml:space="preserve">= competitive,</w:t>
      </w:r>
      <w:r>
        <w:t xml:space="preserve"> </w:t>
      </w:r>
      <w:r>
        <w:rPr>
          <w:bCs/>
          <w:b/>
        </w:rPr>
        <w:t xml:space="preserve">C</w:t>
      </w:r>
      <w:r>
        <w:t xml:space="preserve"> </w:t>
      </w:r>
      <w:r>
        <w:t xml:space="preserve">= at parity,</w:t>
      </w:r>
      <w:r>
        <w:t xml:space="preserve"> </w:t>
      </w:r>
      <w:r>
        <w:rPr>
          <w:bCs/>
          <w:b/>
        </w:rPr>
        <w:t xml:space="preserve">D</w:t>
      </w:r>
      <w:r>
        <w:t xml:space="preserve"> </w:t>
      </w:r>
      <w:r>
        <w:t xml:space="preserve">= behind,</w:t>
      </w:r>
      <w:r>
        <w:t xml:space="preserve"> </w:t>
      </w:r>
      <w:r>
        <w:rPr>
          <w:bCs/>
          <w:b/>
        </w:rPr>
        <w:t xml:space="preserve">n/a</w:t>
      </w:r>
      <w:r>
        <w:t xml:space="preserve"> </w:t>
      </w:r>
      <w:r>
        <w:t xml:space="preserve">= out of scope by design.</w:t>
      </w:r>
    </w:p>
    <w:tbl>
      <w:tblPr>
        <w:tblStyle w:val="Table"/>
        <w:tblW w:type="pct" w:w="5000"/>
        <w:tblLook w:firstRow="1" w:lastRow="0" w:firstColumn="0" w:lastColumn="0" w:noHBand="0" w:noVBand="0" w:val="0020"/>
        <w:jc w:val="start"/>
      </w:tblPr>
      <w:tblGrid>
        <w:gridCol w:w="2772"/>
        <w:gridCol w:w="792"/>
        <w:gridCol w:w="693"/>
        <w:gridCol w:w="792"/>
        <w:gridCol w:w="792"/>
        <w:gridCol w:w="693"/>
        <w:gridCol w:w="693"/>
        <w:gridCol w:w="693"/>
      </w:tblGrid>
      <w:tr>
        <w:trPr>
          <w:tblHeader w:val="true"/>
        </w:trPr>
        <w:tc>
          <w:tcPr/>
          <w:p>
            <w:pPr>
              <w:pStyle w:val="Compact"/>
              <w:jc w:val="left"/>
            </w:pPr>
            <w:r>
              <w:t xml:space="preserve">Capability area</w:t>
            </w:r>
          </w:p>
        </w:tc>
        <w:tc>
          <w:tcPr/>
          <w:p>
            <w:pPr>
              <w:pStyle w:val="Compact"/>
              <w:jc w:val="left"/>
            </w:pPr>
            <w:r>
              <w:t xml:space="preserve">This spec</w:t>
            </w:r>
          </w:p>
        </w:tc>
        <w:tc>
          <w:tcPr/>
          <w:p>
            <w:pPr>
              <w:pStyle w:val="Compact"/>
              <w:jc w:val="left"/>
            </w:pPr>
            <w:r>
              <w:t xml:space="preserve">Veeva</w:t>
            </w:r>
          </w:p>
        </w:tc>
        <w:tc>
          <w:tcPr/>
          <w:p>
            <w:pPr>
              <w:pStyle w:val="Compact"/>
              <w:jc w:val="left"/>
            </w:pPr>
            <w:r>
              <w:t xml:space="preserve">ArisGlobal</w:t>
            </w:r>
          </w:p>
        </w:tc>
        <w:tc>
          <w:tcPr/>
          <w:p>
            <w:pPr>
              <w:pStyle w:val="Compact"/>
              <w:jc w:val="left"/>
            </w:pPr>
            <w:r>
              <w:t xml:space="preserve">Glemser</w:t>
            </w:r>
          </w:p>
        </w:tc>
        <w:tc>
          <w:tcPr/>
          <w:p>
            <w:pPr>
              <w:pStyle w:val="Compact"/>
              <w:jc w:val="left"/>
            </w:pPr>
            <w:r>
              <w:t xml:space="preserve">RWS</w:t>
            </w:r>
          </w:p>
        </w:tc>
        <w:tc>
          <w:tcPr/>
          <w:p>
            <w:pPr>
              <w:pStyle w:val="Compact"/>
              <w:jc w:val="left"/>
            </w:pPr>
            <w:r>
              <w:t xml:space="preserve">PLA</w:t>
            </w:r>
          </w:p>
        </w:tc>
        <w:tc>
          <w:tcPr/>
          <w:p>
            <w:pPr>
              <w:pStyle w:val="Compact"/>
              <w:jc w:val="left"/>
            </w:pPr>
            <w:r>
              <w:t xml:space="preserve">OSS</w:t>
            </w:r>
          </w:p>
        </w:tc>
      </w:tr>
      <w:tr>
        <w:tc>
          <w:tcPr/>
          <w:p>
            <w:pPr>
              <w:pStyle w:val="Compact"/>
              <w:jc w:val="left"/>
            </w:pPr>
            <w:r>
              <w:t xml:space="preserve">FHIR-native canonical model</w:t>
            </w:r>
          </w:p>
        </w:tc>
        <w:tc>
          <w:tcPr/>
          <w:p>
            <w:pPr>
              <w:pStyle w:val="Compact"/>
              <w:jc w:val="left"/>
            </w:pPr>
            <w:r>
              <w:t xml:space="preserve">A</w:t>
            </w:r>
          </w:p>
        </w:tc>
        <w:tc>
          <w:tcPr/>
          <w:p>
            <w:pPr>
              <w:pStyle w:val="Compact"/>
              <w:jc w:val="left"/>
            </w:pPr>
            <w:r>
              <w:t xml:space="preserve">D</w:t>
            </w:r>
          </w:p>
        </w:tc>
        <w:tc>
          <w:tcPr/>
          <w:p>
            <w:pPr>
              <w:pStyle w:val="Compact"/>
              <w:jc w:val="left"/>
            </w:pPr>
            <w:r>
              <w:t xml:space="preserve">D</w:t>
            </w:r>
          </w:p>
        </w:tc>
        <w:tc>
          <w:tcPr/>
          <w:p>
            <w:pPr>
              <w:pStyle w:val="Compact"/>
              <w:jc w:val="left"/>
            </w:pPr>
            <w:r>
              <w:t xml:space="preserve">B</w:t>
            </w:r>
          </w:p>
        </w:tc>
        <w:tc>
          <w:tcPr/>
          <w:p>
            <w:pPr>
              <w:pStyle w:val="Compact"/>
              <w:jc w:val="left"/>
            </w:pPr>
            <w:r>
              <w:t xml:space="preserve">B</w:t>
            </w:r>
          </w:p>
        </w:tc>
        <w:tc>
          <w:tcPr/>
          <w:p>
            <w:pPr>
              <w:pStyle w:val="Compact"/>
              <w:jc w:val="left"/>
            </w:pPr>
            <w:r>
              <w:t xml:space="preserve">B</w:t>
            </w:r>
          </w:p>
        </w:tc>
        <w:tc>
          <w:tcPr/>
          <w:p>
            <w:pPr>
              <w:pStyle w:val="Compact"/>
              <w:jc w:val="left"/>
            </w:pPr>
            <w:r>
              <w:t xml:space="preserve">B</w:t>
            </w:r>
          </w:p>
        </w:tc>
      </w:tr>
      <w:tr>
        <w:tc>
          <w:tcPr/>
          <w:p>
            <w:pPr>
              <w:pStyle w:val="Compact"/>
              <w:jc w:val="left"/>
            </w:pPr>
            <w:r>
              <w:t xml:space="preserve">Structured authoring (component-level)</w:t>
            </w:r>
          </w:p>
        </w:tc>
        <w:tc>
          <w:tcPr/>
          <w:p>
            <w:pPr>
              <w:pStyle w:val="Compact"/>
              <w:jc w:val="left"/>
            </w:pPr>
            <w:r>
              <w:t xml:space="preserve">B</w:t>
            </w:r>
          </w:p>
        </w:tc>
        <w:tc>
          <w:tcPr/>
          <w:p>
            <w:pPr>
              <w:pStyle w:val="Compact"/>
              <w:jc w:val="left"/>
            </w:pPr>
            <w:r>
              <w:t xml:space="preserve">D</w:t>
            </w:r>
          </w:p>
        </w:tc>
        <w:tc>
          <w:tcPr/>
          <w:p>
            <w:pPr>
              <w:pStyle w:val="Compact"/>
              <w:jc w:val="left"/>
            </w:pPr>
            <w:r>
              <w:t xml:space="preserve">C</w:t>
            </w:r>
          </w:p>
        </w:tc>
        <w:tc>
          <w:tcPr/>
          <w:p>
            <w:pPr>
              <w:pStyle w:val="Compact"/>
              <w:jc w:val="left"/>
            </w:pPr>
            <w:r>
              <w:t xml:space="preserve">A</w:t>
            </w:r>
          </w:p>
        </w:tc>
        <w:tc>
          <w:tcPr/>
          <w:p>
            <w:pPr>
              <w:pStyle w:val="Compact"/>
              <w:jc w:val="left"/>
            </w:pPr>
            <w:r>
              <w:t xml:space="preserve">A</w:t>
            </w:r>
          </w:p>
        </w:tc>
        <w:tc>
          <w:tcPr/>
          <w:p>
            <w:pPr>
              <w:pStyle w:val="Compact"/>
              <w:jc w:val="left"/>
            </w:pPr>
            <w:r>
              <w:t xml:space="preserve">n/a</w:t>
            </w:r>
          </w:p>
        </w:tc>
        <w:tc>
          <w:tcPr/>
          <w:p>
            <w:pPr>
              <w:pStyle w:val="Compact"/>
              <w:jc w:val="left"/>
            </w:pPr>
            <w:r>
              <w:t xml:space="preserve">D</w:t>
            </w:r>
          </w:p>
        </w:tc>
      </w:tr>
      <w:tr>
        <w:tc>
          <w:tcPr/>
          <w:p>
            <w:pPr>
              <w:pStyle w:val="Compact"/>
              <w:jc w:val="left"/>
            </w:pPr>
            <w:r>
              <w:t xml:space="preserve">Lifecycle and immutable versioning</w:t>
            </w:r>
          </w:p>
        </w:tc>
        <w:tc>
          <w:tcPr/>
          <w:p>
            <w:pPr>
              <w:pStyle w:val="Compact"/>
              <w:jc w:val="left"/>
            </w:pPr>
            <w:r>
              <w:t xml:space="preserve">A</w:t>
            </w:r>
          </w:p>
        </w:tc>
        <w:tc>
          <w:tcPr/>
          <w:p>
            <w:pPr>
              <w:pStyle w:val="Compact"/>
              <w:jc w:val="left"/>
            </w:pPr>
            <w:r>
              <w:t xml:space="preserve">B</w:t>
            </w:r>
          </w:p>
        </w:tc>
        <w:tc>
          <w:tcPr/>
          <w:p>
            <w:pPr>
              <w:pStyle w:val="Compact"/>
              <w:jc w:val="left"/>
            </w:pPr>
            <w:r>
              <w:t xml:space="preserve">B</w:t>
            </w:r>
          </w:p>
        </w:tc>
        <w:tc>
          <w:tcPr/>
          <w:p>
            <w:pPr>
              <w:pStyle w:val="Compact"/>
              <w:jc w:val="left"/>
            </w:pPr>
            <w:r>
              <w:t xml:space="preserve">C</w:t>
            </w:r>
          </w:p>
        </w:tc>
        <w:tc>
          <w:tcPr/>
          <w:p>
            <w:pPr>
              <w:pStyle w:val="Compact"/>
              <w:jc w:val="left"/>
            </w:pPr>
            <w:r>
              <w:t xml:space="preserve">C</w:t>
            </w:r>
          </w:p>
        </w:tc>
        <w:tc>
          <w:tcPr/>
          <w:p>
            <w:pPr>
              <w:pStyle w:val="Compact"/>
              <w:jc w:val="left"/>
            </w:pPr>
            <w:r>
              <w:t xml:space="preserve">n/a</w:t>
            </w:r>
          </w:p>
        </w:tc>
        <w:tc>
          <w:tcPr/>
          <w:p>
            <w:pPr>
              <w:pStyle w:val="Compact"/>
              <w:jc w:val="left"/>
            </w:pPr>
            <w:r>
              <w:t xml:space="preserve">D</w:t>
            </w:r>
          </w:p>
        </w:tc>
      </w:tr>
      <w:tr>
        <w:tc>
          <w:tcPr/>
          <w:p>
            <w:pPr>
              <w:pStyle w:val="Compact"/>
              <w:jc w:val="left"/>
            </w:pPr>
            <w:r>
              <w:t xml:space="preserve">Internal vs per-market approval state</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D</w:t>
            </w:r>
          </w:p>
        </w:tc>
      </w:tr>
      <w:tr>
        <w:tc>
          <w:tcPr/>
          <w:p>
            <w:pPr>
              <w:pStyle w:val="Compact"/>
              <w:jc w:val="left"/>
            </w:pPr>
            <w:r>
              <w:t xml:space="preserve">Change/impact and CDS-origin traceability</w:t>
            </w:r>
          </w:p>
        </w:tc>
        <w:tc>
          <w:tcPr/>
          <w:p>
            <w:pPr>
              <w:pStyle w:val="Compact"/>
              <w:jc w:val="left"/>
            </w:pPr>
            <w:r>
              <w:t xml:space="preserve">B</w:t>
            </w:r>
          </w:p>
        </w:tc>
        <w:tc>
          <w:tcPr/>
          <w:p>
            <w:pPr>
              <w:pStyle w:val="Compact"/>
              <w:jc w:val="left"/>
            </w:pPr>
            <w:r>
              <w:t xml:space="preserve">A</w:t>
            </w:r>
          </w:p>
        </w:tc>
        <w:tc>
          <w:tcPr/>
          <w:p>
            <w:pPr>
              <w:pStyle w:val="Compact"/>
              <w:jc w:val="left"/>
            </w:pPr>
            <w:r>
              <w:t xml:space="preserve">B</w:t>
            </w:r>
          </w:p>
        </w:tc>
        <w:tc>
          <w:tcPr/>
          <w:p>
            <w:pPr>
              <w:pStyle w:val="Compact"/>
              <w:jc w:val="left"/>
            </w:pPr>
            <w:r>
              <w:t xml:space="preserve">B</w:t>
            </w:r>
          </w:p>
        </w:tc>
        <w:tc>
          <w:tcPr/>
          <w:p>
            <w:pPr>
              <w:pStyle w:val="Compact"/>
              <w:jc w:val="left"/>
            </w:pPr>
            <w:r>
              <w:t xml:space="preserve">D</w:t>
            </w:r>
          </w:p>
        </w:tc>
        <w:tc>
          <w:tcPr/>
          <w:p>
            <w:pPr>
              <w:pStyle w:val="Compact"/>
              <w:jc w:val="left"/>
            </w:pPr>
            <w:r>
              <w:t xml:space="preserve">n/a</w:t>
            </w:r>
          </w:p>
        </w:tc>
        <w:tc>
          <w:tcPr/>
          <w:p>
            <w:pPr>
              <w:pStyle w:val="Compact"/>
              <w:jc w:val="left"/>
            </w:pPr>
            <w:r>
              <w:t xml:space="preserve">D</w:t>
            </w:r>
          </w:p>
        </w:tc>
      </w:tr>
      <w:tr>
        <w:tc>
          <w:tcPr/>
          <w:p>
            <w:pPr>
              <w:pStyle w:val="Compact"/>
              <w:jc w:val="left"/>
            </w:pPr>
            <w:r>
              <w:t xml:space="preserve">Per-market conformance profiles as config</w:t>
            </w:r>
          </w:p>
        </w:tc>
        <w:tc>
          <w:tcPr/>
          <w:p>
            <w:pPr>
              <w:pStyle w:val="Compact"/>
              <w:jc w:val="left"/>
            </w:pPr>
            <w:r>
              <w:t xml:space="preserve">A</w:t>
            </w:r>
          </w:p>
        </w:tc>
        <w:tc>
          <w:tcPr/>
          <w:p>
            <w:pPr>
              <w:pStyle w:val="Compact"/>
              <w:jc w:val="left"/>
            </w:pPr>
            <w:r>
              <w:t xml:space="preserve">D</w:t>
            </w:r>
          </w:p>
        </w:tc>
        <w:tc>
          <w:tcPr/>
          <w:p>
            <w:pPr>
              <w:pStyle w:val="Compact"/>
              <w:jc w:val="left"/>
            </w:pPr>
            <w:r>
              <w:t xml:space="preserve">D</w:t>
            </w:r>
          </w:p>
        </w:tc>
        <w:tc>
          <w:tcPr/>
          <w:p>
            <w:pPr>
              <w:pStyle w:val="Compact"/>
              <w:jc w:val="left"/>
            </w:pPr>
            <w:r>
              <w:t xml:space="preserve">B</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Multilingual / translation management</w:t>
            </w:r>
          </w:p>
        </w:tc>
        <w:tc>
          <w:tcPr/>
          <w:p>
            <w:pPr>
              <w:pStyle w:val="Compact"/>
              <w:jc w:val="left"/>
            </w:pPr>
            <w:r>
              <w:t xml:space="preserve">B</w:t>
            </w:r>
          </w:p>
        </w:tc>
        <w:tc>
          <w:tcPr/>
          <w:p>
            <w:pPr>
              <w:pStyle w:val="Compact"/>
              <w:jc w:val="left"/>
            </w:pPr>
            <w:r>
              <w:t xml:space="preserve">D</w:t>
            </w:r>
          </w:p>
        </w:tc>
        <w:tc>
          <w:tcPr/>
          <w:p>
            <w:pPr>
              <w:pStyle w:val="Compact"/>
              <w:jc w:val="left"/>
            </w:pPr>
            <w:r>
              <w:t xml:space="preserve">D</w:t>
            </w:r>
          </w:p>
        </w:tc>
        <w:tc>
          <w:tcPr/>
          <w:p>
            <w:pPr>
              <w:pStyle w:val="Compact"/>
              <w:jc w:val="left"/>
            </w:pPr>
            <w:r>
              <w:t xml:space="preserve">B</w:t>
            </w:r>
          </w:p>
        </w:tc>
        <w:tc>
          <w:tcPr/>
          <w:p>
            <w:pPr>
              <w:pStyle w:val="Compact"/>
              <w:jc w:val="left"/>
            </w:pPr>
            <w:r>
              <w:t xml:space="preserve">A</w:t>
            </w:r>
          </w:p>
        </w:tc>
        <w:tc>
          <w:tcPr/>
          <w:p>
            <w:pPr>
              <w:pStyle w:val="Compact"/>
              <w:jc w:val="left"/>
            </w:pPr>
            <w:r>
              <w:t xml:space="preserve">C</w:t>
            </w:r>
          </w:p>
        </w:tc>
        <w:tc>
          <w:tcPr/>
          <w:p>
            <w:pPr>
              <w:pStyle w:val="Compact"/>
              <w:jc w:val="left"/>
            </w:pPr>
            <w:r>
              <w:t xml:space="preserve">D</w:t>
            </w:r>
          </w:p>
        </w:tc>
      </w:tr>
      <w:tr>
        <w:tc>
          <w:tcPr/>
          <w:p>
            <w:pPr>
              <w:pStyle w:val="Compact"/>
              <w:jc w:val="left"/>
            </w:pPr>
            <w:r>
              <w:t xml:space="preserve">Rendering FHIR to HTML and PDF</w:t>
            </w:r>
          </w:p>
        </w:tc>
        <w:tc>
          <w:tcPr/>
          <w:p>
            <w:pPr>
              <w:pStyle w:val="Compact"/>
              <w:jc w:val="left"/>
            </w:pPr>
            <w:r>
              <w:t xml:space="preserve">B</w:t>
            </w:r>
          </w:p>
        </w:tc>
        <w:tc>
          <w:tcPr/>
          <w:p>
            <w:pPr>
              <w:pStyle w:val="Compact"/>
              <w:jc w:val="left"/>
            </w:pPr>
            <w:r>
              <w:t xml:space="preserve">C</w:t>
            </w:r>
          </w:p>
        </w:tc>
        <w:tc>
          <w:tcPr/>
          <w:p>
            <w:pPr>
              <w:pStyle w:val="Compact"/>
              <w:jc w:val="left"/>
            </w:pPr>
            <w:r>
              <w:t xml:space="preserve">C</w:t>
            </w:r>
          </w:p>
        </w:tc>
        <w:tc>
          <w:tcPr/>
          <w:p>
            <w:pPr>
              <w:pStyle w:val="Compact"/>
              <w:jc w:val="left"/>
            </w:pPr>
            <w:r>
              <w:t xml:space="preserve">B</w:t>
            </w:r>
          </w:p>
        </w:tc>
        <w:tc>
          <w:tcPr/>
          <w:p>
            <w:pPr>
              <w:pStyle w:val="Compact"/>
              <w:jc w:val="left"/>
            </w:pPr>
            <w:r>
              <w:t xml:space="preserve">B</w:t>
            </w:r>
          </w:p>
        </w:tc>
        <w:tc>
          <w:tcPr/>
          <w:p>
            <w:pPr>
              <w:pStyle w:val="Compact"/>
              <w:jc w:val="left"/>
            </w:pPr>
            <w:r>
              <w:t xml:space="preserve">B</w:t>
            </w:r>
          </w:p>
        </w:tc>
        <w:tc>
          <w:tcPr/>
          <w:p>
            <w:pPr>
              <w:pStyle w:val="Compact"/>
              <w:jc w:val="left"/>
            </w:pPr>
            <w:r>
              <w:t xml:space="preserve">C</w:t>
            </w:r>
          </w:p>
        </w:tc>
      </w:tr>
      <w:tr>
        <w:tc>
          <w:tcPr/>
          <w:p>
            <w:pPr>
              <w:pStyle w:val="Compact"/>
              <w:jc w:val="left"/>
            </w:pPr>
            <w:r>
              <w:t xml:space="preserve">Multi-country regulator distribution</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C</w:t>
            </w:r>
          </w:p>
        </w:tc>
        <w:tc>
          <w:tcPr/>
          <w:p>
            <w:pPr>
              <w:pStyle w:val="Compact"/>
              <w:jc w:val="left"/>
            </w:pPr>
            <w:r>
              <w:t xml:space="preserve">D</w:t>
            </w:r>
          </w:p>
        </w:tc>
        <w:tc>
          <w:tcPr/>
          <w:p>
            <w:pPr>
              <w:pStyle w:val="Compact"/>
              <w:jc w:val="left"/>
            </w:pPr>
            <w:r>
              <w:t xml:space="preserve">A</w:t>
            </w:r>
          </w:p>
        </w:tc>
        <w:tc>
          <w:tcPr/>
          <w:p>
            <w:pPr>
              <w:pStyle w:val="Compact"/>
              <w:jc w:val="left"/>
            </w:pPr>
            <w:r>
              <w:t xml:space="preserve">D</w:t>
            </w:r>
          </w:p>
        </w:tc>
      </w:tr>
      <w:tr>
        <w:tc>
          <w:tcPr/>
          <w:p>
            <w:pPr>
              <w:pStyle w:val="Compact"/>
              <w:jc w:val="left"/>
            </w:pPr>
            <w:r>
              <w:t xml:space="preserve">Legacy migration at scale</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A</w:t>
            </w:r>
          </w:p>
        </w:tc>
        <w:tc>
          <w:tcPr/>
          <w:p>
            <w:pPr>
              <w:pStyle w:val="Compact"/>
              <w:jc w:val="left"/>
            </w:pPr>
            <w:r>
              <w:t xml:space="preserve">B</w:t>
            </w:r>
          </w:p>
        </w:tc>
        <w:tc>
          <w:tcPr/>
          <w:p>
            <w:pPr>
              <w:pStyle w:val="Compact"/>
              <w:jc w:val="left"/>
            </w:pPr>
            <w:r>
              <w:t xml:space="preserve">B</w:t>
            </w:r>
          </w:p>
        </w:tc>
        <w:tc>
          <w:tcPr/>
          <w:p>
            <w:pPr>
              <w:pStyle w:val="Compact"/>
              <w:jc w:val="left"/>
            </w:pPr>
            <w:r>
              <w:t xml:space="preserve">D</w:t>
            </w:r>
          </w:p>
        </w:tc>
      </w:tr>
      <w:tr>
        <w:tc>
          <w:tcPr/>
          <w:p>
            <w:pPr>
              <w:pStyle w:val="Compact"/>
              <w:jc w:val="left"/>
            </w:pPr>
            <w:r>
              <w:t xml:space="preserve">GxP validation package</w:t>
            </w:r>
          </w:p>
        </w:tc>
        <w:tc>
          <w:tcPr/>
          <w:p>
            <w:pPr>
              <w:pStyle w:val="Compact"/>
              <w:jc w:val="left"/>
            </w:pPr>
            <w:r>
              <w:t xml:space="preserve">C</w:t>
            </w:r>
          </w:p>
        </w:tc>
        <w:tc>
          <w:tcPr/>
          <w:p>
            <w:pPr>
              <w:pStyle w:val="Compact"/>
              <w:jc w:val="left"/>
            </w:pPr>
            <w:r>
              <w:t xml:space="preserve">A</w:t>
            </w:r>
          </w:p>
        </w:tc>
        <w:tc>
          <w:tcPr/>
          <w:p>
            <w:pPr>
              <w:pStyle w:val="Compact"/>
              <w:jc w:val="left"/>
            </w:pPr>
            <w:r>
              <w:t xml:space="preserve">A</w:t>
            </w:r>
          </w:p>
        </w:tc>
        <w:tc>
          <w:tcPr/>
          <w:p>
            <w:pPr>
              <w:pStyle w:val="Compact"/>
              <w:jc w:val="left"/>
            </w:pPr>
            <w:r>
              <w:t xml:space="preserve">B</w:t>
            </w:r>
          </w:p>
        </w:tc>
        <w:tc>
          <w:tcPr/>
          <w:p>
            <w:pPr>
              <w:pStyle w:val="Compact"/>
              <w:jc w:val="left"/>
            </w:pPr>
            <w:r>
              <w:t xml:space="preserve">B</w:t>
            </w:r>
          </w:p>
        </w:tc>
        <w:tc>
          <w:tcPr/>
          <w:p>
            <w:pPr>
              <w:pStyle w:val="Compact"/>
              <w:jc w:val="left"/>
            </w:pPr>
            <w:r>
              <w:t xml:space="preserve">A</w:t>
            </w:r>
          </w:p>
        </w:tc>
        <w:tc>
          <w:tcPr/>
          <w:p>
            <w:pPr>
              <w:pStyle w:val="Compact"/>
              <w:jc w:val="left"/>
            </w:pPr>
            <w:r>
              <w:t xml:space="preserve">D</w:t>
            </w:r>
          </w:p>
        </w:tc>
      </w:tr>
      <w:tr>
        <w:tc>
          <w:tcPr/>
          <w:p>
            <w:pPr>
              <w:pStyle w:val="Compact"/>
              <w:jc w:val="left"/>
            </w:pPr>
            <w:r>
              <w:t xml:space="preserve">AI assistance (drift, conversion, drafting)</w:t>
            </w:r>
          </w:p>
        </w:tc>
        <w:tc>
          <w:tcPr/>
          <w:p>
            <w:pPr>
              <w:pStyle w:val="Compact"/>
              <w:jc w:val="left"/>
            </w:pPr>
            <w:r>
              <w:t xml:space="preserve">D</w:t>
            </w:r>
          </w:p>
        </w:tc>
        <w:tc>
          <w:tcPr/>
          <w:p>
            <w:pPr>
              <w:pStyle w:val="Compact"/>
              <w:jc w:val="left"/>
            </w:pPr>
            <w:r>
              <w:t xml:space="preserve">C</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D</w:t>
            </w:r>
          </w:p>
        </w:tc>
        <w:tc>
          <w:tcPr/>
          <w:p>
            <w:pPr>
              <w:pStyle w:val="Compact"/>
              <w:jc w:val="left"/>
            </w:pPr>
            <w:r>
              <w:t xml:space="preserve">D</w:t>
            </w:r>
          </w:p>
        </w:tc>
      </w:tr>
      <w:tr>
        <w:tc>
          <w:tcPr/>
          <w:p>
            <w:pPr>
              <w:pStyle w:val="Compact"/>
              <w:jc w:val="left"/>
            </w:pPr>
            <w:r>
              <w:t xml:space="preserve">Artwork / pack reconciliation</w:t>
            </w:r>
          </w:p>
        </w:tc>
        <w:tc>
          <w:tcPr/>
          <w:p>
            <w:pPr>
              <w:pStyle w:val="Compact"/>
              <w:jc w:val="left"/>
            </w:pPr>
            <w:r>
              <w:t xml:space="preserve">n/a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r>
      <w:tr>
        <w:tc>
          <w:tcPr/>
          <w:p>
            <w:pPr>
              <w:pStyle w:val="Compact"/>
              <w:jc w:val="left"/>
            </w:pPr>
            <w:r>
              <w:t xml:space="preserve">Patient-facing delivery / focusing</w:t>
            </w:r>
          </w:p>
        </w:tc>
        <w:tc>
          <w:tcPr/>
          <w:p>
            <w:pPr>
              <w:pStyle w:val="Compact"/>
              <w:jc w:val="left"/>
            </w:pPr>
            <w:r>
              <w:t xml:space="preserve">n/a</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D</w:t>
            </w:r>
          </w:p>
        </w:tc>
        <w:tc>
          <w:tcPr/>
          <w:p>
            <w:pPr>
              <w:pStyle w:val="Compact"/>
              <w:jc w:val="left"/>
            </w:pPr>
            <w:r>
              <w:t xml:space="preserve">B</w:t>
            </w:r>
          </w:p>
        </w:tc>
        <w:tc>
          <w:tcPr/>
          <w:p>
            <w:pPr>
              <w:pStyle w:val="Compact"/>
              <w:jc w:val="left"/>
            </w:pPr>
            <w:r>
              <w:t xml:space="preserve">B</w:t>
            </w:r>
          </w:p>
        </w:tc>
      </w:tr>
    </w:tbl>
    <w:p>
      <w:pPr>
        <w:pStyle w:val="BodyText"/>
      </w:pPr>
      <w:r>
        <w:t xml:space="preserve">(i4i scores broadly at B for FHIR-native model, structured authoring and legacy migration, and C or D elsewhere; it is omitted above for width.)</w:t>
      </w:r>
    </w:p>
    <w:p>
      <w:pPr>
        <w:pStyle w:val="BodyText"/>
      </w:pPr>
      <w:r>
        <w:rPr>
          <w:bCs/>
          <w:b/>
        </w:rPr>
        <w:t xml:space="preserve">Where the specification genuinely leads:</w:t>
      </w:r>
      <w:r>
        <w:t xml:space="preserve"> </w:t>
      </w:r>
      <w:r>
        <w:t xml:space="preserve">FHIR-native single source of truth; separation of internal lifecycle state from per-market regulatory-approval state (ADR-005); pinned-by-default reusable-unit resolution (ADR-007); per-market conformance profiles and mappings as versioned, effective-dated configuration (#10); the explicit two-PDF-lineage separation; and the validatable-by-design posture.</w:t>
      </w:r>
    </w:p>
    <w:p>
      <w:pPr>
        <w:pStyle w:val="BodyText"/>
      </w:pPr>
      <w:r>
        <w:t xml:space="preserve">These are the correct bets. Every one addresses a documented market gap, and #10 in particular is the architecture that a fragmenting global landscape actually requires - EU FHIR R5 with SPOR, Jordan FHIR R5 without SPOR, Canada XML PM, US SPL v3, Japan PMDA, and everyone else on PDF and QR.</w:t>
      </w:r>
    </w:p>
    <w:p>
      <w:r>
        <w:pict>
          <v:rect style="width:0;height:1.5pt" o:hralign="center" o:hrstd="t" o:hr="t"/>
        </w:pict>
      </w:r>
    </w:p>
    <w:bookmarkEnd w:id="26"/>
    <w:bookmarkStart w:id="27" w:name="where-it-would-lose-and-what-to-change"/>
    <w:p>
      <w:pPr>
        <w:pStyle w:val="Heading1"/>
      </w:pPr>
      <w:r>
        <w:t xml:space="preserve">5. Where it would lose, and what to change</w:t>
      </w:r>
    </w:p>
    <w:p>
      <w:pPr>
        <w:pStyle w:val="FirstParagraph"/>
      </w:pPr>
      <w:r>
        <w:rPr>
          <w:bCs/>
          <w:b/>
        </w:rPr>
        <w:t xml:space="preserve">1. No AI anywhere in the specification.</w:t>
      </w:r>
      <w:r>
        <w:t xml:space="preserve"> </w:t>
      </w:r>
      <w:r>
        <w:t xml:space="preserve">Every serious competitor now leads with it: ArisGlobal NavaX, Glemser AI drift detection, Certara CoAuthor, RWS Tridion One. More importantly, legacy migration (#4) is where implementations die, and AI-assisted Word/PDF to structured conversion is now the market's answer (Glemser: 2-3 day turnaround, self-reported 98% right-first-time). A specification with a manual migration pipeline and no assisted authoring will read as dated in any 2027 evaluation.</w:t>
      </w:r>
    </w:p>
    <w:p>
      <w:pPr>
        <w:pStyle w:val="BodyText"/>
      </w:pPr>
      <w:r>
        <w:rPr>
          <w:iCs/>
          <w:i/>
        </w:rPr>
        <w:t xml:space="preserve">Action:</w:t>
      </w:r>
      <w:r>
        <w:t xml:space="preserve"> </w:t>
      </w:r>
      <w:r>
        <w:t xml:space="preserve">add AI-assisted conversion, drift detection and translation pre-fill as first-class capabilities with human-in-the-loop controls; design to draft EU GMP Annex 22 (AI) now.</w:t>
      </w:r>
    </w:p>
    <w:p>
      <w:pPr>
        <w:pStyle w:val="BodyText"/>
      </w:pPr>
      <w:r>
        <w:rPr>
          <w:bCs/>
          <w:b/>
        </w:rPr>
        <w:t xml:space="preserve">2. Capability #8 competes head-on with Veeva's strongest module.</w:t>
      </w:r>
      <w:r>
        <w:t xml:space="preserve"> </w:t>
      </w:r>
      <w:r>
        <w:t xml:space="preserve">D1 says RIM is integrated, not owned - but #8 (source-change intake, impact sets, variation tasks, propagation dashboards) substantially duplicates Vault RIM's labeling change control, where 19 of the top 20 biopharma already sit.</w:t>
      </w:r>
    </w:p>
    <w:p>
      <w:pPr>
        <w:pStyle w:val="BodyText"/>
      </w:pPr>
      <w:r>
        <w:rPr>
          <w:iCs/>
          <w:i/>
        </w:rPr>
        <w:t xml:space="preserve">Action:</w:t>
      </w:r>
      <w:r>
        <w:t xml:space="preserve"> </w:t>
      </w:r>
      <w:r>
        <w:t xml:space="preserve">decide explicitly whether #8 is the system of record for label change or a subscriber to RIM's. If the latter, the integration contract in #24 becomes the most commercially important interface in the platform.</w:t>
      </w:r>
    </w:p>
    <w:p>
      <w:pPr>
        <w:pStyle w:val="BodyText"/>
      </w:pPr>
      <w:r>
        <w:rPr>
          <w:bCs/>
          <w:b/>
        </w:rPr>
        <w:t xml:space="preserve">3. Distribution (#14) is under-scoped by an order of magnitude.</w:t>
      </w:r>
      <w:r>
        <w:t xml:space="preserve"> </w:t>
      </w:r>
      <w:r>
        <w:t xml:space="preserve">"Per-channel adapters for national regulator channels" is one line in D3 Section 6.2. PharmaLedger's 46-country repository integration is a multi-year, continuously maintained asset that a consortium funds collectively.</w:t>
      </w:r>
    </w:p>
    <w:p>
      <w:pPr>
        <w:pStyle w:val="BodyText"/>
      </w:pPr>
      <w:r>
        <w:rPr>
          <w:iCs/>
          <w:i/>
        </w:rPr>
        <w:t xml:space="preserve">Action:</w:t>
      </w:r>
      <w:r>
        <w:t xml:space="preserve"> </w:t>
      </w:r>
      <w:r>
        <w:t xml:space="preserve">treat distribution as build-versus-partner, and evaluate PharmaLedger/AstraLabel as the downstream channel rather than replicating it. Also add GS1 Digital Link and 2D-code resolution - the DataMatrix already on the pack under FMD is the actual global delivery mechanism (QR at 74.7%), and using it requires no artwork change.</w:t>
      </w:r>
    </w:p>
    <w:p>
      <w:pPr>
        <w:pStyle w:val="BodyText"/>
      </w:pPr>
      <w:r>
        <w:rPr>
          <w:bCs/>
          <w:b/>
        </w:rPr>
        <w:t xml:space="preserve">4. GxP validation of a self-operated polyglot open-source stack is the largest hidden TCO item.</w:t>
      </w:r>
      <w:r>
        <w:t xml:space="preserve"> </w:t>
      </w:r>
      <w:r>
        <w:t xml:space="preserve">HAPI, Snowstorm with Elasticsearch, Kafka, Keycloak, MinIO, OPA, Camunda, Gotenberg and OpenSearch each need supplier assessment, version control, patch qualification and requalification. Commercial vendors amortise this across hundreds of customers; a bespoke build carries 100% of it, permanently. FDA's final Computer Software Assurance guidance (24 September 2025) helps by legitimising risk-based unscripted testing, but draft EU Annex 11 (consultation closed October 2025, expanded from 5 to 19 pages) sharply raises expectations on security, identity and access management, and audit trails - exactly where a young platform is weakest.</w:t>
      </w:r>
    </w:p>
    <w:p>
      <w:pPr>
        <w:pStyle w:val="BodyText"/>
      </w:pPr>
      <w:r>
        <w:rPr>
          <w:iCs/>
          <w:i/>
        </w:rPr>
        <w:t xml:space="preserve">Action:</w:t>
      </w:r>
      <w:r>
        <w:t xml:space="preserve"> </w:t>
      </w:r>
      <w:r>
        <w:t xml:space="preserve">validate the ADR-001 open-source-first decision explicitly against a managed-service alternative on validation cost, not just licence cost; and design to draft Annex 11 rather than to 21 CFR Part 11 alone.</w:t>
      </w:r>
    </w:p>
    <w:p>
      <w:pPr>
        <w:pStyle w:val="BodyText"/>
      </w:pPr>
      <w:r>
        <w:rPr>
          <w:bCs/>
          <w:b/>
        </w:rPr>
        <w:t xml:space="preserve">5. R4 versus R5 is unresolved.</w:t>
      </w:r>
      <w:r>
        <w:t xml:space="preserve"> </w:t>
      </w:r>
      <w:r>
        <w:t xml:space="preserve">D1's standards register says "FHIR (R4/R5)". The ePI IG and the EMA EMRN IG are R5; EMA's PMS and IDMP APIs are R4, with R5 write not scheduled until approximately 2028. HAPI handles both, but the canonical model, the terminology bindings and the master-data integration (#5) cannot straddle this ambiguously.</w:t>
      </w:r>
    </w:p>
    <w:p>
      <w:pPr>
        <w:pStyle w:val="BodyText"/>
      </w:pPr>
      <w:r>
        <w:rPr>
          <w:iCs/>
          <w:i/>
        </w:rPr>
        <w:t xml:space="preserve">Action:</w:t>
      </w:r>
      <w:r>
        <w:t xml:space="preserve"> </w:t>
      </w:r>
      <w:r>
        <w:t xml:space="preserve">fix R5 as canonical with an R4 projection for SPOR and PMS integration, recorded as an ADR.</w:t>
      </w:r>
    </w:p>
    <w:p>
      <w:pPr>
        <w:pStyle w:val="BodyText"/>
      </w:pPr>
      <w:r>
        <w:rPr>
          <w:bCs/>
          <w:b/>
        </w:rPr>
        <w:t xml:space="preserve">6. Terminology centre of gravity is wrong.</w:t>
      </w:r>
      <w:r>
        <w:t xml:space="preserve"> </w:t>
      </w:r>
      <w:r>
        <w:t xml:space="preserve">ADR-006 anchors on Snowstorm (SNOMED CT). The binding terminology dependencies for ePI are EDQM Standard Terms, IDMP/SPOR (RMS, SMS, PMS, OMS), MedDRA, ATC and the EMA ePI value sets - none of which Snowstorm solves, several of which carry commercial licences and their own release cadences.</w:t>
      </w:r>
    </w:p>
    <w:p>
      <w:pPr>
        <w:pStyle w:val="BodyText"/>
      </w:pPr>
      <w:r>
        <w:rPr>
          <w:iCs/>
          <w:i/>
        </w:rPr>
        <w:t xml:space="preserve">Action:</w:t>
      </w:r>
      <w:r>
        <w:t xml:space="preserve"> </w:t>
      </w:r>
      <w:r>
        <w:t xml:space="preserve">reframe #6 around a value-set and ConceptMap management service with versioned imports; keep Snowstorm only if SNOMED is genuinely required.</w:t>
      </w:r>
    </w:p>
    <w:p>
      <w:pPr>
        <w:pStyle w:val="BodyText"/>
      </w:pPr>
      <w:r>
        <w:rPr>
          <w:bCs/>
          <w:b/>
        </w:rPr>
        <w:t xml:space="preserve">7. In-system translation management is ambitious against RWS, Acolad and mt-g.</w:t>
      </w:r>
      <w:r>
        <w:t xml:space="preserve"> </w:t>
      </w:r>
      <w:r>
        <w:t xml:space="preserve">CAP-LOC-002 specifies workflow, translation memory, termbase and linguistic review built in-house, with external TMS integration explicitly deferred (CAP-LOC-008, priority C). This is a large, mature commodity market.</w:t>
      </w:r>
    </w:p>
    <w:p>
      <w:pPr>
        <w:pStyle w:val="BodyText"/>
      </w:pPr>
      <w:r>
        <w:rPr>
          <w:iCs/>
          <w:i/>
        </w:rPr>
        <w:t xml:space="preserve">Action:</w:t>
      </w:r>
      <w:r>
        <w:t xml:space="preserve"> </w:t>
      </w:r>
      <w:r>
        <w:t xml:space="preserve">reverse the priority - make the TMS integration hook Must and the in-house translation memory Should. That said, structured section-level translation with staleness propagation (CAP-LOC-005) is a genuine differentiator that no vendor documents, and should be kept.</w:t>
      </w:r>
    </w:p>
    <w:p>
      <w:pPr>
        <w:pStyle w:val="BodyText"/>
      </w:pPr>
      <w:r>
        <w:rPr>
          <w:bCs/>
          <w:b/>
        </w:rPr>
        <w:t xml:space="preserve">8. Missing capabilities that competitors have and buyers will ask about:</w:t>
      </w:r>
      <w:r>
        <w:t xml:space="preserve"> </w:t>
      </w:r>
      <w:r>
        <w:t xml:space="preserve">an explicit label deviation register (global-core versus local variance with justification and periodic review - Veeva's model, and a standard Global Labeling Steering Committee artefact); drift detection (Glemser); pack-set, artwork and supply-chain cascade (Freyr); and parallel in-flight revision branching at section level (Glemser). Variants (#9) and versioning (#7) imply some of this but do not name it, and evaluations are scored against named capabilities.</w:t>
      </w:r>
    </w:p>
    <w:p>
      <w:pPr>
        <w:pStyle w:val="BodyText"/>
      </w:pPr>
      <w:r>
        <w:rPr>
          <w:bCs/>
          <w:b/>
        </w:rPr>
        <w:t xml:space="preserve">9. Market coverage in D1 Section 2.3 is EU, US, MHRA, Swissmedic and Health Canada.</w:t>
      </w:r>
      <w:r>
        <w:t xml:space="preserve"> </w:t>
      </w:r>
      <w:r>
        <w:t xml:space="preserve">The commercially interesting near-term markets are Jordan (the only live FHIR mandate), Japan (the only paperless one), Saudi Arabia and Brazil. Adding Jordan is nearly free given #10 and would be the platform's only opportunity to demonstrate live regulatory ePI before 2028.</w:t>
      </w:r>
    </w:p>
    <w:p>
      <w:r>
        <w:pict>
          <v:rect style="width:0;height:1.5pt" o:hralign="center" o:hrstd="t" o:hr="t"/>
        </w:pict>
      </w:r>
    </w:p>
    <w:bookmarkEnd w:id="27"/>
    <w:bookmarkStart w:id="28" w:name="open-source-competitors"/>
    <w:p>
      <w:pPr>
        <w:pStyle w:val="Heading1"/>
      </w:pPr>
      <w:r>
        <w:t xml:space="preserve">6. Open-source competitors</w:t>
      </w:r>
    </w:p>
    <w:p>
      <w:pPr>
        <w:pStyle w:val="FirstParagraph"/>
      </w:pPr>
      <w:r>
        <w:t xml:space="preserve">None is a competitor to the whole system. Collectively they supply roughly the least differentiated 30-40% - storage, conformance validation, identity, personalisation and rendering, and reference data - and none supplies authoring, lifecycle, localisation, submission or validation.</w:t>
      </w:r>
    </w:p>
    <w:tbl>
      <w:tblPr>
        <w:tblStyle w:val="Table"/>
        <w:tblW w:type="pct" w:w="5000"/>
        <w:tblLook w:firstRow="1" w:lastRow="0" w:firstColumn="0" w:lastColumn="0" w:noHBand="0" w:noVBand="0" w:val="0020"/>
        <w:jc w:val="start"/>
      </w:tblPr>
      <w:tblGrid>
        <w:gridCol w:w="1454"/>
        <w:gridCol w:w="1293"/>
        <w:gridCol w:w="2343"/>
        <w:gridCol w:w="2828"/>
      </w:tblGrid>
      <w:tr>
        <w:trPr>
          <w:tblHeader w:val="true"/>
        </w:trPr>
        <w:tc>
          <w:tcPr/>
          <w:p>
            <w:pPr>
              <w:pStyle w:val="Compact"/>
              <w:jc w:val="left"/>
            </w:pPr>
            <w:r>
              <w:t xml:space="preserve">Project</w:t>
            </w:r>
          </w:p>
        </w:tc>
        <w:tc>
          <w:tcPr/>
          <w:p>
            <w:pPr>
              <w:pStyle w:val="Compact"/>
              <w:jc w:val="left"/>
            </w:pPr>
            <w:r>
              <w:t xml:space="preserve">Licence</w:t>
            </w:r>
          </w:p>
        </w:tc>
        <w:tc>
          <w:tcPr/>
          <w:p>
            <w:pPr>
              <w:pStyle w:val="Compact"/>
              <w:jc w:val="left"/>
            </w:pPr>
            <w:r>
              <w:t xml:space="preserve">What it is</w:t>
            </w:r>
          </w:p>
        </w:tc>
        <w:tc>
          <w:tcPr/>
          <w:p>
            <w:pPr>
              <w:pStyle w:val="Compact"/>
              <w:jc w:val="left"/>
            </w:pPr>
            <w:r>
              <w:t xml:space="preserve">Relevance</w:t>
            </w:r>
          </w:p>
        </w:tc>
      </w:tr>
      <w:tr>
        <w:tc>
          <w:tcPr/>
          <w:p>
            <w:pPr>
              <w:pStyle w:val="Compact"/>
              <w:jc w:val="left"/>
            </w:pPr>
            <w:r>
              <w:t xml:space="preserve">Gravitate Health FOSPS</w:t>
            </w:r>
          </w:p>
        </w:tc>
        <w:tc>
          <w:tcPr/>
          <w:p>
            <w:pPr>
              <w:pStyle w:val="Compact"/>
              <w:jc w:val="left"/>
            </w:pPr>
            <w:r>
              <w:t xml:space="preserve">Apache-2.0</w:t>
            </w:r>
          </w:p>
        </w:tc>
        <w:tc>
          <w:tcPr/>
          <w:p>
            <w:pPr>
              <w:pStyle w:val="Compact"/>
              <w:jc w:val="left"/>
            </w:pPr>
            <w:r>
              <w:t xml:space="preserve">Approximately 72 repos: HAPI-based ePI and IPS servers, the $focus operation, focusing manager, preprocessors, lens execution environment (lenses as FHIR Library resources), Keycloak, Istio, Flutter app</w:t>
            </w:r>
          </w:p>
        </w:tc>
        <w:tc>
          <w:tcPr/>
          <w:p>
            <w:pPr>
              <w:pStyle w:val="Compact"/>
              <w:jc w:val="left"/>
            </w:pPr>
            <w:r>
              <w:t xml:space="preserve">The only credible open implementation of ePI personalisation. The IHI project closed in June 2026; custodianship passed to the Gravitate Center for Trusted Health Information (University of Oslo) with no published maintenance plan, no community and no confirmed production users. Research-grade. Deliberately out of scope in D1, which is correct - but the lens-as-Library pattern is worth adopting when the consumer-delivery system arrives.</w:t>
            </w:r>
          </w:p>
        </w:tc>
      </w:tr>
      <w:tr>
        <w:tc>
          <w:tcPr/>
          <w:p>
            <w:pPr>
              <w:pStyle w:val="Compact"/>
              <w:jc w:val="left"/>
            </w:pPr>
            <w:r>
              <w:t xml:space="preserve">PharmaLedger OpenDSU / epi-workspace</w:t>
            </w:r>
          </w:p>
        </w:tc>
        <w:tc>
          <w:tcPr/>
          <w:p>
            <w:pPr>
              <w:pStyle w:val="Compact"/>
              <w:jc w:val="left"/>
            </w:pPr>
            <w:r>
              <w:t xml:space="preserve">MIT</w:t>
            </w:r>
          </w:p>
        </w:tc>
        <w:tc>
          <w:tcPr/>
          <w:p>
            <w:pPr>
              <w:pStyle w:val="Compact"/>
              <w:jc w:val="left"/>
            </w:pPr>
            <w:r>
              <w:t xml:space="preserve">DSU and KeySSI encrypted content units anchored to a permissioned blockchain; GTIN and batch barcode resolves to the leaflet; peer-reviewed (Frontiers in Blockchain, 2023)</w:t>
            </w:r>
          </w:p>
        </w:tc>
        <w:tc>
          <w:tcPr/>
          <w:p>
            <w:pPr>
              <w:pStyle w:val="Compact"/>
              <w:jc w:val="left"/>
            </w:pPr>
            <w:r>
              <w:t xml:space="preserve">Self-hostable in principle, but the value is the operated network, not the code. High open-issue count relative to commit velocity.</w:t>
            </w:r>
          </w:p>
        </w:tc>
      </w:tr>
      <w:tr>
        <w:tc>
          <w:tcPr/>
          <w:p>
            <w:pPr>
              <w:pStyle w:val="Compact"/>
              <w:jc w:val="left"/>
            </w:pPr>
            <w:r>
              <w:t xml:space="preserve">HL7 IG toolchain (validator_cli, IG Publisher, SUSHI/FSH)</w:t>
            </w:r>
          </w:p>
        </w:tc>
        <w:tc>
          <w:tcPr/>
          <w:p>
            <w:pPr>
              <w:pStyle w:val="Compact"/>
              <w:jc w:val="left"/>
            </w:pPr>
            <w:r>
              <w:t xml:space="preserve">Apache-2.0 / CC0</w:t>
            </w:r>
          </w:p>
        </w:tc>
        <w:tc>
          <w:tcPr/>
          <w:p>
            <w:pPr>
              <w:pStyle w:val="Compact"/>
              <w:jc w:val="left"/>
            </w:pPr>
            <w:r>
              <w:t xml:space="preserve">Conformance validation against the ePI and EMRN packages</w:t>
            </w:r>
          </w:p>
        </w:tc>
        <w:tc>
          <w:tcPr/>
          <w:p>
            <w:pPr>
              <w:pStyle w:val="Compact"/>
              <w:jc w:val="left"/>
            </w:pPr>
            <w:r>
              <w:t xml:space="preserve">The single highest-value open asset. Free, mature and CI-runnable. Wire into the build from sprint one; it de-risks capability #11 immediately.</w:t>
            </w:r>
          </w:p>
        </w:tc>
      </w:tr>
      <w:tr>
        <w:tc>
          <w:tcPr/>
          <w:p>
            <w:pPr>
              <w:pStyle w:val="Compact"/>
              <w:jc w:val="left"/>
            </w:pPr>
            <w:r>
              <w:t xml:space="preserve">EU ePI Common Standard (EMA GitHub)</w:t>
            </w:r>
          </w:p>
        </w:tc>
        <w:tc>
          <w:tcPr/>
          <w:p>
            <w:pPr>
              <w:pStyle w:val="Compact"/>
              <w:jc w:val="left"/>
            </w:pPr>
            <w:r>
              <w:t xml:space="preserve">Copyright EMA, no OSI licence declared</w:t>
            </w:r>
          </w:p>
        </w:tc>
        <w:tc>
          <w:tcPr/>
          <w:p>
            <w:pPr>
              <w:pStyle w:val="Compact"/>
              <w:jc w:val="left"/>
            </w:pPr>
            <w:r>
              <w:t xml:space="preserve">FHIR XML template derived from QRD, sample messages, XML-to-HTML XSLT</w:t>
            </w:r>
          </w:p>
        </w:tc>
        <w:tc>
          <w:tcPr/>
          <w:p>
            <w:pPr>
              <w:pStyle w:val="Compact"/>
              <w:jc w:val="left"/>
            </w:pPr>
            <w:r>
              <w:t xml:space="preserve">Directly reusable for capability #13, subject to legal sign-off on reuse rights.</w:t>
            </w:r>
          </w:p>
        </w:tc>
      </w:tr>
      <w:tr>
        <w:tc>
          <w:tcPr/>
          <w:p>
            <w:pPr>
              <w:pStyle w:val="Compact"/>
              <w:jc w:val="left"/>
            </w:pPr>
            <w:r>
              <w:t xml:space="preserve">SPL Mapping IG XSL transforms</w:t>
            </w:r>
          </w:p>
        </w:tc>
        <w:tc>
          <w:tcPr/>
          <w:p>
            <w:pPr>
              <w:pStyle w:val="Compact"/>
              <w:jc w:val="left"/>
            </w:pPr>
            <w:r>
              <w:t xml:space="preserve">HL7</w:t>
            </w:r>
          </w:p>
        </w:tc>
        <w:tc>
          <w:tcPr/>
          <w:p>
            <w:pPr>
              <w:pStyle w:val="Compact"/>
              <w:jc w:val="left"/>
            </w:pPr>
            <w:r>
              <w:t xml:space="preserve">Bidirectional SPL and FHIR transforms</w:t>
            </w:r>
          </w:p>
        </w:tc>
        <w:tc>
          <w:tcPr/>
          <w:p>
            <w:pPr>
              <w:pStyle w:val="Compact"/>
              <w:jc w:val="left"/>
            </w:pPr>
            <w:r>
              <w:t xml:space="preserve">The only credible open SPL bridge; feeds CAP-REG-002.</w:t>
            </w:r>
          </w:p>
        </w:tc>
      </w:tr>
      <w:tr>
        <w:tc>
          <w:tcPr/>
          <w:p>
            <w:pPr>
              <w:pStyle w:val="Compact"/>
              <w:jc w:val="left"/>
            </w:pPr>
            <w:r>
              <w:t xml:space="preserve">HAPI FHIR</w:t>
            </w:r>
          </w:p>
        </w:tc>
        <w:tc>
          <w:tcPr/>
          <w:p>
            <w:pPr>
              <w:pStyle w:val="Compact"/>
              <w:jc w:val="left"/>
            </w:pPr>
            <w:r>
              <w:t xml:space="preserve">Apache-2.0</w:t>
            </w:r>
          </w:p>
        </w:tc>
        <w:tc>
          <w:tcPr/>
          <w:p>
            <w:pPr>
              <w:pStyle w:val="Compact"/>
              <w:jc w:val="left"/>
            </w:pPr>
            <w:r>
              <w:t xml:space="preserve">The chosen core (ADR-003)</w:t>
            </w:r>
          </w:p>
        </w:tc>
        <w:tc>
          <w:tcPr/>
          <w:p>
            <w:pPr>
              <w:pStyle w:val="Compact"/>
              <w:jc w:val="left"/>
            </w:pPr>
            <w:r>
              <w:t xml:space="preserve">Correct choice - it is what both Gravitate and the EMA ecosystem use. Commercial support and GxP-oriented distributions are available from Smile Digital Health, which is a cheap way to buy down part of the validation burden.</w:t>
            </w:r>
          </w:p>
        </w:tc>
      </w:tr>
      <w:tr>
        <w:tc>
          <w:tcPr/>
          <w:p>
            <w:pPr>
              <w:pStyle w:val="Compact"/>
              <w:jc w:val="left"/>
            </w:pPr>
            <w:r>
              <w:t xml:space="preserve">Medplum</w:t>
            </w:r>
          </w:p>
        </w:tc>
        <w:tc>
          <w:tcPr/>
          <w:p>
            <w:pPr>
              <w:pStyle w:val="Compact"/>
              <w:jc w:val="left"/>
            </w:pPr>
            <w:r>
              <w:t xml:space="preserve">Apache-2.0</w:t>
            </w:r>
          </w:p>
        </w:tc>
        <w:tc>
          <w:tcPr/>
          <w:p>
            <w:pPr>
              <w:pStyle w:val="Compact"/>
              <w:jc w:val="left"/>
            </w:pPr>
            <w:r>
              <w:t xml:space="preserve">Best developer experience of the open-source FHIR servers</w:t>
            </w:r>
          </w:p>
        </w:tc>
        <w:tc>
          <w:tcPr/>
          <w:p>
            <w:pPr>
              <w:pStyle w:val="Compact"/>
              <w:jc w:val="left"/>
            </w:pPr>
            <w:r>
              <w:t xml:space="preserve">R4 only - blocked by the R5 ePI IG.</w:t>
            </w:r>
          </w:p>
        </w:tc>
      </w:tr>
      <w:tr>
        <w:tc>
          <w:tcPr/>
          <w:p>
            <w:pPr>
              <w:pStyle w:val="Compact"/>
              <w:jc w:val="left"/>
            </w:pPr>
            <w:r>
              <w:t xml:space="preserve">Blaze / LinuxForHealth FHIR / Microsoft FHIR Server</w:t>
            </w:r>
          </w:p>
        </w:tc>
        <w:tc>
          <w:tcPr/>
          <w:p>
            <w:pPr>
              <w:pStyle w:val="Compact"/>
              <w:jc w:val="left"/>
            </w:pPr>
            <w:r>
              <w:t xml:space="preserve">Apache-2.0 / MIT</w:t>
            </w:r>
          </w:p>
        </w:tc>
        <w:tc>
          <w:tcPr/>
          <w:p>
            <w:pPr>
              <w:pStyle w:val="Compact"/>
              <w:jc w:val="left"/>
            </w:pPr>
            <w:r>
              <w:t xml:space="preserve">Alternatives</w:t>
            </w:r>
          </w:p>
        </w:tc>
        <w:tc>
          <w:tcPr/>
          <w:p>
            <w:pPr>
              <w:pStyle w:val="Compact"/>
              <w:jc w:val="left"/>
            </w:pPr>
            <w:r>
              <w:t xml:space="preserve">Blaze is analytics-oriented with no SMART support; LinuxForHealth has been effectively dormant since 2024; Microsoft's is active but its CosmosDB provider sunsets in September 2026.</w:t>
            </w:r>
          </w:p>
        </w:tc>
      </w:tr>
      <w:tr>
        <w:tc>
          <w:tcPr/>
          <w:p>
            <w:pPr>
              <w:pStyle w:val="Compact"/>
              <w:jc w:val="left"/>
            </w:pPr>
            <w:r>
              <w:t xml:space="preserve">Snowstorm / Ontoserver / DITA-OT / openFDA</w:t>
            </w:r>
          </w:p>
        </w:tc>
        <w:tc>
          <w:tcPr/>
          <w:p>
            <w:pPr>
              <w:pStyle w:val="Compact"/>
              <w:jc w:val="left"/>
            </w:pPr>
            <w:r>
              <w:t xml:space="preserve">Apache-2.0 / commercial / Apache-2.0 / public</w:t>
            </w:r>
          </w:p>
        </w:tc>
        <w:tc>
          <w:tcPr/>
          <w:p>
            <w:pPr>
              <w:pStyle w:val="Compact"/>
              <w:jc w:val="left"/>
            </w:pPr>
            <w:r>
              <w:t xml:space="preserve">Terminology, publishing, reference label corpus</w:t>
            </w:r>
          </w:p>
        </w:tc>
        <w:tc>
          <w:tcPr/>
          <w:p>
            <w:pPr>
              <w:pStyle w:val="Compact"/>
              <w:jc w:val="left"/>
            </w:pPr>
            <w:r>
              <w:t xml:space="preserve">openFDA and DailyMed are free, high-volume corpora - useful for migration regression testing and drift benchmarking.</w:t>
            </w:r>
          </w:p>
        </w:tc>
      </w:tr>
    </w:tbl>
    <w:p>
      <w:pPr>
        <w:pStyle w:val="BodyText"/>
      </w:pPr>
      <w:r>
        <w:rPr>
          <w:bCs/>
          <w:b/>
        </w:rPr>
        <w:t xml:space="preserve">Realistic open-source-only substitute:</w:t>
      </w:r>
      <w:r>
        <w:t xml:space="preserve"> </w:t>
      </w:r>
      <w:r>
        <w:t xml:space="preserve">HAPI plus the HL7 validator toolchain plus Keycloak plus the EMA XSLT plus Gravitate focusing, forked and owned. That yields a repository with conformance checking and a viewer - roughly capability #2, #11, part of #13, and #15. It does not yield authoring, lifecycle, change, localisation, compliance checking, publishing or a validation package. The build estimate is essentially unchanged.</w:t>
      </w:r>
    </w:p>
    <w:p>
      <w:r>
        <w:pict>
          <v:rect style="width:0;height:1.5pt" o:hralign="center" o:hrstd="t" o:hr="t"/>
        </w:pict>
      </w:r>
    </w:p>
    <w:bookmarkEnd w:id="28"/>
    <w:bookmarkStart w:id="29" w:name="recommendations"/>
    <w:p>
      <w:pPr>
        <w:pStyle w:val="Heading1"/>
      </w:pPr>
      <w:r>
        <w:t xml:space="preserve">7. Recommendations</w:t>
      </w:r>
    </w:p>
    <w:p>
      <w:pPr>
        <w:numPr>
          <w:ilvl w:val="0"/>
          <w:numId w:val="1002"/>
        </w:numPr>
        <w:pStyle w:val="Compact"/>
      </w:pPr>
      <w:r>
        <w:rPr>
          <w:bCs/>
          <w:b/>
        </w:rPr>
        <w:t xml:space="preserve">Reposition the value proposition around 2026-27 forcing functions</w:t>
      </w:r>
      <w:r>
        <w:t xml:space="preserve"> </w:t>
      </w:r>
      <w:r>
        <w:t xml:space="preserve">(eAF September 2026, eCTD 4.0, IDMP/PMS enrichment) with ePI as the strategic layer - not around an ePI mandate that does not yet exist.</w:t>
      </w:r>
    </w:p>
    <w:p>
      <w:pPr>
        <w:numPr>
          <w:ilvl w:val="0"/>
          <w:numId w:val="1002"/>
        </w:numPr>
        <w:pStyle w:val="Compact"/>
      </w:pPr>
      <w:r>
        <w:rPr>
          <w:bCs/>
          <w:b/>
        </w:rPr>
        <w:t xml:space="preserve">Decide the Veeva boundary explicitly.</w:t>
      </w:r>
      <w:r>
        <w:t xml:space="preserve"> </w:t>
      </w:r>
      <w:r>
        <w:t xml:space="preserve">Own the structured content and ePI production; subscribe to RIM for change control unless there is a deliberate decision to displace it. Make #24's RIM contract a first-class design artefact.</w:t>
      </w:r>
    </w:p>
    <w:p>
      <w:pPr>
        <w:numPr>
          <w:ilvl w:val="0"/>
          <w:numId w:val="1002"/>
        </w:numPr>
        <w:pStyle w:val="Compact"/>
      </w:pPr>
      <w:r>
        <w:rPr>
          <w:bCs/>
          <w:b/>
        </w:rPr>
        <w:t xml:space="preserve">Add AI-assisted migration, drift detection and translation pre-fill</w:t>
      </w:r>
      <w:r>
        <w:t xml:space="preserve"> </w:t>
      </w:r>
      <w:r>
        <w:t xml:space="preserve">as specified capabilities, designed to draft Annex 22.</w:t>
      </w:r>
    </w:p>
    <w:p>
      <w:pPr>
        <w:numPr>
          <w:ilvl w:val="0"/>
          <w:numId w:val="1002"/>
        </w:numPr>
        <w:pStyle w:val="Compact"/>
      </w:pPr>
      <w:r>
        <w:rPr>
          <w:bCs/>
          <w:b/>
        </w:rPr>
        <w:t xml:space="preserve">Treat distribution as partner-first.</w:t>
      </w:r>
      <w:r>
        <w:t xml:space="preserve"> </w:t>
      </w:r>
      <w:r>
        <w:t xml:space="preserve">Evaluate PharmaLedger/AstraLabel for #14; add GS1 Digital Link resolution.</w:t>
      </w:r>
    </w:p>
    <w:p>
      <w:pPr>
        <w:numPr>
          <w:ilvl w:val="0"/>
          <w:numId w:val="1002"/>
        </w:numPr>
        <w:pStyle w:val="Compact"/>
      </w:pPr>
      <w:r>
        <w:rPr>
          <w:bCs/>
          <w:b/>
        </w:rPr>
        <w:t xml:space="preserve">Fix R5 as canonical</w:t>
      </w:r>
      <w:r>
        <w:t xml:space="preserve"> </w:t>
      </w:r>
      <w:r>
        <w:t xml:space="preserve">(as an ADR) with an R4 projection for SPOR and PMS.</w:t>
      </w:r>
    </w:p>
    <w:p>
      <w:pPr>
        <w:numPr>
          <w:ilvl w:val="0"/>
          <w:numId w:val="1002"/>
        </w:numPr>
        <w:pStyle w:val="Compact"/>
      </w:pPr>
      <w:r>
        <w:rPr>
          <w:bCs/>
          <w:b/>
        </w:rPr>
        <w:t xml:space="preserve">Re-centre #6 on EDQM, IDMP and MedDRA value-set management</w:t>
      </w:r>
      <w:r>
        <w:t xml:space="preserve">, not SNOMED.</w:t>
      </w:r>
    </w:p>
    <w:p>
      <w:pPr>
        <w:numPr>
          <w:ilvl w:val="0"/>
          <w:numId w:val="1002"/>
        </w:numPr>
        <w:pStyle w:val="Compact"/>
      </w:pPr>
      <w:r>
        <w:rPr>
          <w:bCs/>
          <w:b/>
        </w:rPr>
        <w:t xml:space="preserve">Reverse the TMS priority</w:t>
      </w:r>
      <w:r>
        <w:t xml:space="preserve"> </w:t>
      </w:r>
      <w:r>
        <w:t xml:space="preserve">in CAP-LOC-008; keep section-level staleness propagation as the differentiator.</w:t>
      </w:r>
    </w:p>
    <w:p>
      <w:pPr>
        <w:numPr>
          <w:ilvl w:val="0"/>
          <w:numId w:val="1002"/>
        </w:numPr>
        <w:pStyle w:val="Compact"/>
      </w:pPr>
      <w:r>
        <w:rPr>
          <w:bCs/>
          <w:b/>
        </w:rPr>
        <w:t xml:space="preserve">Add Jordan to the market list</w:t>
      </w:r>
      <w:r>
        <w:t xml:space="preserve"> </w:t>
      </w:r>
      <w:r>
        <w:t xml:space="preserve">- the only route to a live regulatory FHIR ePI reference before 2028.</w:t>
      </w:r>
    </w:p>
    <w:p>
      <w:pPr>
        <w:numPr>
          <w:ilvl w:val="0"/>
          <w:numId w:val="1002"/>
        </w:numPr>
        <w:pStyle w:val="Compact"/>
      </w:pPr>
      <w:r>
        <w:rPr>
          <w:bCs/>
          <w:b/>
        </w:rPr>
        <w:t xml:space="preserve">Cost the validation burden of the self-operated open-source stack explicitly</w:t>
      </w:r>
      <w:r>
        <w:t xml:space="preserve"> </w:t>
      </w:r>
      <w:r>
        <w:t xml:space="preserve">and compare against managed alternatives before ADR-001 is frozen.</w:t>
      </w:r>
    </w:p>
    <w:p>
      <w:pPr>
        <w:numPr>
          <w:ilvl w:val="0"/>
          <w:numId w:val="1002"/>
        </w:numPr>
        <w:pStyle w:val="Compact"/>
      </w:pPr>
      <w:r>
        <w:rPr>
          <w:bCs/>
          <w:b/>
        </w:rPr>
        <w:t xml:space="preserve">Name a deviation register and drift detection</w:t>
      </w:r>
      <w:r>
        <w:t xml:space="preserve"> </w:t>
      </w:r>
      <w:r>
        <w:t xml:space="preserve">in the capability map so that evaluations score them.</w:t>
      </w:r>
    </w:p>
    <w:p>
      <w:r>
        <w:pict>
          <v:rect style="width:0;height:1.5pt" o:hralign="center" o:hrstd="t" o:hr="t"/>
        </w:pict>
      </w:r>
    </w:p>
    <w:bookmarkEnd w:id="29"/>
    <w:bookmarkStart w:id="30" w:name="unverified-items-to-close"/>
    <w:p>
      <w:pPr>
        <w:pStyle w:val="Heading1"/>
      </w:pPr>
      <w:r>
        <w:t xml:space="preserve">8. Unverified items to close</w:t>
      </w:r>
    </w:p>
    <w:p>
      <w:pPr>
        <w:numPr>
          <w:ilvl w:val="0"/>
          <w:numId w:val="1003"/>
        </w:numPr>
        <w:pStyle w:val="Compact"/>
      </w:pPr>
      <w:r>
        <w:rPr>
          <w:bCs/>
          <w:b/>
        </w:rPr>
        <w:t xml:space="preserve">Article 63 wording</w:t>
      </w:r>
      <w:r>
        <w:t xml:space="preserve"> </w:t>
      </w:r>
      <w:r>
        <w:t xml:space="preserve">of the new EU Directive (paper, electronic or both; Member State discretion; right to a free printed copy) - only a secondary blog source was found. Highest priority to verify: it is the most commercially load-bearing provision in the file.</w:t>
      </w:r>
    </w:p>
    <w:p>
      <w:pPr>
        <w:numPr>
          <w:ilvl w:val="0"/>
          <w:numId w:val="1003"/>
        </w:numPr>
        <w:pStyle w:val="Compact"/>
      </w:pPr>
      <w:r>
        <w:t xml:space="preserve">Whether the final EMA ePI roadmap (following the June 2026 NCA workshop) has been published.</w:t>
      </w:r>
    </w:p>
    <w:p>
      <w:pPr>
        <w:numPr>
          <w:ilvl w:val="0"/>
          <w:numId w:val="1003"/>
        </w:numPr>
        <w:pStyle w:val="Compact"/>
      </w:pPr>
      <w:r>
        <w:t xml:space="preserve">Whether Veeva has any non-public ePI or FHIR roadmap commitment.</w:t>
      </w:r>
    </w:p>
    <w:p>
      <w:pPr>
        <w:numPr>
          <w:ilvl w:val="0"/>
          <w:numId w:val="1003"/>
        </w:numPr>
        <w:pStyle w:val="Compact"/>
      </w:pPr>
      <w:r>
        <w:t xml:space="preserve">Glemser's underlying platform architecture, customers and pricing; RWS Tridion One GA status and pharma customers; Freyr LABEL 360 ePI support, deployment model and pricing.</w:t>
      </w:r>
    </w:p>
    <w:p>
      <w:pPr>
        <w:numPr>
          <w:ilvl w:val="0"/>
          <w:numId w:val="1003"/>
        </w:numPr>
        <w:pStyle w:val="Compact"/>
      </w:pPr>
      <w:r>
        <w:t xml:space="preserve">Any named, verifiable FHIR ePI production deployment at an enterprise MAH. None was found. The only concretely verifiable production FHIR ePI endpoint is Datapharm's emc, which is a national publisher rather than an MAH system.</w:t>
      </w:r>
    </w:p>
    <w:p>
      <w:pPr>
        <w:numPr>
          <w:ilvl w:val="0"/>
          <w:numId w:val="1003"/>
        </w:numPr>
        <w:pStyle w:val="Compact"/>
      </w:pPr>
      <w:r>
        <w:t xml:space="preserve">PharmaLedger's 46-country and 29-language reach and its GxP validation package - vendor self-reported, with no independent corroboration and no named MAH customer.</w:t>
      </w:r>
    </w:p>
    <w:p>
      <w:pPr>
        <w:numPr>
          <w:ilvl w:val="0"/>
          <w:numId w:val="1003"/>
        </w:numPr>
        <w:pStyle w:val="Compact"/>
      </w:pPr>
      <w:r>
        <w:t xml:space="preserve">SFDA and UAE ePI programmes beyond searchable-text e-labelling; ANVISA RDC 885 dates and scope; Swissmedic position on omitting printed leaflets.</w:t>
      </w:r>
    </w:p>
    <w:p>
      <w:pPr>
        <w:numPr>
          <w:ilvl w:val="0"/>
          <w:numId w:val="1003"/>
        </w:numPr>
        <w:pStyle w:val="Compact"/>
      </w:pPr>
      <w:r>
        <w:t xml:space="preserve">MAH and product counts (obtainable only by downloading and counting the EMA Article 57 public dataset); procurement cycle lengths and deal sizes (no public data; Gens &amp; Associates World Class RIM is the benchmark and is paywalled at USD 7,500).</w:t>
      </w:r>
    </w:p>
    <w:p>
      <w:r>
        <w:pict>
          <v:rect style="width:0;height:1.5pt" o:hralign="center" o:hrstd="t" o:hr="t"/>
        </w:pict>
      </w:r>
    </w:p>
    <w:p>
      <w:pPr>
        <w:pStyle w:val="FirstParagraph"/>
      </w:pPr>
      <w:r>
        <w:rPr>
          <w:iCs/>
          <w:i/>
        </w:rPr>
        <w:t xml:space="preserve">End of D4 v0.1.</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D4 - Competitive &amp; Market Assessment</dc:title>
  <dc:creator/>
  <cp:keywords/>
  <dcterms:created xsi:type="dcterms:W3CDTF">2026-08-14T14:09:02Z</dcterms:created>
  <dcterms:modified xsi:type="dcterms:W3CDTF">2026-08-14T14:09:02Z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v0.1 - 14 August 2026</vt:lpwstr>
  </property>
  <property fmtid="{D5CDD505-2E9C-101B-9397-08002B2CF9AE}" pid="3" name="subtitle">
    <vt:lpwstr>FHIR ePI Enterprise System (D1-D3 as specified)</vt:lpwstr>
  </property>
</Properties>
</file>