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Times New Roman" w:hAnsi="Times New Roman" w:cs="Times New Roman" w:eastAsia="Times New Roman"/>
          <w:b/>
          <w:i w:val="0"/>
          <w:color w:val="000000"/>
          <w:sz w:val="26"/>
        </w:rPr>
        <w:t>PHỤ LỤC IIIa</w:t>
      </w:r>
    </w:p>
    <w:p>
      <w:pPr>
        <w:spacing w:before="0" w:after="60" w:line="240" w:lineRule="auto"/>
        <w:jc w:val="center"/>
      </w:pPr>
      <w:r>
        <w:rPr>
          <w:rFonts w:ascii="Times New Roman" w:hAnsi="Times New Roman" w:cs="Times New Roman" w:eastAsia="Times New Roman"/>
          <w:b w:val="0"/>
          <w:i/>
          <w:color w:val="000000"/>
          <w:sz w:val="24"/>
        </w:rPr>
        <w:t>(Kèm theo Công văn số             /BGDĐT-GDPT ngày       tháng 10 năm 2026 của Bộ Giáo dục và Đào tạo)</w:t>
      </w:r>
    </w:p>
    <w:p>
      <w:pPr>
        <w:spacing w:before="0" w:after="80" w:line="240" w:lineRule="auto"/>
        <w:jc w:val="center"/>
      </w:pPr>
      <w:r>
        <w:rPr>
          <w:rFonts w:ascii="Times New Roman" w:hAnsi="Times New Roman" w:cs="Times New Roman" w:eastAsia="Times New Roman"/>
          <w:b/>
          <w:i w:val="0"/>
          <w:color w:val="000000"/>
          <w:sz w:val="28"/>
        </w:rPr>
        <w:t>BÁO CÁO KẾT QUẢ THỰC HIỆN DỰ ÁN DỰ THI (IIIa)</w:t>
      </w:r>
    </w:p>
    <w:p>
      <w:pPr>
        <w:spacing w:before="0" w:after="80" w:line="240" w:lineRule="auto"/>
        <w:jc w:val="center"/>
      </w:pPr>
      <w:r>
        <w:rPr>
          <w:rFonts w:ascii="Times New Roman" w:hAnsi="Times New Roman" w:cs="Times New Roman" w:eastAsia="Times New Roman"/>
          <w:b/>
          <w:i w:val="0"/>
          <w:color w:val="000000"/>
          <w:sz w:val="24"/>
        </w:rPr>
        <w:t>DÀNH CHO DỰ ÁN KỸ THUẬT / HỆ THỐNG PHẦN MỀM</w:t>
      </w:r>
    </w:p>
    <w:p>
      <w:pPr>
        <w:spacing w:before="0" w:after="240" w:line="240" w:lineRule="auto"/>
        <w:jc w:val="center"/>
      </w:pPr>
      <w:r>
        <w:rPr>
          <w:rFonts w:ascii="Times New Roman" w:hAnsi="Times New Roman" w:cs="Times New Roman" w:eastAsia="Times New Roman"/>
          <w:b w:val="0"/>
          <w:i/>
          <w:color w:val="000000"/>
          <w:sz w:val="22"/>
        </w:rPr>
        <w:t>(Không ghi tên cơ sở giáo dục phổ thông nơi học sinh dự thi đang học, đơn vị dự thi, tên học sinh hoặc chèn biểu trưng hay logo; KHÔNG quá 15 trang kể cả phụ lục, tài liệu tham khảo)</w:t>
      </w:r>
    </w:p>
    <w:p>
      <w:pPr>
        <w:spacing w:before="0" w:after="80" w:line="240" w:lineRule="auto"/>
        <w:jc w:val="both"/>
      </w:pPr>
      <w:r>
        <w:rPr>
          <w:rFonts w:ascii="Times New Roman" w:hAnsi="Times New Roman" w:cs="Times New Roman" w:eastAsia="Times New Roman"/>
          <w:b/>
          <w:i w:val="0"/>
          <w:color w:val="000000"/>
          <w:sz w:val="26"/>
        </w:rPr>
        <w:t>TÊN DỰ ÁN: HỆ THỐNG QUẢN LÝ ĐIỂM SỐ, PHÂN TÍCH NĂNG LỰC ĐA MÔN VÀ CẢNH BÁO SỚM HỌC TẬP THEO CHUẨN THÔNG TƯ 22 DÀNH CHO CẤP THCS</w:t>
      </w:r>
    </w:p>
    <w:p>
      <w:pPr>
        <w:spacing w:before="0" w:after="240" w:line="240" w:lineRule="auto"/>
        <w:jc w:val="both"/>
      </w:pPr>
      <w:r>
        <w:rPr>
          <w:rFonts w:ascii="Times New Roman" w:hAnsi="Times New Roman" w:cs="Times New Roman" w:eastAsia="Times New Roman"/>
          <w:b/>
          <w:i w:val="0"/>
          <w:color w:val="000000"/>
          <w:sz w:val="26"/>
        </w:rPr>
        <w:t>LĨNH VỰC DỰ THI: HỆ THỐNG PHẦN MỀM (SYSTEMS SOFTWARE)</w:t>
      </w:r>
    </w:p>
    <w:p>
      <w:pPr>
        <w:spacing w:before="0" w:after="120" w:line="240" w:lineRule="auto"/>
        <w:jc w:val="both"/>
      </w:pPr>
      <w:r>
        <w:rPr>
          <w:rFonts w:ascii="Times New Roman" w:hAnsi="Times New Roman" w:cs="Times New Roman" w:eastAsia="Times New Roman"/>
          <w:b/>
          <w:i w:val="0"/>
          <w:color w:val="000000"/>
          <w:sz w:val="26"/>
        </w:rPr>
        <w:t>1. VẤN ĐỀ NGHIÊN CỨU HOẶC CẦN GIẢI QUYẾT</w:t>
      </w:r>
    </w:p>
    <w:p>
      <w:pPr>
        <w:spacing w:before="0" w:after="60" w:line="240" w:lineRule="auto"/>
        <w:jc w:val="both"/>
      </w:pPr>
      <w:r>
        <w:rPr>
          <w:rFonts w:ascii="Times New Roman" w:hAnsi="Times New Roman" w:cs="Times New Roman" w:eastAsia="Times New Roman"/>
          <w:b/>
          <w:i w:val="0"/>
          <w:color w:val="000000"/>
          <w:sz w:val="24"/>
        </w:rPr>
        <w:t>1.1. Đòi hỏi của thực tế và sự cấp thiết:</w:t>
      </w:r>
    </w:p>
    <w:p>
      <w:pPr>
        <w:spacing w:before="0" w:after="60" w:line="240" w:lineRule="auto"/>
        <w:jc w:val="both"/>
      </w:pPr>
      <w:r>
        <w:rPr>
          <w:rFonts w:ascii="Times New Roman" w:hAnsi="Times New Roman" w:cs="Times New Roman" w:eastAsia="Times New Roman"/>
          <w:b w:val="0"/>
          <w:i w:val="0"/>
          <w:color w:val="000000"/>
          <w:sz w:val="24"/>
        </w:rPr>
        <w:t>Chương trình Giáo dục phổ thông 2018 và Thông tư số 22/2021/TT-BGDĐT đã tạo ra bước chuyển biến căn bản trong công tác kiểm tra, đánh giá học sinh cấp THCS. Việc đánh giá kết hợp giữa nhận xét và điểm số với cơ cấu điểm thành phần đa dạng (Điểm thường xuyên hệ số 1, Giữa kỳ hệ số 2, Cuối kỳ hệ số 3) đòi hỏi khối lượng tính toán rất lớn. Thực tế tại các nhà trường hiện nay cho thấy:</w:t>
      </w:r>
    </w:p>
    <w:p>
      <w:pPr>
        <w:spacing w:before="0" w:after="120" w:line="240" w:lineRule="auto"/>
        <w:jc w:val="both"/>
      </w:pPr>
      <w:r>
        <w:rPr>
          <w:rFonts w:ascii="Times New Roman" w:hAnsi="Times New Roman" w:cs="Times New Roman" w:eastAsia="Times New Roman"/>
          <w:b w:val="0"/>
          <w:i w:val="0"/>
          <w:color w:val="000000"/>
          <w:sz w:val="24"/>
        </w:rPr>
        <w:t>• Thứ nhất, các phần mềm quản lý điểm hiện có (VnEdu, SMAS) chủ yếu phục vụ mục đích hành chính, lưu trữ điểm thụ động vào cuối kỳ. Chưa có công cụ chuyên sâu giúp giáo viên nhận diện sớm học sinh có xu hướng sa sút trong suốt quá trình học tập để can thiệp kịp thời.</w:t>
        <w:br/>
        <w:t>• Thứ hai, quy tắc xếp loại học lực của Thông tư 22 (mức Tốt, Khá, Đạt, Chưa đạt) có nhiều điều kiện khống chế chéo giữa các môn. Học sinh và phụ huynh thường lúng túng, không biết cần phấn đấu đạt bao nhiêu điểm trong bài thi Cuối kỳ để đạt được mục tiêu học tập mong muốn.</w:t>
        <w:br/>
        <w:t>• Thứ ba, vấn đề an toàn dữ liệu học sinh: nhiều công cụ hỗ trợ tự phát tải dữ liệu điểm lên các đám mây công cộng tiềm ẩn nguy cơ lộ lọt thông tin cá nhân của học sinh.</w:t>
      </w:r>
    </w:p>
    <w:p>
      <w:pPr>
        <w:spacing w:before="0" w:after="60" w:line="240" w:lineRule="auto"/>
        <w:jc w:val="both"/>
      </w:pPr>
      <w:r>
        <w:rPr>
          <w:rFonts w:ascii="Times New Roman" w:hAnsi="Times New Roman" w:cs="Times New Roman" w:eastAsia="Times New Roman"/>
          <w:b/>
          <w:i w:val="0"/>
          <w:color w:val="000000"/>
          <w:sz w:val="24"/>
        </w:rPr>
        <w:t>1.2. Xác định các tiêu chí cho giải pháp giải quyết vấn đề:</w:t>
      </w:r>
    </w:p>
    <w:p>
      <w:pPr>
        <w:spacing w:before="0" w:after="240" w:line="240" w:lineRule="auto"/>
        <w:jc w:val="both"/>
      </w:pPr>
      <w:r>
        <w:rPr>
          <w:rFonts w:ascii="Times New Roman" w:hAnsi="Times New Roman" w:cs="Times New Roman" w:eastAsia="Times New Roman"/>
          <w:b w:val="0"/>
          <w:i w:val="0"/>
          <w:color w:val="000000"/>
          <w:sz w:val="24"/>
        </w:rPr>
        <w:t>Để giải quyết triệt để các tồn tại trên, nhóm nghiên cứu đã xác định các tiêu chí kỹ thuật bắt buộc cho sản phẩm:</w:t>
        <w:br/>
        <w:t>1. Tiêu chí chính xác &amp; tuân thủ pháp lý: Tính toán điểm trung bình môn và xếp loại học lực khớp 100% quy định Thông tư 22/2021/TT-BGDĐT; xử lý đúng các trường hợp biên (học sinh đầu năm chưa có điểm thi, học sinh khuyết điểm).</w:t>
        <w:br/>
        <w:t>2. Tiêu chí sư phạm dự báo: Đo lường khách quan tốc độ tiến bộ/sa sút bằng công thức toán học minh bạch; giải ngược chính xác điểm thi Cuối kỳ tối thiểu cần đạt.</w:t>
        <w:br/>
        <w:t>3. Tiêu chí trải nghiệm người dùng: Giao diện trực quan trên điện thoại thông minh; hiển thị 2 bóng màu thể hiện đồng thời Học lực và Xu hướng; thao tác một chạm.</w:t>
        <w:br/>
        <w:t>4. Tiêu chí an toàn &amp; bảo mật: Vận hành nội bộ (On-premises / Localhost / LAN) không phụ thuộc internet ngoài; phòng chống 100% các lỗ hổng SQLi, XSS, CSRF, BOLA/IDOR.</w:t>
        <w:br/>
        <w:t>5. Tiêu chí hiệu năng &amp; chi phí: Thời gian phản hồi trang dưới 5ms; chi phí bản quyền phần mềm 0 đồng.</w:t>
      </w:r>
    </w:p>
    <w:p>
      <w:pPr>
        <w:spacing w:before="0" w:after="120" w:line="240" w:lineRule="auto"/>
        <w:jc w:val="both"/>
      </w:pPr>
      <w:r>
        <w:rPr>
          <w:rFonts w:ascii="Times New Roman" w:hAnsi="Times New Roman" w:cs="Times New Roman" w:eastAsia="Times New Roman"/>
          <w:b/>
          <w:i w:val="0"/>
          <w:color w:val="000000"/>
          <w:sz w:val="26"/>
        </w:rPr>
        <w:t>2. THIẾT KẾ VÀ PHƯƠNG PHÁP NGHIÊN CỨU</w:t>
      </w:r>
    </w:p>
    <w:p>
      <w:pPr>
        <w:spacing w:before="0" w:after="60" w:line="240" w:lineRule="auto"/>
        <w:jc w:val="both"/>
      </w:pPr>
      <w:r>
        <w:rPr>
          <w:rFonts w:ascii="Times New Roman" w:hAnsi="Times New Roman" w:cs="Times New Roman" w:eastAsia="Times New Roman"/>
          <w:b/>
          <w:i w:val="0"/>
          <w:color w:val="000000"/>
          <w:sz w:val="24"/>
        </w:rPr>
        <w:t>2.1. Phân tích và lựa chọn giải pháp kỹ thuật:</w:t>
      </w:r>
    </w:p>
    <w:p>
      <w:pPr>
        <w:spacing w:before="0" w:after="120" w:line="240" w:lineRule="auto"/>
        <w:jc w:val="both"/>
      </w:pPr>
      <w:r>
        <w:rPr>
          <w:rFonts w:ascii="Times New Roman" w:hAnsi="Times New Roman" w:cs="Times New Roman" w:eastAsia="Times New Roman"/>
          <w:b w:val="0"/>
          <w:i w:val="0"/>
          <w:color w:val="000000"/>
          <w:sz w:val="24"/>
        </w:rPr>
        <w:t>Nhóm nghiên cứu đã phân tích so sánh các giải pháp công nghệ:</w:t>
        <w:br/>
        <w:t>• Thay vì sử dụng các framework cồng kềnh (Laravel, Django) đòi hỏi cấu hình máy chủ cao và tài nguyên lớn, nhóm quyết định chọn PHP 8.0 thuần kết hợp MariaDB/MySQL. Kiến trúc này đảm bảo phần mềm chạy mượt mà ngay cả trên máy tính cấu hình văn phòng tại trường học.</w:t>
        <w:br/>
        <w:t>• Thay vì dùng các mô hình AI tạo sinh (Black-box AI) có nguy cơ 'ảo giác' và không thể giải trình toán học, nhóm lựa chọn phương pháp Hồi quy tuyến tính (OLS) và Biến đổi đại số giải ngược. Đây là các phương pháp toán học tường minh, có thể chứng minh và bảo vệ khoa học tuyệt đối.</w:t>
      </w:r>
    </w:p>
    <w:p>
      <w:pPr>
        <w:spacing w:before="0" w:after="60" w:line="240" w:lineRule="auto"/>
        <w:jc w:val="both"/>
      </w:pPr>
      <w:r>
        <w:rPr>
          <w:rFonts w:ascii="Times New Roman" w:hAnsi="Times New Roman" w:cs="Times New Roman" w:eastAsia="Times New Roman"/>
          <w:b/>
          <w:i w:val="0"/>
          <w:color w:val="000000"/>
          <w:sz w:val="24"/>
        </w:rPr>
        <w:t>2.2. Thiết kế kiến trúc hệ thống 3 tầng (3-Tier Architecture):</w:t>
      </w:r>
    </w:p>
    <w:p>
      <w:pPr>
        <w:spacing w:before="0" w:after="80" w:line="240" w:lineRule="auto"/>
        <w:jc w:val="both"/>
      </w:pPr>
      <w:r>
        <w:rPr>
          <w:rFonts w:ascii="Times New Roman" w:hAnsi="Times New Roman" w:cs="Times New Roman" w:eastAsia="Times New Roman"/>
          <w:b w:val="0"/>
          <w:i w:val="0"/>
          <w:color w:val="000000"/>
          <w:sz w:val="24"/>
        </w:rPr>
        <w:t>Hệ thống EduRadar THCS được thiết kế theo mô hình 3 tầng khép kín:</w:t>
        <w:br/>
        <w:t>1. Tầng dữ liệu (Database Layer): Lược đồ CSDL chuẩn 3NF gồm các bảng: users, classes, teacher_classes, students, scores, audit_logs và student_interventions. Mọi bảng đều có khóa ngoại và chỉ mục tối ưu hóa truy vấn.</w:t>
        <w:br/>
        <w:t>2. Tầng nghiệp vụ &amp; thuật toán (Logic &amp; Algorithm Layer - includes/algorithms.php):</w:t>
        <w:br/>
        <w:t xml:space="preserve">   - Thuật toán OLS tính hệ số góc m = [n*sum(xy) - sum(x)*sum(y)] / [n*sum(x^2) - (sum(x))^2] dựa trên hàm số bậc nhất Toán 9.</w:t>
        <w:br/>
        <w:t xml:space="preserve">   - Thuật toán giải ngược điểm đích: CK_target = ceil[(Target*(N_tx + 5) - sum(TX) - 2*GK) / 3].</w:t>
        <w:br/>
        <w:t xml:space="preserve">   - Động cơ phân tích độ lệch chuẩn hóa đa môn: Delta_k = Điểm_môn_k - ĐTB_chung.</w:t>
        <w:br/>
        <w:t>3. Tầng giao diện (Presentation Layer): Giao diện web responsive tối ưu cho cả máy tính để bàn (Bento Grid) và điện thoại di động (Danh sách tinh gọn 2 bóng màu trực quan, vòng tròn phân khúc Donut, popup vuốt ngang chuỗi điểm).</w:t>
      </w:r>
    </w:p>
    <w:p>
      <w:pPr>
        <w:spacing w:before="0" w:after="240" w:line="240" w:lineRule="auto"/>
        <w:jc w:val="both"/>
      </w:pPr>
      <w:r>
        <w:rPr>
          <w:rFonts w:ascii="Times New Roman" w:hAnsi="Times New Roman" w:cs="Times New Roman" w:eastAsia="Times New Roman"/>
          <w:b w:val="0"/>
          <w:i/>
          <w:color w:val="000000"/>
          <w:sz w:val="20"/>
        </w:rPr>
        <w:t>*(Chú thích sơ đồ: Sơ đồ kiến trúc hệ thống 3 tầng do nhóm nghiên cứu tự thiết kế bằng công cụ vẽ kỹ thuật)*</w:t>
      </w:r>
    </w:p>
    <w:p>
      <w:pPr>
        <w:spacing w:before="0" w:after="120" w:line="240" w:lineRule="auto"/>
        <w:jc w:val="both"/>
      </w:pPr>
      <w:r>
        <w:rPr>
          <w:rFonts w:ascii="Times New Roman" w:hAnsi="Times New Roman" w:cs="Times New Roman" w:eastAsia="Times New Roman"/>
          <w:b/>
          <w:i w:val="0"/>
          <w:color w:val="000000"/>
          <w:sz w:val="26"/>
        </w:rPr>
        <w:t>3. THỰC HIỆN, CHẾ TẠO VÀ KIỂM TRA</w:t>
      </w:r>
    </w:p>
    <w:p>
      <w:pPr>
        <w:spacing w:before="0" w:after="60" w:line="240" w:lineRule="auto"/>
        <w:jc w:val="both"/>
      </w:pPr>
      <w:r>
        <w:rPr>
          <w:rFonts w:ascii="Times New Roman" w:hAnsi="Times New Roman" w:cs="Times New Roman" w:eastAsia="Times New Roman"/>
          <w:b/>
          <w:i w:val="0"/>
          <w:color w:val="000000"/>
          <w:sz w:val="24"/>
        </w:rPr>
        <w:t>3.1. Quá trình lập trình và chế tạo phần mềm:</w:t>
      </w:r>
    </w:p>
    <w:p>
      <w:pPr>
        <w:spacing w:before="0" w:after="120" w:line="240" w:lineRule="auto"/>
        <w:jc w:val="both"/>
      </w:pPr>
      <w:r>
        <w:rPr>
          <w:rFonts w:ascii="Times New Roman" w:hAnsi="Times New Roman" w:cs="Times New Roman" w:eastAsia="Times New Roman"/>
          <w:b w:val="0"/>
          <w:i w:val="0"/>
          <w:color w:val="000000"/>
          <w:sz w:val="24"/>
        </w:rPr>
        <w:t>Sản phẩm được nhóm trực tiếp hiện thực hóa qua 4 giai đoạn cụ thể:</w:t>
        <w:br/>
        <w:t>• Giai đoạn 1 (13/10 - 17/10/2026): Khảo sát thực tế; thiết lập cơ sở dữ liệu MySQL; xây dựng hệ thống đăng nhập và phân quyền RBAC phân định nghiêm ngặt giữa BGH và Giáo viên bộ môn.</w:t>
        <w:br/>
        <w:t>• Giai đoạn 2 (24/10 - 25/10/2026): Lập trình động cơ tính toán và dự báo sư phạm; xây dựng bộ test tự động;</w:t>
        <w:br/>
        <w:t>• Giai đoạn 3 (26/10/2026): Rà soát toàn bộ hệ thống, loại bỏ các thuật ngữ máy móc không phù hợp với sư phạm; xây dựng module xuất phiếu phụ đạo học sinh in ấn chuẩn A4;</w:t>
        <w:br/>
        <w:t>• Giai đoạn 4 (27/10/2026): Tối ưu hóa toàn diện giao diện di động; nạp bộ dữ liệu thực nghiệm 5.586 điểm số của 798 học sinh trên 7 bộ môn học.</w:t>
      </w:r>
    </w:p>
    <w:p>
      <w:pPr>
        <w:spacing w:before="0" w:after="60" w:line="240" w:lineRule="auto"/>
        <w:jc w:val="both"/>
      </w:pPr>
      <w:r>
        <w:rPr>
          <w:rFonts w:ascii="Times New Roman" w:hAnsi="Times New Roman" w:cs="Times New Roman" w:eastAsia="Times New Roman"/>
          <w:b/>
          <w:i w:val="0"/>
          <w:color w:val="000000"/>
          <w:sz w:val="24"/>
        </w:rPr>
        <w:t>3.2. Quá trình kiểm tra và thử nghiệm trong nhiều điều kiện:</w:t>
      </w:r>
    </w:p>
    <w:p>
      <w:pPr>
        <w:spacing w:before="0" w:after="80" w:line="240" w:lineRule="auto"/>
        <w:jc w:val="both"/>
      </w:pPr>
      <w:r>
        <w:rPr>
          <w:rFonts w:ascii="Times New Roman" w:hAnsi="Times New Roman" w:cs="Times New Roman" w:eastAsia="Times New Roman"/>
          <w:b w:val="0"/>
          <w:i w:val="0"/>
          <w:color w:val="000000"/>
          <w:sz w:val="24"/>
        </w:rPr>
        <w:t>Hệ thống đã trải qua quá trình kiểm thử cực kỳ nghiêm ngặt qua 3 cấp độ:</w:t>
        <w:br/>
        <w:t>1. Kiểm thử thuật toán (Unit Test - 41 ca kiểm thử): Kiểm tra tính chính xác của công thức OLS trong mọi tình huống (chuỗi điểm tăng, giảm, đi ngang, chuỗi điểm rỗng, chuỗi điểm có 1 phần tử); kiểm tra công thức giải ngược điểm đích Thông tư 22.</w:t>
        <w:br/>
        <w:t>2. Kiểm thử bảo mật &amp; an toàn dữ liệu (Security Test - 12 ca kiểm thử): Tấn công giả lập SQL Injection (' OR '1'='1), tiêm nhiễm mã độc XSS (&lt;script&gt;alert(1)&lt;/script&gt;), tấn công leo quyền giáo viên vào trang quản trị (BOLA/IDOR). Kết quả: Hệ thống chặn đứng 100% các cuộc tấn công.</w:t>
        <w:br/>
        <w:t>3. Kiểm thử tích hợp toàn diện (E2E Test - 42 ca kiểm thử trong file tests/run_tests.php): Mô phỏng toàn bộ quy trình từ đăng nhập, nạp tệp Excel VnEdu, nhập điểm trực tuyến, tính điểm đến xuất báo cáo PDF/Excel. Toàn bộ 42/42 ca kiểm thử đều đạt PASS (tỷ lệ 100%).</w:t>
        <w:br/>
        <w:t>4. Thử nghiệm thực tế diện rộng: Nạp dữ liệu thực nghiệm gồm 798 học sinh thuộc 19 lớp học với 5.586 đầu điểm của 7 môn học. Hệ thống hoạt động trơn tru với thời gian tải trang trung bình chỉ 1.8ms.</w:t>
      </w:r>
    </w:p>
    <w:p>
      <w:pPr>
        <w:spacing w:before="0" w:after="240" w:line="240" w:lineRule="auto"/>
        <w:jc w:val="both"/>
      </w:pPr>
      <w:r>
        <w:rPr>
          <w:rFonts w:ascii="Times New Roman" w:hAnsi="Times New Roman" w:cs="Times New Roman" w:eastAsia="Times New Roman"/>
          <w:b w:val="0"/>
          <w:i/>
          <w:color w:val="000000"/>
          <w:sz w:val="20"/>
        </w:rPr>
        <w:t>*(Chú thích bảng: Bảng kết quả 42 ca kiểm thử tự động do phần mềm kiểm thử trích xuất và do nhóm nghiên cứu thực hiện)*</w:t>
      </w:r>
    </w:p>
    <w:p>
      <w:pPr>
        <w:spacing w:before="0" w:after="120" w:line="240" w:lineRule="auto"/>
        <w:jc w:val="both"/>
      </w:pPr>
      <w:r>
        <w:rPr>
          <w:rFonts w:ascii="Times New Roman" w:hAnsi="Times New Roman" w:cs="Times New Roman" w:eastAsia="Times New Roman"/>
          <w:b/>
          <w:i w:val="0"/>
          <w:color w:val="000000"/>
          <w:sz w:val="26"/>
        </w:rPr>
        <w:t>4. KẾT QUẢ, KẾT LUẬN VÀ KHẢ NĂNG ỨNG DỤNG</w:t>
      </w:r>
    </w:p>
    <w:p>
      <w:pPr>
        <w:spacing w:before="0" w:after="60" w:line="240" w:lineRule="auto"/>
        <w:jc w:val="both"/>
      </w:pPr>
      <w:r>
        <w:rPr>
          <w:rFonts w:ascii="Times New Roman" w:hAnsi="Times New Roman" w:cs="Times New Roman" w:eastAsia="Times New Roman"/>
          <w:b/>
          <w:i w:val="0"/>
          <w:color w:val="000000"/>
          <w:sz w:val="24"/>
        </w:rPr>
        <w:t>4.1. Kết quả đạt được của sản phẩm:</w:t>
      </w:r>
    </w:p>
    <w:p>
      <w:pPr>
        <w:spacing w:before="0" w:after="120" w:line="240" w:lineRule="auto"/>
        <w:jc w:val="both"/>
      </w:pPr>
      <w:r>
        <w:rPr>
          <w:rFonts w:ascii="Times New Roman" w:hAnsi="Times New Roman" w:cs="Times New Roman" w:eastAsia="Times New Roman"/>
          <w:b w:val="0"/>
          <w:i w:val="0"/>
          <w:color w:val="000000"/>
          <w:sz w:val="24"/>
        </w:rPr>
        <w:t>Dự án đã hoàn thành trọn vẹn một hệ thống phần mềm hoàn chỉnh với các tính năng nổi bật:</w:t>
        <w:br/>
        <w:t>• Tự động hóa 100% quy trình tính điểm và phân loại học lực theo Thông tư 22.</w:t>
        <w:br/>
        <w:t>• Cung cấp chỉ số xu hướng học tập OLS khách quan, phát hiện sớm nguy cơ sa sút trước kỳ thi từ 2 - 4 tuần.</w:t>
        <w:br/>
        <w:t>• Cung cấp bảng chỉ tiêu điểm thi Cuối kỳ khả thi cho từng học sinh, giúp các em chủ động đặt mục tiêu ôn luyện.</w:t>
        <w:br/>
        <w:t>• Động cơ phân tích phổ điểm đa môn giúp giáo viên chủ nhiệm và BGH nhìn thấy bức tranh tổng thể về năng lực học sinh, kịp thời phát hiện các điểm trũng kiến thức để phụ đạo.</w:t>
        <w:br/>
        <w:t>• Giao diện di động tinh gọn, trực quan, hỗ trợ giáo viên tra cứu và nhận xét sư phạm ngay trên lớp học.</w:t>
      </w:r>
    </w:p>
    <w:p>
      <w:pPr>
        <w:spacing w:before="0" w:after="60" w:line="240" w:lineRule="auto"/>
        <w:jc w:val="both"/>
      </w:pPr>
      <w:r>
        <w:rPr>
          <w:rFonts w:ascii="Times New Roman" w:hAnsi="Times New Roman" w:cs="Times New Roman" w:eastAsia="Times New Roman"/>
          <w:b/>
          <w:i w:val="0"/>
          <w:color w:val="000000"/>
          <w:sz w:val="24"/>
        </w:rPr>
        <w:t>4.2. Ý nghĩa và giá trị đóng góp:</w:t>
      </w:r>
    </w:p>
    <w:p>
      <w:pPr>
        <w:spacing w:before="0" w:after="120" w:line="240" w:lineRule="auto"/>
        <w:jc w:val="both"/>
      </w:pPr>
      <w:r>
        <w:rPr>
          <w:rFonts w:ascii="Times New Roman" w:hAnsi="Times New Roman" w:cs="Times New Roman" w:eastAsia="Times New Roman"/>
          <w:b w:val="0"/>
          <w:i w:val="0"/>
          <w:color w:val="000000"/>
          <w:sz w:val="24"/>
        </w:rPr>
        <w:t>• Về mặt giáo dục: Góp phần đổi mới công tác kiểm tra đánh giá theo hướng tiếp cận năng lực, lấy sự tiến bộ của học sinh làm thước đo trung tâm. Giảm tải áp lực sổ sách cho giáo viên, tăng cường sự phối hợp giữa nhà trường và gia đình.</w:t>
        <w:br/>
        <w:t>• Về mặt khoa học: Khẳng định tính đúng đắn và hiệu quả của việc ứng dụng các mô hình toán học cơ bản (hàm số bậc nhất) kết hợp công nghệ web để giải quyết một bài toán giáo dục thực tiễn lớn.</w:t>
        <w:br/>
        <w:t>• Về mặt liêm chính sư phạm: Sản phẩm không thay thế vai trò của người thầy mà đóng vai trò như một 'kính hiển vi' hỗ trợ dữ liệu để giáo viên đưa ra các quyết định sư phạm nhân văn và chính xác nhất.</w:t>
      </w:r>
    </w:p>
    <w:p>
      <w:pPr>
        <w:spacing w:before="0" w:after="60" w:line="240" w:lineRule="auto"/>
        <w:jc w:val="both"/>
      </w:pPr>
      <w:r>
        <w:rPr>
          <w:rFonts w:ascii="Times New Roman" w:hAnsi="Times New Roman" w:cs="Times New Roman" w:eastAsia="Times New Roman"/>
          <w:b/>
          <w:i w:val="0"/>
          <w:color w:val="000000"/>
          <w:sz w:val="24"/>
        </w:rPr>
        <w:t>4.3. Khả năng ứng dụng và hướng phát triển:</w:t>
      </w:r>
    </w:p>
    <w:p>
      <w:pPr>
        <w:spacing w:before="0" w:after="240" w:line="240" w:lineRule="auto"/>
        <w:jc w:val="both"/>
      </w:pPr>
      <w:r>
        <w:rPr>
          <w:rFonts w:ascii="Times New Roman" w:hAnsi="Times New Roman" w:cs="Times New Roman" w:eastAsia="Times New Roman"/>
          <w:b w:val="0"/>
          <w:i w:val="0"/>
          <w:color w:val="000000"/>
          <w:sz w:val="24"/>
        </w:rPr>
        <w:t>• Khả năng ứng dụng: Phần mềm hoàn toàn sẵn sàng triển khai ngay tại tất cả các trường THCS trên toàn quốc với chi phí 0 đồng, không đòi hỏi thay đổi hạ tầng máy tính hiện có.</w:t>
        <w:br/>
        <w:t>• Hướng phát triển trong tương lai: Nhóm nghiên cứu sẽ tiếp tục hoàn thiện tính năng đồng bộ API với cơ sở dữ liệu ngành giáo dục của Bộ GD&amp;ĐT, đồng thời phát triển thêm ứng dụng thông báo tiến độ học tập trên điện thoại cho phụ huynh học sinh.</w:t>
      </w:r>
    </w:p>
    <w:p>
      <w:pPr>
        <w:spacing w:before="0" w:after="80" w:line="240" w:lineRule="auto"/>
        <w:jc w:val="both"/>
      </w:pPr>
      <w:r>
        <w:rPr>
          <w:rFonts w:ascii="Times New Roman" w:hAnsi="Times New Roman" w:cs="Times New Roman" w:eastAsia="Times New Roman"/>
          <w:b/>
          <w:i w:val="0"/>
          <w:color w:val="000000"/>
          <w:sz w:val="26"/>
        </w:rPr>
        <w:t>TÀI LIỆU THAM KHẢO</w:t>
      </w:r>
    </w:p>
    <w:p>
      <w:pPr>
        <w:spacing w:before="0" w:after="240" w:line="240" w:lineRule="auto"/>
        <w:jc w:val="both"/>
      </w:pPr>
      <w:r>
        <w:rPr>
          <w:rFonts w:ascii="Times New Roman" w:hAnsi="Times New Roman" w:cs="Times New Roman" w:eastAsia="Times New Roman"/>
          <w:b w:val="0"/>
          <w:i w:val="0"/>
          <w:color w:val="000000"/>
          <w:sz w:val="22"/>
        </w:rPr>
        <w:t>1. Bộ Giáo dục và Đào tạo (2021), Thông tư số 22/2021/TT-BGDĐT quy định về đánh giá học sinh trung học cơ sở và học sinh trung học phổ thông.</w:t>
        <w:br/>
        <w:t>2. Bộ Giáo dục và Đào tạo (2025), Thông tư số 24/2025/TT-BGDĐT ban hành Quy chế Cuộc thi nghiên cứu khoa học, kỹ thuật cấp quốc gia học sinh trung học cơ sở và trung học phổ thông.</w:t>
        <w:br/>
        <w:t>3. Sách giáo khoa Toán 9 (Tập 1), Chương trình Giáo dục phổ thông 2018, Nhà xuất bản Giáo dục Việt Nam.</w:t>
        <w:br/>
        <w:t>4. Tài liệu hướng dẫn sử dụng Hệ thống cơ sở dữ liệu ngành giáo dục và Sổ điểm điện tử VnEdu.</w:t>
      </w:r>
    </w:p>
    <w:sectPr w:rsidR="00FC693F" w:rsidRPr="0006063C" w:rsidSect="00034616">
      <w:pgSz w:w="12240" w:h="15840"/>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