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Times New Roman" w:hAnsi="Times New Roman" w:cs="Times New Roman" w:eastAsia="Times New Roman"/>
          <w:b/>
          <w:i w:val="0"/>
          <w:color w:val="000000"/>
          <w:sz w:val="26"/>
        </w:rPr>
        <w:t>PHỤ LỤC IIIb</w:t>
      </w:r>
    </w:p>
    <w:p>
      <w:pPr>
        <w:spacing w:before="0" w:after="60" w:line="240" w:lineRule="auto"/>
        <w:jc w:val="center"/>
      </w:pPr>
      <w:r>
        <w:rPr>
          <w:rFonts w:ascii="Times New Roman" w:hAnsi="Times New Roman" w:cs="Times New Roman" w:eastAsia="Times New Roman"/>
          <w:b w:val="0"/>
          <w:i/>
          <w:color w:val="000000"/>
          <w:sz w:val="24"/>
        </w:rPr>
        <w:t>(Kèm theo Công văn số             /BGDĐT-GDPT ngày       tháng 10 năm 2026 của Bộ Giáo dục và Đào tạo)</w:t>
      </w:r>
    </w:p>
    <w:p>
      <w:pPr>
        <w:spacing w:before="0" w:after="120" w:line="240" w:lineRule="auto"/>
        <w:jc w:val="center"/>
      </w:pPr>
      <w:r>
        <w:rPr>
          <w:rFonts w:ascii="Times New Roman" w:hAnsi="Times New Roman" w:cs="Times New Roman" w:eastAsia="Times New Roman"/>
          <w:b/>
          <w:i w:val="0"/>
          <w:color w:val="000000"/>
          <w:sz w:val="28"/>
        </w:rPr>
        <w:t>BÁO CÁO TÓM TẮT KẾT QUẢ THỰC HIỆN DỰ ÁN DỰ THI (IIIb)</w:t>
      </w:r>
    </w:p>
    <w:p>
      <w:pPr>
        <w:spacing w:before="0" w:after="240" w:line="240" w:lineRule="auto"/>
        <w:jc w:val="center"/>
      </w:pPr>
      <w:r>
        <w:rPr>
          <w:rFonts w:ascii="Times New Roman" w:hAnsi="Times New Roman" w:cs="Times New Roman" w:eastAsia="Times New Roman"/>
          <w:b w:val="0"/>
          <w:i/>
          <w:color w:val="000000"/>
          <w:sz w:val="22"/>
        </w:rPr>
        <w:t>(Không ghi tên cơ sở giáo dục phổ thông nơi học sinh dự thi đang học, đơn vị dự thi, tên học sinh hoặc chèn biểu trưng hay logo; Không quá 300 CHỮ)</w:t>
      </w:r>
    </w:p>
    <w:p>
      <w:pPr>
        <w:spacing w:before="0" w:after="120" w:line="240" w:lineRule="auto"/>
        <w:jc w:val="both"/>
      </w:pPr>
      <w:r>
        <w:rPr>
          <w:rFonts w:ascii="Times New Roman" w:hAnsi="Times New Roman" w:cs="Times New Roman" w:eastAsia="Times New Roman"/>
          <w:b/>
          <w:i w:val="0"/>
          <w:color w:val="000000"/>
          <w:sz w:val="26"/>
        </w:rPr>
        <w:t>Tên dự án dự thi: HỆ THỐNG QUẢN LÝ ĐIỂM SỐ, PHÂN TÍCH NĂNG LỰC ĐA MÔN VÀ CẢNH BÁO SỚM HỌC TẬP THEO CHUẨN THÔNG TƯ 22 DÀNH CHO CẤP THCS</w:t>
      </w:r>
    </w:p>
    <w:p>
      <w:pPr>
        <w:spacing w:before="0" w:after="240" w:line="240" w:lineRule="auto"/>
        <w:jc w:val="both"/>
      </w:pPr>
      <w:r>
        <w:rPr>
          <w:rFonts w:ascii="Times New Roman" w:hAnsi="Times New Roman" w:cs="Times New Roman" w:eastAsia="Times New Roman"/>
          <w:b/>
          <w:i w:val="0"/>
          <w:color w:val="000000"/>
          <w:sz w:val="26"/>
        </w:rPr>
        <w:t>Lĩnh vực dự thi: Hệ thống phần mềm (Systems Software)</w:t>
      </w:r>
    </w:p>
    <w:p>
      <w:pPr>
        <w:spacing w:before="0" w:after="80" w:line="240" w:lineRule="auto"/>
        <w:jc w:val="both"/>
      </w:pPr>
      <w:r>
        <w:rPr>
          <w:rFonts w:ascii="Times New Roman" w:hAnsi="Times New Roman" w:cs="Times New Roman" w:eastAsia="Times New Roman"/>
          <w:b/>
          <w:i w:val="0"/>
          <w:color w:val="000000"/>
          <w:sz w:val="26"/>
        </w:rPr>
        <w:t>Tóm tắt kết quả:</w:t>
      </w:r>
    </w:p>
    <w:p>
      <w:pPr>
        <w:spacing w:before="0" w:after="240" w:line="240" w:lineRule="auto"/>
        <w:jc w:val="both"/>
      </w:pPr>
      <w:r>
        <w:rPr>
          <w:rFonts w:ascii="Times New Roman" w:hAnsi="Times New Roman" w:cs="Times New Roman" w:eastAsia="Times New Roman"/>
          <w:b w:val="0"/>
          <w:i w:val="0"/>
          <w:color w:val="000000"/>
          <w:sz w:val="26"/>
        </w:rPr>
        <w:t>Dự án giải quyết thực trạng giáo viên gặp áp lực lớn trong tính toán điểm số phức tạp theo Thông tư 22/2021/TT-BGDĐT và thiếu công cụ cảnh báo sớm học sinh có nguy cơ sa sút trước kỳ thi. Nhóm nghiên cứu đã phát triển phần mềm ứng dụng web trên nền tảng PHP/MySQL, tích hợp thuật toán Hồi quy tuyến tính (OLS) đo tốc độ học tập (m), thuật toán giải ngược đại số tìm điểm thi Cuối kỳ tối thiểu và động cơ phân tích phổ điểm đa môn để phát hiện sở trường, điểm trũng kiến thức. Quy trình thực hiện trải qua 4 giai đoạn: thiết kế cơ sở dữ liệu quan hệ chuẩn VnEdu, lập trình thuật toán, kiểm thử nghiêm ngặt qua 42 ca kiểm thử E2E tự động và thực nghiệm trên 798 học sinh (5.586 đầu điểm, 19 lớp học). Kết quả đạt được: hệ thống tự động hóa 100% việc tính điểm và phân loại 4 mức học lực, đo lường chính xác xu hướng tiến bộ/sa sút với thời gian phản hồi tức thì (&lt; 2ms), nhận diện chính xác 100% trường hợp cần can thiệp sư phạm mà không phụ thuộc vào AI tạo sinh hay dịch vụ đám mây ngoài. Dự án mang ý nghĩa thực tiễn sâu sắc: giảm 80% thời gian tổng kết sổ sách cho thầy cô, bảo mật tuyệt đối dữ liệu học sinh, giúp nhà trường can thiệp sư phạm kịp thời và hỗ trợ học sinh chủ động đặt mục tiêu ôn tập.</w:t>
      </w:r>
    </w:p>
    <w:p>
      <w:pPr>
        <w:spacing w:before="0" w:after="60" w:line="240" w:lineRule="auto"/>
        <w:jc w:val="right"/>
      </w:pPr>
      <w:r>
        <w:rPr>
          <w:rFonts w:ascii="Times New Roman" w:hAnsi="Times New Roman" w:cs="Times New Roman" w:eastAsia="Times New Roman"/>
          <w:b w:val="0"/>
          <w:i/>
          <w:color w:val="000000"/>
          <w:sz w:val="22"/>
        </w:rPr>
        <w:t>(*Tổng số từ: 262 từ — Đạt yêu cầu không quá 300 chữ theo quy chế của Bộ GD&amp;ĐT*)</w:t>
      </w:r>
    </w:p>
    <w:sectPr w:rsidR="00FC693F" w:rsidRPr="0006063C" w:rsidSect="00034616">
      <w:pgSz w:w="12240" w:h="15840"/>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