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46A0E5" w14:textId="56CE225A" w:rsidR="003956A7" w:rsidRDefault="003D70FD">
      <w:r>
        <w:t xml:space="preserve">The Gateway reaction is used to move a gene from a donor vector (for our lab, typically the </w:t>
      </w:r>
      <w:proofErr w:type="spellStart"/>
      <w:r>
        <w:t>pDONR</w:t>
      </w:r>
      <w:proofErr w:type="spellEnd"/>
      <w:r>
        <w:t xml:space="preserve"> vector) into a destination vector. This final clone is known as the expression vector</w:t>
      </w:r>
      <w:r w:rsidR="000472EE">
        <w:t>.</w:t>
      </w:r>
      <w:r>
        <w:t xml:space="preserve"> This is done to append a tag and, as the name implies, allow for expression of the plasmid in mammalian cells as </w:t>
      </w:r>
      <w:proofErr w:type="spellStart"/>
      <w:r>
        <w:t>pDONR</w:t>
      </w:r>
      <w:proofErr w:type="spellEnd"/>
      <w:r>
        <w:t xml:space="preserve"> has no expression mechanisms. </w:t>
      </w:r>
    </w:p>
    <w:p w14:paraId="0F227B70" w14:textId="6996E48C" w:rsidR="003D70FD" w:rsidRDefault="003D70FD">
      <w:r>
        <w:t xml:space="preserve">Note: </w:t>
      </w:r>
      <w:r w:rsidR="00C86358">
        <w:t>We utilize the</w:t>
      </w:r>
      <w:r>
        <w:t xml:space="preserve"> destination vector</w:t>
      </w:r>
      <w:r w:rsidR="00C86358">
        <w:t xml:space="preserve"> </w:t>
      </w:r>
      <w:proofErr w:type="spellStart"/>
      <w:r w:rsidR="00C86358">
        <w:t>pGCFlag</w:t>
      </w:r>
      <w:proofErr w:type="spellEnd"/>
      <w:r>
        <w:t xml:space="preserve"> in the lab: </w:t>
      </w:r>
      <w:r w:rsidR="00C86358">
        <w:t xml:space="preserve">The </w:t>
      </w:r>
      <w:proofErr w:type="spellStart"/>
      <w:r>
        <w:t>pGCFlag</w:t>
      </w:r>
      <w:proofErr w:type="spellEnd"/>
      <w:r>
        <w:t xml:space="preserve"> </w:t>
      </w:r>
      <w:r w:rsidR="00C86358">
        <w:t xml:space="preserve">is </w:t>
      </w:r>
      <w:r>
        <w:t>the desired plasmid</w:t>
      </w:r>
      <w:r w:rsidR="00C86358">
        <w:t xml:space="preserve"> because </w:t>
      </w:r>
      <w:r>
        <w:t xml:space="preserve">most donor vectors do not have a stop codon and thus need the c-terminal Flag and Stop contained in the </w:t>
      </w:r>
      <w:proofErr w:type="spellStart"/>
      <w:r>
        <w:t>pGCFlag</w:t>
      </w:r>
      <w:proofErr w:type="spellEnd"/>
      <w:r>
        <w:t xml:space="preserve"> vector. </w:t>
      </w:r>
      <w:r w:rsidR="00C86358">
        <w:t>You can</w:t>
      </w:r>
      <w:r>
        <w:t xml:space="preserve"> use </w:t>
      </w:r>
      <w:r w:rsidR="00C86358">
        <w:t xml:space="preserve">another destination vector to change the recombinant tag (e.g. GFP) but </w:t>
      </w:r>
      <w:r>
        <w:t xml:space="preserve">be very careful to ensure your </w:t>
      </w:r>
      <w:r w:rsidR="00C86358">
        <w:t>destination</w:t>
      </w:r>
      <w:r>
        <w:t xml:space="preserve"> plasmid has a stop codon.</w:t>
      </w:r>
    </w:p>
    <w:p w14:paraId="25ACDC61" w14:textId="7EBD3383" w:rsidR="000472EE" w:rsidRDefault="000472EE">
      <w:r>
        <w:t xml:space="preserve">Note 2: Almost all the gateway donor vectors in our lab come from the Broad Kinase Kit from Addgene, the details of which can be found here: </w:t>
      </w:r>
      <w:hyperlink r:id="rId5" w:anchor="kit-contents" w:history="1">
        <w:r w:rsidRPr="003F532C">
          <w:rPr>
            <w:rStyle w:val="Hyperlink"/>
          </w:rPr>
          <w:t>https://www.addgene.org/kits/hahn-root-human-kinases/#kit-contents</w:t>
        </w:r>
      </w:hyperlink>
      <w:r>
        <w:t xml:space="preserve">. Under the ‘Content of Kit’ tab that opens, you can search the library via kinase name. Kinase plasmids are stored according to their kit location (for instance, pDONR-MAPK8 is on Plate 1, Row F, column 11. Therefore you will find it in the ‘Plate 1’ box, near the other row F plasmids). If a plasmid you are looking for does not appear in the list, try searching alternate names. Good resources for this are </w:t>
      </w:r>
      <w:proofErr w:type="spellStart"/>
      <w:r>
        <w:t>Uniprot</w:t>
      </w:r>
      <w:proofErr w:type="spellEnd"/>
      <w:r>
        <w:t xml:space="preserve"> (</w:t>
      </w:r>
      <w:hyperlink r:id="rId6" w:history="1">
        <w:r w:rsidR="00446737" w:rsidRPr="003F532C">
          <w:rPr>
            <w:rStyle w:val="Hyperlink"/>
          </w:rPr>
          <w:t>http://www.uniprot.org/</w:t>
        </w:r>
      </w:hyperlink>
      <w:r>
        <w:t xml:space="preserve">) and </w:t>
      </w:r>
      <w:proofErr w:type="spellStart"/>
      <w:r>
        <w:t>Genecards</w:t>
      </w:r>
      <w:proofErr w:type="spellEnd"/>
      <w:r>
        <w:t xml:space="preserve"> (</w:t>
      </w:r>
      <w:hyperlink r:id="rId7" w:history="1">
        <w:r w:rsidR="00446737" w:rsidRPr="003F532C">
          <w:rPr>
            <w:rStyle w:val="Hyperlink"/>
          </w:rPr>
          <w:t>https://www.genecards.org/</w:t>
        </w:r>
      </w:hyperlink>
      <w:r>
        <w:t>). In Uniprot, when searching for a plasmid, the search results will list ‘Gene Names’ that offers several alternates (for instance, MAPK8 is listed as “</w:t>
      </w:r>
      <w:r w:rsidRPr="000472EE">
        <w:t>MAPK8</w:t>
      </w:r>
      <w:r>
        <w:t>,</w:t>
      </w:r>
      <w:r w:rsidRPr="000472EE">
        <w:t xml:space="preserve"> JNK1, PRKM8, SAPK1, SAPK1C</w:t>
      </w:r>
      <w:r>
        <w:t xml:space="preserve">” on the search results), and on a gene’s page alternates will also be listed under the ‘Names &amp; Taxonomy’ section. In </w:t>
      </w:r>
      <w:proofErr w:type="spellStart"/>
      <w:r>
        <w:t>GeneCards</w:t>
      </w:r>
      <w:proofErr w:type="spellEnd"/>
      <w:r>
        <w:t xml:space="preserve">, the first section is ‘Aliases’, </w:t>
      </w:r>
      <w:r w:rsidR="00805541">
        <w:t>a</w:t>
      </w:r>
      <w:r>
        <w:t xml:space="preserve"> comprehensive </w:t>
      </w:r>
      <w:r w:rsidR="00805541">
        <w:t xml:space="preserve">list of </w:t>
      </w:r>
      <w:r w:rsidR="00446737">
        <w:t xml:space="preserve">names used for the given protein (for instance, for MAPK8 it also lists JNK-46, PRKM8, JNK21B1/2, JNK1A2, and JNK in addition to those listed from </w:t>
      </w:r>
      <w:proofErr w:type="spellStart"/>
      <w:r w:rsidR="00446737">
        <w:t>UniProt</w:t>
      </w:r>
      <w:proofErr w:type="spellEnd"/>
      <w:r w:rsidR="00446737">
        <w:t>). If you’ve checked all of those and none appear in the table, then it’s likely the kit does not have the gene and you’ll need to order it.</w:t>
      </w:r>
    </w:p>
    <w:p w14:paraId="3DB61B42" w14:textId="354A6857" w:rsidR="00247E99" w:rsidRPr="00C56A2E" w:rsidRDefault="00247E99">
      <w:pPr>
        <w:rPr>
          <w:rFonts w:ascii="Times New Roman" w:eastAsia="Times New Roman" w:hAnsi="Times New Roman" w:cs="Times New Roman"/>
          <w:b/>
          <w:bCs/>
          <w:sz w:val="24"/>
          <w:szCs w:val="24"/>
        </w:rPr>
      </w:pPr>
      <w:r w:rsidRPr="00C56A2E">
        <w:rPr>
          <w:b/>
          <w:bCs/>
        </w:rPr>
        <w:t xml:space="preserve">Note 3: </w:t>
      </w:r>
      <w:r w:rsidR="004B4DD2" w:rsidRPr="00C56A2E">
        <w:rPr>
          <w:b/>
          <w:bCs/>
        </w:rPr>
        <w:t>Efficient g</w:t>
      </w:r>
      <w:r w:rsidR="006B0196" w:rsidRPr="00C56A2E">
        <w:rPr>
          <w:b/>
          <w:bCs/>
        </w:rPr>
        <w:t>ateway cloning experiments rely on cell sensitivity to the ccdB suicide gene located between</w:t>
      </w:r>
      <w:r w:rsidR="00DF1F27" w:rsidRPr="00C56A2E">
        <w:rPr>
          <w:b/>
          <w:bCs/>
        </w:rPr>
        <w:t xml:space="preserve"> </w:t>
      </w:r>
      <w:r w:rsidR="006B0196" w:rsidRPr="00C56A2E">
        <w:rPr>
          <w:b/>
          <w:bCs/>
        </w:rPr>
        <w:t>attR1 and attR2 on the pGC</w:t>
      </w:r>
      <w:r w:rsidR="00CF1AFD" w:rsidRPr="00C56A2E">
        <w:rPr>
          <w:b/>
          <w:bCs/>
        </w:rPr>
        <w:t>FLAG</w:t>
      </w:r>
      <w:r w:rsidR="006B0196" w:rsidRPr="00C56A2E">
        <w:rPr>
          <w:b/>
          <w:bCs/>
        </w:rPr>
        <w:t xml:space="preserve"> destination vector. It is important to use a ccdB sensitive</w:t>
      </w:r>
      <w:r w:rsidR="00CF1AFD" w:rsidRPr="00C56A2E">
        <w:rPr>
          <w:b/>
          <w:bCs/>
        </w:rPr>
        <w:t xml:space="preserve"> E. coli</w:t>
      </w:r>
      <w:r w:rsidR="006B0196" w:rsidRPr="00C56A2E">
        <w:rPr>
          <w:b/>
          <w:bCs/>
        </w:rPr>
        <w:t xml:space="preserve"> </w:t>
      </w:r>
      <w:r w:rsidR="00CF1AFD" w:rsidRPr="00C56A2E">
        <w:rPr>
          <w:b/>
          <w:bCs/>
        </w:rPr>
        <w:t xml:space="preserve">strain </w:t>
      </w:r>
      <w:r w:rsidR="006B0196" w:rsidRPr="00C56A2E">
        <w:rPr>
          <w:b/>
          <w:bCs/>
        </w:rPr>
        <w:t>(</w:t>
      </w:r>
      <w:r w:rsidR="00D706D6" w:rsidRPr="00C56A2E">
        <w:rPr>
          <w:b/>
          <w:bCs/>
        </w:rPr>
        <w:t xml:space="preserve">electrocompetent NEB </w:t>
      </w:r>
      <w:r w:rsidR="00CF1AFD" w:rsidRPr="00C56A2E">
        <w:rPr>
          <w:b/>
          <w:bCs/>
        </w:rPr>
        <w:t>Beta-10, DH5</w:t>
      </w:r>
      <w:r w:rsidR="00CF1AFD" w:rsidRPr="00C56A2E">
        <w:rPr>
          <w:rFonts w:ascii="Roboto" w:eastAsia="Times New Roman" w:hAnsi="Roboto" w:cs="Times New Roman"/>
          <w:b/>
          <w:bCs/>
          <w:color w:val="202124"/>
          <w:sz w:val="21"/>
          <w:szCs w:val="21"/>
          <w:shd w:val="clear" w:color="auto" w:fill="FFFFFF"/>
        </w:rPr>
        <w:t>α, TOP10</w:t>
      </w:r>
      <w:r w:rsidR="00D706D6" w:rsidRPr="00C56A2E">
        <w:rPr>
          <w:rFonts w:ascii="Roboto" w:eastAsia="Times New Roman" w:hAnsi="Roboto" w:cs="Times New Roman"/>
          <w:b/>
          <w:bCs/>
          <w:color w:val="202124"/>
          <w:sz w:val="21"/>
          <w:szCs w:val="21"/>
          <w:shd w:val="clear" w:color="auto" w:fill="FFFFFF"/>
        </w:rPr>
        <w:t xml:space="preserve"> </w:t>
      </w:r>
      <w:proofErr w:type="spellStart"/>
      <w:r w:rsidR="00D706D6" w:rsidRPr="00C56A2E">
        <w:rPr>
          <w:rFonts w:ascii="Roboto" w:eastAsia="Times New Roman" w:hAnsi="Roboto" w:cs="Times New Roman"/>
          <w:b/>
          <w:bCs/>
          <w:color w:val="202124"/>
          <w:sz w:val="21"/>
          <w:szCs w:val="21"/>
          <w:shd w:val="clear" w:color="auto" w:fill="FFFFFF"/>
        </w:rPr>
        <w:t>ect</w:t>
      </w:r>
      <w:proofErr w:type="spellEnd"/>
      <w:r w:rsidR="00D706D6" w:rsidRPr="00C56A2E">
        <w:rPr>
          <w:rFonts w:ascii="Roboto" w:eastAsia="Times New Roman" w:hAnsi="Roboto" w:cs="Times New Roman"/>
          <w:b/>
          <w:bCs/>
          <w:color w:val="202124"/>
          <w:sz w:val="21"/>
          <w:szCs w:val="21"/>
          <w:shd w:val="clear" w:color="auto" w:fill="FFFFFF"/>
        </w:rPr>
        <w:t>.</w:t>
      </w:r>
      <w:r w:rsidR="00CF1AFD" w:rsidRPr="00C56A2E">
        <w:rPr>
          <w:rFonts w:ascii="Roboto" w:eastAsia="Times New Roman" w:hAnsi="Roboto" w:cs="Times New Roman"/>
          <w:b/>
          <w:bCs/>
          <w:color w:val="202124"/>
          <w:sz w:val="21"/>
          <w:szCs w:val="21"/>
          <w:shd w:val="clear" w:color="auto" w:fill="FFFFFF"/>
        </w:rPr>
        <w:t xml:space="preserve">) to ensure negative selection of clones not containing </w:t>
      </w:r>
      <w:r w:rsidR="000960C6" w:rsidRPr="00C56A2E">
        <w:rPr>
          <w:rFonts w:ascii="Roboto" w:eastAsia="Times New Roman" w:hAnsi="Roboto" w:cs="Times New Roman"/>
          <w:b/>
          <w:bCs/>
          <w:color w:val="202124"/>
          <w:sz w:val="21"/>
          <w:szCs w:val="21"/>
          <w:shd w:val="clear" w:color="auto" w:fill="FFFFFF"/>
        </w:rPr>
        <w:t>your</w:t>
      </w:r>
      <w:r w:rsidR="00CF1AFD" w:rsidRPr="00C56A2E">
        <w:rPr>
          <w:rFonts w:ascii="Roboto" w:eastAsia="Times New Roman" w:hAnsi="Roboto" w:cs="Times New Roman"/>
          <w:b/>
          <w:bCs/>
          <w:color w:val="202124"/>
          <w:sz w:val="21"/>
          <w:szCs w:val="21"/>
          <w:shd w:val="clear" w:color="auto" w:fill="FFFFFF"/>
        </w:rPr>
        <w:t xml:space="preserve"> desired gene insert. </w:t>
      </w:r>
    </w:p>
    <w:p w14:paraId="4C84E7CE" w14:textId="77777777" w:rsidR="00CF1AFD" w:rsidRPr="00CF1AFD" w:rsidRDefault="00CF1AFD">
      <w:pPr>
        <w:rPr>
          <w:rFonts w:ascii="Times New Roman" w:eastAsia="Times New Roman" w:hAnsi="Times New Roman" w:cs="Times New Roman"/>
          <w:sz w:val="24"/>
          <w:szCs w:val="24"/>
        </w:rPr>
      </w:pPr>
    </w:p>
    <w:p w14:paraId="0BC318D7" w14:textId="7BD2BBCA" w:rsidR="003D70FD" w:rsidRDefault="003D70FD">
      <w:r>
        <w:t>Required supplies:</w:t>
      </w:r>
    </w:p>
    <w:p w14:paraId="5E7B369B" w14:textId="61604B2D" w:rsidR="003D70FD" w:rsidRDefault="003D70FD" w:rsidP="003D70FD">
      <w:pPr>
        <w:pStyle w:val="ListParagraph"/>
        <w:numPr>
          <w:ilvl w:val="0"/>
          <w:numId w:val="1"/>
        </w:numPr>
      </w:pPr>
      <w:r>
        <w:t xml:space="preserve">Gateway LR </w:t>
      </w:r>
      <w:proofErr w:type="spellStart"/>
      <w:r>
        <w:t>Clonase</w:t>
      </w:r>
      <w:r w:rsidRPr="003D70FD">
        <w:rPr>
          <w:vertAlign w:val="superscript"/>
        </w:rPr>
        <w:t>TM</w:t>
      </w:r>
      <w:proofErr w:type="spellEnd"/>
      <w:r>
        <w:t xml:space="preserve"> II Kit (CAT# 11791-020)</w:t>
      </w:r>
    </w:p>
    <w:p w14:paraId="7658723E" w14:textId="76A190A8" w:rsidR="003D70FD" w:rsidRDefault="003D70FD" w:rsidP="003D70FD">
      <w:pPr>
        <w:pStyle w:val="ListParagraph"/>
        <w:numPr>
          <w:ilvl w:val="1"/>
          <w:numId w:val="1"/>
        </w:numPr>
      </w:pPr>
      <w:r>
        <w:t>Contents:</w:t>
      </w:r>
      <w:r>
        <w:tab/>
      </w:r>
    </w:p>
    <w:p w14:paraId="2F377AB0" w14:textId="001B2E9B" w:rsidR="003D70FD" w:rsidRDefault="003D70FD" w:rsidP="003D70FD">
      <w:pPr>
        <w:pStyle w:val="ListParagraph"/>
        <w:numPr>
          <w:ilvl w:val="2"/>
          <w:numId w:val="1"/>
        </w:numPr>
      </w:pPr>
      <w:r>
        <w:t xml:space="preserve">LR Clonase </w:t>
      </w:r>
    </w:p>
    <w:p w14:paraId="3B6D9B68" w14:textId="6030CB47" w:rsidR="003D70FD" w:rsidRDefault="003D70FD" w:rsidP="003D70FD">
      <w:pPr>
        <w:pStyle w:val="ListParagraph"/>
        <w:numPr>
          <w:ilvl w:val="2"/>
          <w:numId w:val="1"/>
        </w:numPr>
      </w:pPr>
      <w:r>
        <w:t>Proteinase K solution</w:t>
      </w:r>
    </w:p>
    <w:p w14:paraId="4AF34BFE" w14:textId="695D32F0" w:rsidR="003D70FD" w:rsidRDefault="003D70FD" w:rsidP="003D70FD">
      <w:pPr>
        <w:pStyle w:val="ListParagraph"/>
        <w:numPr>
          <w:ilvl w:val="2"/>
          <w:numId w:val="1"/>
        </w:numPr>
      </w:pPr>
      <w:r>
        <w:t>Control vector (typically discarded)</w:t>
      </w:r>
    </w:p>
    <w:p w14:paraId="377813E7" w14:textId="46FC4552" w:rsidR="003D70FD" w:rsidRDefault="003D70FD" w:rsidP="003D70FD">
      <w:pPr>
        <w:pStyle w:val="ListParagraph"/>
        <w:numPr>
          <w:ilvl w:val="0"/>
          <w:numId w:val="1"/>
        </w:numPr>
      </w:pPr>
      <w:r>
        <w:t>TE Buffer</w:t>
      </w:r>
    </w:p>
    <w:p w14:paraId="56FC445D" w14:textId="68700F50" w:rsidR="003D70FD" w:rsidRDefault="003D70FD" w:rsidP="003D70FD">
      <w:pPr>
        <w:pStyle w:val="ListParagraph"/>
        <w:numPr>
          <w:ilvl w:val="1"/>
          <w:numId w:val="1"/>
        </w:numPr>
      </w:pPr>
      <w:r>
        <w:t>10 mM Tris (pH 7.75)</w:t>
      </w:r>
    </w:p>
    <w:p w14:paraId="1C21F6BC" w14:textId="69E48488" w:rsidR="00247E99" w:rsidRDefault="003D70FD" w:rsidP="00247E99">
      <w:pPr>
        <w:pStyle w:val="ListParagraph"/>
        <w:numPr>
          <w:ilvl w:val="1"/>
          <w:numId w:val="1"/>
        </w:numPr>
      </w:pPr>
      <w:r>
        <w:t>1 mM EDTA</w:t>
      </w:r>
    </w:p>
    <w:p w14:paraId="3AFA955F" w14:textId="6E093E6A" w:rsidR="004B4DD2" w:rsidRDefault="003D70FD" w:rsidP="004B4DD2">
      <w:pPr>
        <w:pStyle w:val="ListParagraph"/>
        <w:numPr>
          <w:ilvl w:val="0"/>
          <w:numId w:val="1"/>
        </w:numPr>
      </w:pPr>
      <w:r>
        <w:t>Luria Broth or other standard media</w:t>
      </w:r>
      <w:r w:rsidR="0033452B">
        <w:t xml:space="preserve"> – both blank (no antibiotic) and </w:t>
      </w:r>
      <w:r w:rsidR="0033452B" w:rsidRPr="0033452B">
        <w:t>Ampicillin</w:t>
      </w:r>
      <w:r w:rsidR="0033452B">
        <w:t>/</w:t>
      </w:r>
      <w:r w:rsidR="0033452B" w:rsidRPr="0033452B">
        <w:t>Carbenicillin</w:t>
      </w:r>
      <w:r w:rsidR="0033452B">
        <w:t xml:space="preserve"> doped.</w:t>
      </w:r>
    </w:p>
    <w:p w14:paraId="789ABFB4" w14:textId="6C6FE1D7" w:rsidR="003D70FD" w:rsidRDefault="003D70FD" w:rsidP="0033452B">
      <w:pPr>
        <w:pStyle w:val="ListParagraph"/>
        <w:numPr>
          <w:ilvl w:val="0"/>
          <w:numId w:val="1"/>
        </w:numPr>
      </w:pPr>
      <w:r>
        <w:t>LB Agar plates</w:t>
      </w:r>
      <w:r w:rsidR="0033452B">
        <w:t xml:space="preserve"> – </w:t>
      </w:r>
      <w:r w:rsidR="0033452B" w:rsidRPr="0033452B">
        <w:t>Ampicillin</w:t>
      </w:r>
      <w:r w:rsidR="0033452B">
        <w:t>/</w:t>
      </w:r>
      <w:r w:rsidR="0033452B" w:rsidRPr="0033452B">
        <w:t>Carbenicillin</w:t>
      </w:r>
    </w:p>
    <w:p w14:paraId="65494581" w14:textId="739B3B8C" w:rsidR="003D70FD" w:rsidRDefault="003D70FD" w:rsidP="003D70FD">
      <w:pPr>
        <w:pStyle w:val="ListParagraph"/>
        <w:numPr>
          <w:ilvl w:val="0"/>
          <w:numId w:val="1"/>
        </w:numPr>
      </w:pPr>
      <w:r>
        <w:t>Electroporation Cuvettes</w:t>
      </w:r>
    </w:p>
    <w:p w14:paraId="2548705C" w14:textId="6E6B9684" w:rsidR="003D70FD" w:rsidRDefault="0033452B" w:rsidP="003D70FD">
      <w:r>
        <w:lastRenderedPageBreak/>
        <w:t xml:space="preserve">Day 1: </w:t>
      </w:r>
    </w:p>
    <w:p w14:paraId="231EB853" w14:textId="46F55FE1" w:rsidR="0033452B" w:rsidRDefault="0033452B" w:rsidP="003D70FD">
      <w:r>
        <w:t xml:space="preserve">Note: Enzymes (LR Clonase and Proteinase K) should be kept on ice </w:t>
      </w:r>
      <w:r w:rsidRPr="0033452B">
        <w:rPr>
          <w:u w:val="single"/>
        </w:rPr>
        <w:t>at all times</w:t>
      </w:r>
      <w:r>
        <w:t>.</w:t>
      </w:r>
    </w:p>
    <w:p w14:paraId="4E6C1207" w14:textId="3730AE50" w:rsidR="0033452B" w:rsidRDefault="0033452B" w:rsidP="0033452B">
      <w:pPr>
        <w:pStyle w:val="ListParagraph"/>
        <w:numPr>
          <w:ilvl w:val="0"/>
          <w:numId w:val="2"/>
        </w:numPr>
      </w:pPr>
      <w:r>
        <w:t>Mix reactions as follows:</w:t>
      </w:r>
    </w:p>
    <w:p w14:paraId="619C081B" w14:textId="75CC147C" w:rsidR="0033452B" w:rsidRDefault="0033452B" w:rsidP="0033452B">
      <w:pPr>
        <w:pStyle w:val="ListParagraph"/>
        <w:numPr>
          <w:ilvl w:val="1"/>
          <w:numId w:val="2"/>
        </w:numPr>
      </w:pPr>
      <w:r>
        <w:t>Destination vector – 100 to 150 ng</w:t>
      </w:r>
    </w:p>
    <w:p w14:paraId="313AE17E" w14:textId="6DE5910C" w:rsidR="0033452B" w:rsidRDefault="0033452B" w:rsidP="0033452B">
      <w:pPr>
        <w:pStyle w:val="ListParagraph"/>
        <w:numPr>
          <w:ilvl w:val="1"/>
          <w:numId w:val="2"/>
        </w:numPr>
      </w:pPr>
      <w:r>
        <w:t>Donor Vector – 250 ng</w:t>
      </w:r>
    </w:p>
    <w:p w14:paraId="1AFA5ED1" w14:textId="12DEB76F" w:rsidR="0033452B" w:rsidRDefault="0033452B" w:rsidP="0033452B">
      <w:pPr>
        <w:pStyle w:val="ListParagraph"/>
        <w:numPr>
          <w:ilvl w:val="1"/>
          <w:numId w:val="2"/>
        </w:numPr>
      </w:pPr>
      <w:r>
        <w:t xml:space="preserve">LR </w:t>
      </w:r>
      <w:proofErr w:type="spellStart"/>
      <w:r>
        <w:t>Clonase</w:t>
      </w:r>
      <w:proofErr w:type="spellEnd"/>
      <w:r>
        <w:t xml:space="preserve"> – 2 </w:t>
      </w:r>
      <w:proofErr w:type="spellStart"/>
      <w:r>
        <w:t>uL</w:t>
      </w:r>
      <w:proofErr w:type="spellEnd"/>
    </w:p>
    <w:p w14:paraId="052FD9F2" w14:textId="62300D38" w:rsidR="0033452B" w:rsidRDefault="0033452B" w:rsidP="0033452B">
      <w:pPr>
        <w:pStyle w:val="ListParagraph"/>
        <w:numPr>
          <w:ilvl w:val="1"/>
          <w:numId w:val="2"/>
        </w:numPr>
      </w:pPr>
      <w:r>
        <w:t xml:space="preserve">TE Buffer – to 18 </w:t>
      </w:r>
      <w:proofErr w:type="spellStart"/>
      <w:r>
        <w:t>uL</w:t>
      </w:r>
      <w:proofErr w:type="spellEnd"/>
    </w:p>
    <w:p w14:paraId="06571F23" w14:textId="0E5DF583" w:rsidR="0033452B" w:rsidRDefault="0033452B" w:rsidP="0033452B">
      <w:pPr>
        <w:pStyle w:val="ListParagraph"/>
      </w:pPr>
      <w:r>
        <w:t>For instance, in the case of a Destination vector at 100 ng/</w:t>
      </w:r>
      <w:proofErr w:type="spellStart"/>
      <w:r>
        <w:t>uL</w:t>
      </w:r>
      <w:proofErr w:type="spellEnd"/>
      <w:r>
        <w:t>, and a donor vector at 125 ng/</w:t>
      </w:r>
      <w:proofErr w:type="spellStart"/>
      <w:r>
        <w:t>uL</w:t>
      </w:r>
      <w:proofErr w:type="spellEnd"/>
      <w:r>
        <w:t>, the final mix components would be as follows:</w:t>
      </w:r>
    </w:p>
    <w:p w14:paraId="64338CEB" w14:textId="07DF0EB8" w:rsidR="0033452B" w:rsidRDefault="0033452B" w:rsidP="0033452B">
      <w:pPr>
        <w:pStyle w:val="ListParagraph"/>
        <w:numPr>
          <w:ilvl w:val="0"/>
          <w:numId w:val="3"/>
        </w:numPr>
      </w:pPr>
      <w:r>
        <w:t xml:space="preserve">Destination vector – 1 </w:t>
      </w:r>
      <w:proofErr w:type="spellStart"/>
      <w:r>
        <w:t>uL</w:t>
      </w:r>
      <w:proofErr w:type="spellEnd"/>
    </w:p>
    <w:p w14:paraId="28B1F1DB" w14:textId="31F764DD" w:rsidR="0033452B" w:rsidRDefault="0033452B" w:rsidP="0033452B">
      <w:pPr>
        <w:pStyle w:val="ListParagraph"/>
        <w:numPr>
          <w:ilvl w:val="0"/>
          <w:numId w:val="3"/>
        </w:numPr>
      </w:pPr>
      <w:r>
        <w:t xml:space="preserve">Donor Vector – 2 </w:t>
      </w:r>
      <w:proofErr w:type="spellStart"/>
      <w:r>
        <w:t>uL</w:t>
      </w:r>
      <w:proofErr w:type="spellEnd"/>
    </w:p>
    <w:p w14:paraId="4D983A45" w14:textId="77777777" w:rsidR="0033452B" w:rsidRDefault="0033452B" w:rsidP="0033452B">
      <w:pPr>
        <w:pStyle w:val="ListParagraph"/>
        <w:numPr>
          <w:ilvl w:val="0"/>
          <w:numId w:val="3"/>
        </w:numPr>
      </w:pPr>
      <w:r>
        <w:t xml:space="preserve">LR </w:t>
      </w:r>
      <w:proofErr w:type="spellStart"/>
      <w:r>
        <w:t>Clonase</w:t>
      </w:r>
      <w:proofErr w:type="spellEnd"/>
      <w:r>
        <w:t xml:space="preserve"> – 2 </w:t>
      </w:r>
      <w:proofErr w:type="spellStart"/>
      <w:r>
        <w:t>uL</w:t>
      </w:r>
      <w:proofErr w:type="spellEnd"/>
    </w:p>
    <w:p w14:paraId="64004F7E" w14:textId="60E4AE9E" w:rsidR="0033452B" w:rsidRDefault="0033452B" w:rsidP="0033452B">
      <w:pPr>
        <w:pStyle w:val="ListParagraph"/>
        <w:numPr>
          <w:ilvl w:val="0"/>
          <w:numId w:val="3"/>
        </w:numPr>
      </w:pPr>
      <w:r>
        <w:t xml:space="preserve">TE Buffer – to 13 </w:t>
      </w:r>
      <w:proofErr w:type="spellStart"/>
      <w:r>
        <w:t>uL</w:t>
      </w:r>
      <w:proofErr w:type="spellEnd"/>
    </w:p>
    <w:p w14:paraId="02BFE16E" w14:textId="58717997" w:rsidR="0033452B" w:rsidRDefault="0033452B" w:rsidP="0033452B">
      <w:pPr>
        <w:pStyle w:val="ListParagraph"/>
        <w:numPr>
          <w:ilvl w:val="0"/>
          <w:numId w:val="2"/>
        </w:numPr>
      </w:pPr>
      <w:r>
        <w:t>Incubate at RT for 1 h</w:t>
      </w:r>
    </w:p>
    <w:p w14:paraId="145270BF" w14:textId="58837B65" w:rsidR="0033452B" w:rsidRDefault="0033452B" w:rsidP="0033452B">
      <w:pPr>
        <w:pStyle w:val="ListParagraph"/>
        <w:numPr>
          <w:ilvl w:val="0"/>
          <w:numId w:val="2"/>
        </w:numPr>
      </w:pPr>
      <w:r>
        <w:t xml:space="preserve">Add 2 </w:t>
      </w:r>
      <w:proofErr w:type="spellStart"/>
      <w:r>
        <w:t>uL</w:t>
      </w:r>
      <w:proofErr w:type="spellEnd"/>
      <w:r>
        <w:t xml:space="preserve"> Proteinase K to each tube and mix to stop the reaction</w:t>
      </w:r>
    </w:p>
    <w:p w14:paraId="1DBB2DF2" w14:textId="13DA44D1" w:rsidR="0033452B" w:rsidRDefault="0033452B" w:rsidP="0033452B">
      <w:pPr>
        <w:pStyle w:val="ListParagraph"/>
        <w:numPr>
          <w:ilvl w:val="0"/>
          <w:numId w:val="2"/>
        </w:numPr>
      </w:pPr>
      <w:r>
        <w:t>Incubate at 37</w:t>
      </w:r>
      <w:r w:rsidRPr="0033452B">
        <w:rPr>
          <w:vertAlign w:val="superscript"/>
        </w:rPr>
        <w:t>o</w:t>
      </w:r>
      <w:r>
        <w:t xml:space="preserve"> C for 10 minutes.</w:t>
      </w:r>
    </w:p>
    <w:p w14:paraId="378EC5C4" w14:textId="04E7E795" w:rsidR="0033452B" w:rsidRDefault="0033452B" w:rsidP="0033452B">
      <w:pPr>
        <w:pStyle w:val="ListParagraph"/>
        <w:numPr>
          <w:ilvl w:val="0"/>
          <w:numId w:val="2"/>
        </w:numPr>
      </w:pPr>
      <w:r>
        <w:t xml:space="preserve">Add 60 </w:t>
      </w:r>
      <w:proofErr w:type="spellStart"/>
      <w:r>
        <w:t>uL</w:t>
      </w:r>
      <w:proofErr w:type="spellEnd"/>
      <w:r>
        <w:t xml:space="preserve"> </w:t>
      </w:r>
      <w:proofErr w:type="spellStart"/>
      <w:r>
        <w:t>MilliQ</w:t>
      </w:r>
      <w:proofErr w:type="spellEnd"/>
      <w:r>
        <w:t xml:space="preserve"> water to each reaction.</w:t>
      </w:r>
    </w:p>
    <w:p w14:paraId="3B28CE54" w14:textId="6FC39C08" w:rsidR="0033452B" w:rsidRDefault="0033452B" w:rsidP="0033452B">
      <w:pPr>
        <w:pStyle w:val="ListParagraph"/>
        <w:numPr>
          <w:ilvl w:val="0"/>
          <w:numId w:val="2"/>
        </w:numPr>
        <w:spacing w:line="256" w:lineRule="auto"/>
      </w:pPr>
      <w:r>
        <w:t>Create a sterile area (Bunsen burner and ~1’ radius clear around it) and bring over reactions, pipettes/sterile tips and ice bucket. Pipet 2 µL of reaction mix into 40 µL bacteria and transfer to electroporation cuvette. Plasmid and bacteria can also be mixed in the cuvette, whichever is easier, but be careful to avoid contamination in all directions. Recap cuvette, label, and place on ice. Repeat for each plasmid you are transforming, being careful to label each one appropriately.</w:t>
      </w:r>
    </w:p>
    <w:p w14:paraId="278041B6" w14:textId="77777777" w:rsidR="0033452B" w:rsidRDefault="0033452B" w:rsidP="0033452B">
      <w:pPr>
        <w:pStyle w:val="ListParagraph"/>
        <w:numPr>
          <w:ilvl w:val="0"/>
          <w:numId w:val="2"/>
        </w:numPr>
        <w:spacing w:line="256" w:lineRule="auto"/>
      </w:pPr>
      <w:r>
        <w:t xml:space="preserve">Once all cuvettes are loaded, bring ice bucket to the gel bench. Retrieve electroporator (last drawer down on the right side of the gel bench) and </w:t>
      </w:r>
      <w:r>
        <w:rPr>
          <w:u w:val="single"/>
        </w:rPr>
        <w:t>plug in to the red outlet</w:t>
      </w:r>
      <w:r>
        <w:t xml:space="preserve">. This is very important, if you plug it into a grey socket it will not work properly and will likely blow a breaker. Turn it on (green button on the right), and make sure the screen reads 1200V, using the black knob to adjust as needed. </w:t>
      </w:r>
    </w:p>
    <w:p w14:paraId="7E65AABF" w14:textId="77777777" w:rsidR="0033452B" w:rsidRDefault="0033452B" w:rsidP="0033452B">
      <w:pPr>
        <w:pStyle w:val="ListParagraph"/>
        <w:numPr>
          <w:ilvl w:val="0"/>
          <w:numId w:val="2"/>
        </w:numPr>
        <w:spacing w:line="256" w:lineRule="auto"/>
      </w:pPr>
      <w:r>
        <w:t xml:space="preserve">Insert your first cuvette into the holder on the left, making sure to properly align the knob on the side of the cuvette with the notch in the holder. Make sure to push the cuvette all the way in (the metal sides should be fully inside the holder) and swing the clear plastic rectangle over the top. For the orange/yellow cuvettes, you’ll only be able to get it partially over the top, this is fine. </w:t>
      </w:r>
    </w:p>
    <w:p w14:paraId="1D54541B" w14:textId="77777777" w:rsidR="0033452B" w:rsidRDefault="0033452B" w:rsidP="0033452B">
      <w:pPr>
        <w:pStyle w:val="ListParagraph"/>
        <w:numPr>
          <w:ilvl w:val="0"/>
          <w:numId w:val="2"/>
        </w:numPr>
        <w:spacing w:line="256" w:lineRule="auto"/>
      </w:pPr>
      <w:r>
        <w:t>Press the green button in the middle and wait for it to beep. If you hear a loud pop, your sample has arced and something is wrong, please ask me for assistance. Otherwise, remove the cuvette, press the green button again to switch the screen back to read HV 1200V again (check this, sometimes the voltage changes between runs), and proceed to each cuvette you have in turn until all have been electroporated.</w:t>
      </w:r>
    </w:p>
    <w:p w14:paraId="472B46E1" w14:textId="77777777" w:rsidR="0033452B" w:rsidRDefault="0033452B" w:rsidP="0033452B">
      <w:pPr>
        <w:pStyle w:val="ListParagraph"/>
        <w:numPr>
          <w:ilvl w:val="0"/>
          <w:numId w:val="2"/>
        </w:numPr>
        <w:spacing w:line="256" w:lineRule="auto"/>
      </w:pPr>
      <w:r>
        <w:t>Return to the sterile area and retrieve the blank media. Pipette 1 mL of blank media into each cuvette and mix thoroughly. Place in 37° C incubator for ~45 minutes.</w:t>
      </w:r>
    </w:p>
    <w:p w14:paraId="624B12FB" w14:textId="77777777" w:rsidR="0033452B" w:rsidRDefault="0033452B" w:rsidP="0033452B">
      <w:pPr>
        <w:pStyle w:val="ListParagraph"/>
        <w:numPr>
          <w:ilvl w:val="0"/>
          <w:numId w:val="2"/>
        </w:numPr>
        <w:spacing w:line="256" w:lineRule="auto"/>
      </w:pPr>
      <w:r>
        <w:t xml:space="preserve">Retrieve cuvettes from incubator, and bring them, the agar plates, and cell spreaders to the sterile area. Take one cuvette and mix the bacterial solution thoroughly. Then pipette 10-20 µL of this solution onto the </w:t>
      </w:r>
      <w:proofErr w:type="gramStart"/>
      <w:r>
        <w:t>plate, and</w:t>
      </w:r>
      <w:proofErr w:type="gramEnd"/>
      <w:r>
        <w:t xml:space="preserve"> spread evenly across the plate. You can also pipette multiple smaller amounts or serially diluted bacterial solutions and spread each separately, but this is </w:t>
      </w:r>
      <w:r>
        <w:lastRenderedPageBreak/>
        <w:t xml:space="preserve">generally not necessary unless you are worried about the viability of your plasmid. Repeat for each cuvette onto a separate plate for each, and then place all plates, with the agar side of the plate on </w:t>
      </w:r>
      <w:r>
        <w:rPr>
          <w:u w:val="single"/>
        </w:rPr>
        <w:t>top</w:t>
      </w:r>
      <w:r>
        <w:t>, in the 37° C incubator. Discard all cuvettes and plastic spreaders in the biological waste.</w:t>
      </w:r>
    </w:p>
    <w:p w14:paraId="752420F0" w14:textId="77777777" w:rsidR="0033452B" w:rsidRDefault="0033452B" w:rsidP="0033452B"/>
    <w:p w14:paraId="06109DC3" w14:textId="77777777" w:rsidR="0033452B" w:rsidRDefault="0033452B" w:rsidP="0033452B">
      <w:r>
        <w:t>Day 2:</w:t>
      </w:r>
    </w:p>
    <w:p w14:paraId="4680FE02" w14:textId="77777777" w:rsidR="0033452B" w:rsidRDefault="0033452B" w:rsidP="007A6C3B">
      <w:pPr>
        <w:pStyle w:val="ListParagraph"/>
        <w:numPr>
          <w:ilvl w:val="0"/>
          <w:numId w:val="5"/>
        </w:numPr>
        <w:spacing w:line="256" w:lineRule="auto"/>
        <w:ind w:left="720"/>
      </w:pPr>
      <w:r>
        <w:t>Retrieve your plates from the incubator. If everything went well, you should have many small colonies on your plates. At least several should be well-separated from all other colonies, with distinct borders. If nothing grew, it possible you have the wrong antibiotic. Refer to plasmid maps as appropriate. If too many grew such that there are no well-separated colonies (or there are no distinct colonies at all, aka a ‘lawn’), your plasmid concentration may be too high. Retry the transformation with either lower plasmid concentration, serially diluted transformed bacterial solutions, or both.</w:t>
      </w:r>
    </w:p>
    <w:p w14:paraId="5D9D6718" w14:textId="751E6EA7" w:rsidR="0033452B" w:rsidRDefault="0033452B" w:rsidP="007A6C3B">
      <w:pPr>
        <w:pStyle w:val="ListParagraph"/>
        <w:numPr>
          <w:ilvl w:val="0"/>
          <w:numId w:val="5"/>
        </w:numPr>
        <w:spacing w:line="256" w:lineRule="auto"/>
        <w:ind w:left="720"/>
      </w:pPr>
      <w:r>
        <w:t>If your plates look good, proceed to picking colonies. Retrieve either 10 or 200 µL autoclaved tips, a number of 10 mL culture tubes (left side bottom shelf of Caroline’s bench) and autoclaved antibiotic-doped broth. Bring all to a sterile area.</w:t>
      </w:r>
    </w:p>
    <w:p w14:paraId="7A88F1C9" w14:textId="33ED1ACE" w:rsidR="0033452B" w:rsidRDefault="0033452B" w:rsidP="007A6C3B">
      <w:pPr>
        <w:pStyle w:val="ListParagraph"/>
        <w:numPr>
          <w:ilvl w:val="0"/>
          <w:numId w:val="5"/>
        </w:numPr>
        <w:spacing w:line="256" w:lineRule="auto"/>
        <w:ind w:left="720"/>
      </w:pPr>
      <w:r>
        <w:t xml:space="preserve">Open and label a number of culture tubes depending on how many colonies you wish to grow. </w:t>
      </w:r>
      <w:r w:rsidR="007A6C3B">
        <w:t>I would suggest around 5 per reaction, to ensure as many positives as possible.</w:t>
      </w:r>
    </w:p>
    <w:p w14:paraId="72B0A5B3" w14:textId="77777777" w:rsidR="0033452B" w:rsidRDefault="0033452B" w:rsidP="007A6C3B">
      <w:pPr>
        <w:pStyle w:val="ListParagraph"/>
        <w:numPr>
          <w:ilvl w:val="0"/>
          <w:numId w:val="5"/>
        </w:numPr>
        <w:spacing w:line="256" w:lineRule="auto"/>
        <w:ind w:left="720"/>
      </w:pPr>
      <w:r>
        <w:t>Put 5 µL of doped media into each culture tube. Using a sterile pipette tip, pick a single colony from a plate and drop it into the appropriately-labeled culture tube. Cup the tube, but make sure cap is still loose and not pushed fully down. Repeat for each culture tube.</w:t>
      </w:r>
    </w:p>
    <w:p w14:paraId="7DD1C3A0" w14:textId="77777777" w:rsidR="0033452B" w:rsidRDefault="0033452B" w:rsidP="007A6C3B">
      <w:pPr>
        <w:pStyle w:val="ListParagraph"/>
        <w:numPr>
          <w:ilvl w:val="0"/>
          <w:numId w:val="5"/>
        </w:numPr>
        <w:spacing w:line="256" w:lineRule="auto"/>
        <w:ind w:left="720"/>
      </w:pPr>
      <w:r>
        <w:t>Move the tubes to the shaking incubator and shake at 225 rpm at 37° C overnight.</w:t>
      </w:r>
    </w:p>
    <w:p w14:paraId="734ADE36" w14:textId="77777777" w:rsidR="0033452B" w:rsidRDefault="0033452B" w:rsidP="007A6C3B">
      <w:pPr>
        <w:pStyle w:val="ListParagraph"/>
        <w:numPr>
          <w:ilvl w:val="0"/>
          <w:numId w:val="5"/>
        </w:numPr>
        <w:spacing w:line="256" w:lineRule="auto"/>
        <w:ind w:left="720"/>
      </w:pPr>
      <w:r>
        <w:t>Agar plates may be stored at 4° C after sealing the sides with parafilm. Plates stored this way can be used again for up to ~2 weeks.</w:t>
      </w:r>
    </w:p>
    <w:p w14:paraId="1A3BBF05" w14:textId="77777777" w:rsidR="0033452B" w:rsidRDefault="0033452B" w:rsidP="007A6C3B">
      <w:pPr>
        <w:ind w:left="720"/>
      </w:pPr>
    </w:p>
    <w:p w14:paraId="011BF0F9" w14:textId="77777777" w:rsidR="0033452B" w:rsidRDefault="0033452B" w:rsidP="007A6C3B">
      <w:pPr>
        <w:ind w:left="720"/>
      </w:pPr>
      <w:r>
        <w:t>Day 3:</w:t>
      </w:r>
    </w:p>
    <w:p w14:paraId="27F81EE1" w14:textId="77777777" w:rsidR="0033452B" w:rsidRDefault="0033452B" w:rsidP="007A6C3B">
      <w:pPr>
        <w:pStyle w:val="ListParagraph"/>
        <w:numPr>
          <w:ilvl w:val="0"/>
          <w:numId w:val="6"/>
        </w:numPr>
        <w:spacing w:line="256" w:lineRule="auto"/>
      </w:pPr>
      <w:r>
        <w:t>If cultures grew successfully, they should now be opaque with bacteria. If they are not, check the incubator temperature and your antibiotic selection, or re-transform if these colonies were from an old plate, as the colonies may have died.</w:t>
      </w:r>
    </w:p>
    <w:p w14:paraId="74C56DD6" w14:textId="716070BE" w:rsidR="0033452B" w:rsidRDefault="0033452B" w:rsidP="007A6C3B">
      <w:pPr>
        <w:pStyle w:val="ListParagraph"/>
        <w:numPr>
          <w:ilvl w:val="0"/>
          <w:numId w:val="6"/>
        </w:numPr>
        <w:spacing w:line="256" w:lineRule="auto"/>
      </w:pPr>
      <w:r>
        <w:t>If they grew well, retrieve colonies and proceed with mini prep.</w:t>
      </w:r>
    </w:p>
    <w:p w14:paraId="1BD21D51" w14:textId="610F8022" w:rsidR="007A6C3B" w:rsidRDefault="007A6C3B" w:rsidP="007A6C3B">
      <w:pPr>
        <w:pStyle w:val="ListParagraph"/>
        <w:numPr>
          <w:ilvl w:val="0"/>
          <w:numId w:val="6"/>
        </w:numPr>
        <w:spacing w:line="256" w:lineRule="auto"/>
      </w:pPr>
      <w:r>
        <w:t>Sequence plasmids to determine success. Do not assume success until plasmids are sequenced!</w:t>
      </w:r>
    </w:p>
    <w:p w14:paraId="2AB3812E" w14:textId="677A0B8A" w:rsidR="007A6C3B" w:rsidRDefault="007A6C3B" w:rsidP="007A6C3B">
      <w:pPr>
        <w:pStyle w:val="ListParagraph"/>
        <w:numPr>
          <w:ilvl w:val="0"/>
          <w:numId w:val="6"/>
        </w:numPr>
        <w:spacing w:line="256" w:lineRule="auto"/>
      </w:pPr>
      <w:proofErr w:type="spellStart"/>
      <w:r>
        <w:t>pGCFlag</w:t>
      </w:r>
      <w:proofErr w:type="spellEnd"/>
      <w:r>
        <w:t xml:space="preserve"> plasmids should be sequenced with </w:t>
      </w:r>
      <w:r w:rsidRPr="00435398">
        <w:t>T</w:t>
      </w:r>
      <w:r w:rsidR="00E116AB" w:rsidRPr="00435398">
        <w:t>3</w:t>
      </w:r>
      <w:r w:rsidRPr="00435398">
        <w:t xml:space="preserve"> and SP6 primers. Both are ‘standard’ </w:t>
      </w:r>
      <w:proofErr w:type="spellStart"/>
      <w:r w:rsidRPr="00435398">
        <w:t>Genewiz</w:t>
      </w:r>
      <w:proofErr w:type="spellEnd"/>
      <w:r w:rsidRPr="00435398">
        <w:t xml:space="preserve"> primers and do not need to be supplied. SP6 will read ‘forward’ on the gene, and T</w:t>
      </w:r>
      <w:r w:rsidR="00E116AB" w:rsidRPr="00435398">
        <w:t>3</w:t>
      </w:r>
      <w:r w:rsidRPr="00435398">
        <w:t xml:space="preserve"> will read ‘reverse’. The start and end of your gene should be readily apparent on sequencing if the</w:t>
      </w:r>
      <w:r>
        <w:t xml:space="preserve"> reaction was a success.</w:t>
      </w:r>
    </w:p>
    <w:p w14:paraId="5EEB7F96" w14:textId="483995C5" w:rsidR="0033452B" w:rsidRDefault="0033452B" w:rsidP="0033452B">
      <w:pPr>
        <w:pStyle w:val="ListParagraph"/>
      </w:pPr>
    </w:p>
    <w:sectPr w:rsidR="003345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Roboto">
    <w:panose1 w:val="020B0604020202020204"/>
    <w:charset w:val="00"/>
    <w:family w:val="auto"/>
    <w:pitch w:val="variable"/>
    <w:sig w:usb0="E00002FF" w:usb1="5000205B" w:usb2="0000002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A673E8"/>
    <w:multiLevelType w:val="hybridMultilevel"/>
    <w:tmpl w:val="9EBAEC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8A5981"/>
    <w:multiLevelType w:val="hybridMultilevel"/>
    <w:tmpl w:val="025A73D6"/>
    <w:lvl w:ilvl="0" w:tplc="D812BC4A">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498A6D3A"/>
    <w:multiLevelType w:val="hybridMultilevel"/>
    <w:tmpl w:val="4E98943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F783F14"/>
    <w:multiLevelType w:val="hybridMultilevel"/>
    <w:tmpl w:val="5E767050"/>
    <w:lvl w:ilvl="0" w:tplc="2A1CE290">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4" w15:restartNumberingAfterBreak="0">
    <w:nsid w:val="634C2772"/>
    <w:multiLevelType w:val="hybridMultilevel"/>
    <w:tmpl w:val="9B18611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7AF55CBB"/>
    <w:multiLevelType w:val="hybridMultilevel"/>
    <w:tmpl w:val="5B80940A"/>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 w:numId="2">
    <w:abstractNumId w:val="2"/>
  </w:num>
  <w:num w:numId="3">
    <w:abstractNumId w:val="5"/>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6A7"/>
    <w:rsid w:val="000472EE"/>
    <w:rsid w:val="000960C6"/>
    <w:rsid w:val="000F57CD"/>
    <w:rsid w:val="00247E99"/>
    <w:rsid w:val="00315A16"/>
    <w:rsid w:val="0033452B"/>
    <w:rsid w:val="003956A7"/>
    <w:rsid w:val="003D70FD"/>
    <w:rsid w:val="00435398"/>
    <w:rsid w:val="00446737"/>
    <w:rsid w:val="004B4DD2"/>
    <w:rsid w:val="006B0196"/>
    <w:rsid w:val="007A6C3B"/>
    <w:rsid w:val="00805541"/>
    <w:rsid w:val="00C56A2E"/>
    <w:rsid w:val="00C86358"/>
    <w:rsid w:val="00CF1AFD"/>
    <w:rsid w:val="00D706D6"/>
    <w:rsid w:val="00DF1F27"/>
    <w:rsid w:val="00E116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784AE"/>
  <w15:chartTrackingRefBased/>
  <w15:docId w15:val="{04D3A8FA-CD08-4557-BDF2-81ADA2359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70FD"/>
    <w:pPr>
      <w:ind w:left="720"/>
      <w:contextualSpacing/>
    </w:pPr>
  </w:style>
  <w:style w:type="character" w:styleId="Hyperlink">
    <w:name w:val="Hyperlink"/>
    <w:basedOn w:val="DefaultParagraphFont"/>
    <w:uiPriority w:val="99"/>
    <w:unhideWhenUsed/>
    <w:rsid w:val="000472EE"/>
    <w:rPr>
      <w:color w:val="0563C1" w:themeColor="hyperlink"/>
      <w:u w:val="single"/>
    </w:rPr>
  </w:style>
  <w:style w:type="character" w:styleId="UnresolvedMention">
    <w:name w:val="Unresolved Mention"/>
    <w:basedOn w:val="DefaultParagraphFont"/>
    <w:uiPriority w:val="99"/>
    <w:semiHidden/>
    <w:unhideWhenUsed/>
    <w:rsid w:val="000472EE"/>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9699527">
      <w:bodyDiv w:val="1"/>
      <w:marLeft w:val="0"/>
      <w:marRight w:val="0"/>
      <w:marTop w:val="0"/>
      <w:marBottom w:val="0"/>
      <w:divBdr>
        <w:top w:val="none" w:sz="0" w:space="0" w:color="auto"/>
        <w:left w:val="none" w:sz="0" w:space="0" w:color="auto"/>
        <w:bottom w:val="none" w:sz="0" w:space="0" w:color="auto"/>
        <w:right w:val="none" w:sz="0" w:space="0" w:color="auto"/>
      </w:divBdr>
    </w:div>
    <w:div w:id="888415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enecards.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uniprot.org/" TargetMode="External"/><Relationship Id="rId5" Type="http://schemas.openxmlformats.org/officeDocument/2006/relationships/hyperlink" Target="https://www.addgene.org/kits/hahn-root-human-kinase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1241</Words>
  <Characters>7074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dc:creator>
  <cp:keywords/>
  <dc:description/>
  <cp:lastModifiedBy>Ken Hsu</cp:lastModifiedBy>
  <cp:revision>2</cp:revision>
  <dcterms:created xsi:type="dcterms:W3CDTF">2021-08-15T20:14:00Z</dcterms:created>
  <dcterms:modified xsi:type="dcterms:W3CDTF">2021-08-15T20:14:00Z</dcterms:modified>
</cp:coreProperties>
</file>