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Tester(s):  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Jian Wang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b/>
                <w:bCs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Can only service providers make a diagnosis(es)?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('1', 'INTAKE');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('1','INTAKE');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('121','Charle', 'C', 'Andrew', '12345678', '1');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SERVICE_PROVIDER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('121','Charle', 'C', 'Andrew', '12345678');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DIAGNOSIS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('12312312441','nama', '12-12-2018','12-13-2018','12345678');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from DIAGNOSIS;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97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u w:val="none"/>
        </w:rPr>
        <w:t xml:space="preserve">Although, I have the result of diagnosis. But it is not done by service provider only. Service provider have foreign key from EMPLOYEE. EMPLOYEE have foreign key from INTAKE_DEPARTMENT. Therefore, SERVICE </w:t>
      </w:r>
      <w:r>
        <w:rPr>
          <w:rStyle w:val="StrongEmphasis"/>
          <w:b w:val="false"/>
          <w:bCs w:val="false"/>
          <w:u w:val="none"/>
        </w:rPr>
        <w:t>PROVIDE can not make DIAGNOSIS ONLY.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152</Words>
  <Characters>924</Characters>
  <CharactersWithSpaces>1097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2019-12-13T01:41:30Z</dcterms:modified>
  <cp:revision>4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