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 w:eastAsia="Calibri"/>
          <w:b/>
          <w:color w:val="0B318F"/>
          <w:sz w:val="40"/>
        </w:rPr>
        <w:t>People360 — HRIS Blueprint Progress</w:t>
      </w:r>
    </w:p>
    <w:p>
      <w:pPr>
        <w:spacing w:after="120"/>
      </w:pPr>
      <w:r>
        <w:rPr>
          <w:rFonts w:ascii="Calibri" w:hAnsi="Calibri" w:eastAsia="Calibri"/>
          <w:b/>
          <w:color w:val="00A3E6"/>
          <w:sz w:val="24"/>
        </w:rPr>
        <w:t>Desktop + Web · 28 modules (M01–M28)</w:t>
      </w:r>
    </w:p>
    <w:p>
      <w:pPr>
        <w:spacing w:after="120"/>
      </w:pPr>
      <w:r>
        <w:rPr>
          <w:rFonts w:ascii="Calibri" w:hAnsi="Calibri" w:eastAsia="Calibri"/>
          <w:b w:val="0"/>
          <w:color w:val="475569"/>
          <w:sz w:val="22"/>
        </w:rPr>
        <w:t>Updated: 7 September 2026 · Audience: Management, HR, project stakeholders</w:t>
      </w:r>
    </w:p>
    <w:p>
      <w:pPr>
        <w:spacing w:after="120"/>
      </w:pPr>
      <w:r>
        <w:rPr>
          <w:rFonts w:ascii="Calibri" w:hAnsi="Calibri" w:eastAsia="Calibri"/>
          <w:b w:val="0"/>
          <w:color w:val="475569"/>
          <w:sz w:val="22"/>
        </w:rPr>
        <w:t>Desktop = People360 installer (pulse/). Web = Skolaris /people360 (iskolaris-fe + iskolaris-be). Combined = best of both; M01, M05, M07 are desktop Ready (web N/A for M01/M07); M16 is web-only (desktop N/A).</w:t>
      </w:r>
    </w:p>
    <w:p>
      <w:pPr>
        <w:spacing w:before="200" w:after="120"/>
      </w:pPr>
      <w:r>
        <w:rPr>
          <w:rFonts w:ascii="Calibri" w:hAnsi="Calibri" w:eastAsia="Calibri"/>
          <w:b/>
          <w:color w:val="0B318F"/>
          <w:sz w:val="26"/>
        </w:rPr>
        <w:t>Progress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B318F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216"/>
            <w:shd w:fill="0B318F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3216"/>
            <w:shd w:fill="0B318F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sz w:val="16"/>
              </w:rPr>
              <w:t>Combined Ready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sz w:val="16"/>
              </w:rPr>
              <w:t>4 of 28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sz w:val="16"/>
              </w:rPr>
              <w:t>14.3% of full blueprint — M01, M05, M07, M16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sz w:val="16"/>
              </w:rPr>
              <w:t>Partial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sz w:val="16"/>
              </w:rPr>
              <w:t>9 of 28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sz w:val="16"/>
              </w:rPr>
              <w:t>Usable but incomplete on Combined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sz w:val="16"/>
              </w:rPr>
              <w:t>Not yet built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sz w:val="16"/>
              </w:rPr>
              <w:t>15 of 28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sz w:val="16"/>
              </w:rPr>
              <w:t>No workflow on either product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sz w:val="16"/>
              </w:rPr>
              <w:t>MVP Ready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sz w:val="16"/>
              </w:rPr>
              <w:t>4 of 17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sz w:val="16"/>
              </w:rPr>
              <w:t>MVP-tier modules marked Ready on Combined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color w:val="166534"/>
          <w:sz w:val="22"/>
        </w:rPr>
        <w:t>Visual progress bar (Combined): Ready 4 · Partial 9 · Pending 15.</w:t>
      </w:r>
    </w:p>
    <w:p>
      <w:pPr>
        <w:spacing w:before="200" w:after="120"/>
      </w:pPr>
      <w:r>
        <w:rPr>
          <w:rFonts w:ascii="Calibri" w:hAnsi="Calibri" w:eastAsia="Calibri"/>
          <w:b/>
          <w:color w:val="0B318F"/>
          <w:sz w:val="26"/>
        </w:rPr>
        <w:t>Last week completed (1–7 September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fill="0B318F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378"/>
            <w:shd w:fill="0B318F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1378"/>
            <w:shd w:fill="0B318F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Modules</w:t>
            </w:r>
          </w:p>
        </w:tc>
        <w:tc>
          <w:tcPr>
            <w:tcW w:type="dxa" w:w="1378"/>
            <w:shd w:fill="0B318F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Product</w:t>
            </w:r>
          </w:p>
        </w:tc>
        <w:tc>
          <w:tcPr>
            <w:tcW w:type="dxa" w:w="1378"/>
            <w:shd w:fill="0B318F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Dates</w:t>
            </w:r>
          </w:p>
        </w:tc>
        <w:tc>
          <w:tcPr>
            <w:tcW w:type="dxa" w:w="1378"/>
            <w:shd w:fill="0B318F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378"/>
            <w:shd w:fill="0B318F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378"/>
          </w:tcPr>
          <w:p>
            <w:r>
              <w:rPr>
                <w:rFonts w:ascii="Calibri" w:hAnsi="Calibri" w:eastAsia="Calibri"/>
                <w:sz w:val="16"/>
              </w:rPr>
              <w:t>W1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sz w:val="16"/>
              </w:rPr>
              <w:t>Payslip send by email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sz w:val="16"/>
              </w:rPr>
              <w:t>M07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sz w:val="16"/>
              </w:rPr>
              <w:t>Desktop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sz w:val="16"/>
              </w:rPr>
              <w:t>1–7 Sep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sz w:val="16"/>
              </w:rPr>
              <w:t>Done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sz w:val="16"/>
              </w:rPr>
              <w:t>SES API; noreply@skolaris.icct.edu.ph; Payroll Transaction Payslip tab + PDF attach.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color w:val="0B318F"/>
          <w:sz w:val="26"/>
        </w:rPr>
        <w:t>This week — targets (8–14 September 2026)</w:t>
      </w:r>
    </w:p>
    <w:p>
      <w:pPr>
        <w:spacing w:after="120"/>
      </w:pPr>
      <w:r>
        <w:rPr>
          <w:rFonts w:ascii="Calibri" w:hAnsi="Calibri" w:eastAsia="Calibri"/>
          <w:b/>
          <w:color w:val="475569"/>
          <w:sz w:val="22"/>
        </w:rPr>
        <w:t>Target outcome: Payroll imports approved web forms (OT amendment, Job Order/WRF) into the desktop batch instead of re-keying.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fill="0B318F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378"/>
            <w:shd w:fill="0B318F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1378"/>
            <w:shd w:fill="0B318F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Modules</w:t>
            </w:r>
          </w:p>
        </w:tc>
        <w:tc>
          <w:tcPr>
            <w:tcW w:type="dxa" w:w="1378"/>
            <w:shd w:fill="0B318F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Product</w:t>
            </w:r>
          </w:p>
        </w:tc>
        <w:tc>
          <w:tcPr>
            <w:tcW w:type="dxa" w:w="1378"/>
            <w:shd w:fill="0B318F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Dates</w:t>
            </w:r>
          </w:p>
        </w:tc>
        <w:tc>
          <w:tcPr>
            <w:tcW w:type="dxa" w:w="1378"/>
            <w:shd w:fill="0B318F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1378"/>
            <w:shd w:fill="0B318F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378"/>
          </w:tcPr>
          <w:p>
            <w:r>
              <w:rPr>
                <w:rFonts w:ascii="Calibri" w:hAnsi="Calibri" w:eastAsia="Calibri"/>
                <w:sz w:val="16"/>
              </w:rPr>
              <w:t>W2a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sz w:val="16"/>
              </w:rPr>
              <w:t>Pull approved ESS forms from People360 web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sz w:val="16"/>
              </w:rPr>
              <w:t>M05 / M07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sz w:val="16"/>
              </w:rPr>
              <w:t>Desktop + Web BE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sz w:val="16"/>
              </w:rPr>
              <w:t>8–11 Sep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sz w:val="16"/>
              </w:rPr>
              <w:t>Pulse API key (employee_requests sync)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sz w:val="16"/>
              </w:rPr>
              <w:t>GET /pulse-api/v1/employee-requests/sync — desktop local store.</w:t>
            </w:r>
          </w:p>
        </w:tc>
      </w:tr>
      <w:tr>
        <w:tc>
          <w:tcPr>
            <w:tcW w:type="dxa" w:w="1378"/>
          </w:tcPr>
          <w:p>
            <w:r>
              <w:rPr>
                <w:rFonts w:ascii="Calibri" w:hAnsi="Calibri" w:eastAsia="Calibri"/>
                <w:sz w:val="16"/>
              </w:rPr>
              <w:t>W2b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sz w:val="16"/>
              </w:rPr>
              <w:t>Apply synced forms to payroll batch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sz w:val="16"/>
              </w:rPr>
              <w:t>M05 / M07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sz w:val="16"/>
              </w:rPr>
              <w:t>Desktop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sz w:val="16"/>
              </w:rPr>
              <w:t>11–14 Sep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sz w:val="16"/>
              </w:rPr>
              <w:t>W2a complete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sz w:val="16"/>
              </w:rPr>
              <w:t>OT amendments, Job Order/WRF → batch lines before compute/post.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color w:val="475569"/>
          <w:sz w:val="20"/>
        </w:rPr>
        <w:t>Out of scope this week: recruitment, onboarding workflow (M04 deferred).</w:t>
      </w:r>
    </w:p>
    <w:p>
      <w:pPr>
        <w:spacing w:before="200" w:after="120"/>
      </w:pPr>
      <w:r>
        <w:rPr>
          <w:rFonts w:ascii="Calibri" w:hAnsi="Calibri" w:eastAsia="Calibri"/>
          <w:b/>
          <w:color w:val="0B318F"/>
          <w:sz w:val="26"/>
        </w:rPr>
        <w:t>September 2026 (after next week)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0B318F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Window</w:t>
            </w:r>
          </w:p>
        </w:tc>
        <w:tc>
          <w:tcPr>
            <w:tcW w:type="dxa" w:w="2412"/>
            <w:shd w:fill="0B318F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2412"/>
            <w:shd w:fill="0B318F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Modules</w:t>
            </w:r>
          </w:p>
        </w:tc>
        <w:tc>
          <w:tcPr>
            <w:tcW w:type="dxa" w:w="2412"/>
            <w:shd w:fill="0B318F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15–21 Sep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Payslip + forms hardening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M07, M05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UAT fixes; sync audit log; installer if needed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22–28 Sep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Leave ↔ payroll tie-in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M06, M05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Approved web leave in desktop batch; desktop leave lines hardening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29 Sep – 5 Oct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Forms + leave polish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M06, M05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UAT fixes; approved leave import to batch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color w:val="0B318F"/>
          <w:sz w:val="26"/>
        </w:rPr>
        <w:t>Q4 2026 — MVP gaps &amp; deferred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0B318F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12"/>
            <w:shd w:fill="0B318F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412"/>
            <w:shd w:fill="0B318F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Target window</w:t>
            </w:r>
          </w:p>
        </w:tc>
        <w:tc>
          <w:tcPr>
            <w:tcW w:type="dxa" w:w="2412"/>
            <w:shd w:fill="0B318F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MVP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M12 Separation / clearance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Nov 2026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Clearance workflow + final pay hooks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MVP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M17 / M08 Effective-dated govt tables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Nov–Dec 2026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Version SSS / PhilHealth / Pag-IBIG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MVP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M03 Recruitment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Dec 2026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If hire-to-retire is in scope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MVP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M11 / M13 / M14 Discipline, contractors, OSH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Oct–Dec 2026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Risk modules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Phase 2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M09, M10, M21–M23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Dec 2026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Performance, L&amp;D, faculty eval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Phase 3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M26–M28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Dec 2026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Succession, AI advisory, ESG (stretch backlog)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Deferred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M04 Onboarding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TBD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Not in current plan — ESS document upload/review stays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color w:val="0B318F"/>
          <w:sz w:val="26"/>
        </w:rPr>
        <w:t>Blueprint stages — high-level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B318F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216"/>
            <w:shd w:fill="0B318F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Target substantially complete</w:t>
            </w:r>
          </w:p>
        </w:tc>
        <w:tc>
          <w:tcPr>
            <w:tcW w:type="dxa" w:w="3216"/>
            <w:shd w:fill="0B318F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Key milestones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sz w:val="16"/>
              </w:rPr>
              <w:t>1 Foundation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sz w:val="16"/>
              </w:rPr>
              <w:t>Done (desktop M01)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sz w:val="16"/>
              </w:rPr>
              <w:t>—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sz w:val="16"/>
              </w:rPr>
              <w:t>2 Daily HR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sz w:val="16"/>
              </w:rPr>
              <w:t>Dec 2026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sz w:val="16"/>
              </w:rPr>
              <w:t>M16 forms bridge (Sep 2026 W2); M06 web leave Ready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sz w:val="16"/>
              </w:rPr>
              <w:t>3 Payroll &amp; compliance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sz w:val="16"/>
              </w:rPr>
              <w:t>Dec 2026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sz w:val="16"/>
              </w:rPr>
              <w:t>M07 desktop Ready; M17 (Nov 2026)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sz w:val="16"/>
              </w:rPr>
              <w:t>4 Risk &amp; outsourcing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sz w:val="16"/>
              </w:rPr>
              <w:t>Dec 2026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sz w:val="16"/>
              </w:rPr>
              <w:t>M11–M14 greenfield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sz w:val="16"/>
              </w:rPr>
              <w:t>5 Education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sz w:val="16"/>
              </w:rPr>
              <w:t>Dec 2026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sz w:val="16"/>
              </w:rPr>
              <w:t>M19/M20 completion; M21+ phase 2 stretch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sz w:val="16"/>
              </w:rPr>
              <w:t>6–7 Intelligence / advanced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sz w:val="16"/>
              </w:rPr>
              <w:t>Dec 2026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sz w:val="16"/>
              </w:rPr>
              <w:t>Reporting first; AI/ESG if capacity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color w:val="0B318F"/>
          <w:sz w:val="26"/>
        </w:rPr>
        <w:t>External checklist (this week)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B318F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216"/>
            <w:shd w:fill="0B318F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3216"/>
            <w:shd w:fill="0B318F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Needed for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sz w:val="16"/>
              </w:rPr>
              <w:t>Pulse API key: employee_requests list + sync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sz w:val="16"/>
              </w:rPr>
              <w:t>Skolaris admin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sz w:val="16"/>
              </w:rPr>
              <w:t>W2a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sz w:val="16"/>
              </w:rPr>
              <w:t>HR: sample approved OT + Job Order in staging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sz w:val="16"/>
              </w:rPr>
              <w:t>HR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sz w:val="16"/>
              </w:rPr>
              <w:t>W2b UAT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sz w:val="16"/>
              </w:rPr>
              <w:t>Campus PCs People360 1.0.2+ with HTTPS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sz w:val="16"/>
              </w:rPr>
              <w:t>Campus IT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sz w:val="16"/>
              </w:rPr>
              <w:t>W2a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color w:val="0B318F"/>
          <w:sz w:val="26"/>
        </w:rPr>
        <w:t>Desktop Ready — agreed scope (3 modules)</w:t>
      </w:r>
    </w:p>
    <w:p>
      <w:pPr>
        <w:spacing w:after="120"/>
      </w:pPr>
      <w:r>
        <w:rPr>
          <w:rFonts w:ascii="Calibri" w:hAnsi="Calibri" w:eastAsia="Calibri"/>
          <w:b/>
          <w:color w:val="475569"/>
          <w:sz w:val="22"/>
        </w:rPr>
        <w:t>Gaps listed under Web are not desktop owner work.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0B318F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412"/>
            <w:shd w:fill="0B318F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412"/>
            <w:shd w:fill="0B318F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Desktop (Ready)</w:t>
            </w:r>
          </w:p>
        </w:tc>
        <w:tc>
          <w:tcPr>
            <w:tcW w:type="dxa" w:w="2412"/>
            <w:shd w:fill="0B318F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Web (not desktop)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M01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Organization &amp; HR Configuration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Campuses, colleges, programs, departments, positions, designations, ranks, employment types, payroll calendar, holidays, users/roles.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Web N/A — org configuration is desktop-only (org chart deferred).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M05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Time, Attendance &amp; Scheduling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Policy, shifts, holidays, time log upload, biometric S3 pull, HR attendance edit, payroll OT, faculty load.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Live clock-in, QR punch, OB, ESS corrections, attendance approval.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M07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Payroll &amp; Statutory Pay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Compute/post, payslips, register, BIR reports, payslip email.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sz w:val="16"/>
              </w:rPr>
              <w:t>Web N/A — live payroll is desktop-only.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color w:val="0B318F"/>
          <w:sz w:val="26"/>
        </w:rPr>
        <w:t>Full module map — Desktop · Web · Combined</w:t>
      </w:r>
    </w:p>
    <w:p>
      <w:pPr>
        <w:spacing w:after="120"/>
      </w:pPr>
      <w:r>
        <w:rPr>
          <w:rFonts w:ascii="Calibri" w:hAnsi="Calibri" w:eastAsia="Calibri"/>
          <w:b w:val="0"/>
          <w:color w:val="475569"/>
          <w:sz w:val="20"/>
        </w:rPr>
        <w:t>Target date = planned substantially complete (from §10 delivery timeline).</w:t>
      </w:r>
    </w:p>
    <w:p>
      <w:pPr>
        <w:spacing w:after="120"/>
      </w:pPr>
      <w:r>
        <w:rPr>
          <w:rFonts w:ascii="Calibri" w:hAnsi="Calibri" w:eastAsia="Calibri"/>
          <w:b/>
          <w:color w:val="475569"/>
          <w:sz w:val="20"/>
        </w:rPr>
        <w:t>M02 open gap: none on desktop (bank accounts shipped). Web master parity still Partial.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fill="0B318F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378"/>
            <w:shd w:fill="0B318F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378"/>
            <w:shd w:fill="0B318F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378"/>
            <w:shd w:fill="0B318F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Target date</w:t>
            </w:r>
          </w:p>
        </w:tc>
        <w:tc>
          <w:tcPr>
            <w:tcW w:type="dxa" w:w="1378"/>
            <w:shd w:fill="0B318F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Desktop</w:t>
            </w:r>
          </w:p>
        </w:tc>
        <w:tc>
          <w:tcPr>
            <w:tcW w:type="dxa" w:w="1378"/>
            <w:shd w:fill="0B318F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Web</w:t>
            </w:r>
          </w:p>
        </w:tc>
        <w:tc>
          <w:tcPr>
            <w:tcW w:type="dxa" w:w="1378"/>
            <w:shd w:fill="0B318F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Combined</w:t>
            </w:r>
          </w:p>
        </w:tc>
      </w:tr>
      <w:tr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M01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Organization &amp; HR Configuration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MVP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Done</w:t>
            </w:r>
          </w:p>
        </w:tc>
        <w:tc>
          <w:tcPr>
            <w:tcW w:type="dxa" w:w="1378"/>
            <w:shd w:fill="DCFCE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Ready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N/A</w:t>
            </w:r>
          </w:p>
        </w:tc>
        <w:tc>
          <w:tcPr>
            <w:tcW w:type="dxa" w:w="1378"/>
            <w:shd w:fill="DCFCE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Ready</w:t>
            </w:r>
          </w:p>
        </w:tc>
      </w:tr>
      <w:tr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M02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Worker / Employee Master Data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MVP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Dec 2026</w:t>
            </w:r>
          </w:p>
        </w:tc>
        <w:tc>
          <w:tcPr>
            <w:tcW w:type="dxa" w:w="1378"/>
            <w:shd w:fill="DCFCE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Ready</w:t>
            </w:r>
          </w:p>
        </w:tc>
        <w:tc>
          <w:tcPr>
            <w:tcW w:type="dxa" w:w="1378"/>
            <w:shd w:fill="FEF3C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Partial</w:t>
            </w:r>
          </w:p>
        </w:tc>
        <w:tc>
          <w:tcPr>
            <w:tcW w:type="dxa" w:w="1378"/>
            <w:shd w:fill="FEF3C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Partial</w:t>
            </w:r>
          </w:p>
        </w:tc>
      </w:tr>
      <w:tr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M03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Recruitment &amp; Applicant Tracking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MVP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Dec 2026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</w:tr>
      <w:tr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M04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Onboarding &amp; Employment Documents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MVP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Deferred</w:t>
            </w:r>
          </w:p>
        </w:tc>
        <w:tc>
          <w:tcPr>
            <w:tcW w:type="dxa" w:w="1378"/>
            <w:shd w:fill="FEF3C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Partial</w:t>
            </w:r>
          </w:p>
        </w:tc>
        <w:tc>
          <w:tcPr>
            <w:tcW w:type="dxa" w:w="1378"/>
            <w:shd w:fill="FEF3C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Partial</w:t>
            </w:r>
          </w:p>
        </w:tc>
        <w:tc>
          <w:tcPr>
            <w:tcW w:type="dxa" w:w="1378"/>
            <w:shd w:fill="FEF3C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Partial</w:t>
            </w:r>
          </w:p>
        </w:tc>
      </w:tr>
      <w:tr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M05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Time, Attendance &amp; Scheduling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MVP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14 Sep 2026</w:t>
            </w:r>
          </w:p>
        </w:tc>
        <w:tc>
          <w:tcPr>
            <w:tcW w:type="dxa" w:w="1378"/>
            <w:shd w:fill="DCFCE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Ready</w:t>
            </w:r>
          </w:p>
        </w:tc>
        <w:tc>
          <w:tcPr>
            <w:tcW w:type="dxa" w:w="1378"/>
            <w:shd w:fill="FEF3C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Partial</w:t>
            </w:r>
          </w:p>
        </w:tc>
        <w:tc>
          <w:tcPr>
            <w:tcW w:type="dxa" w:w="1378"/>
            <w:shd w:fill="DCFCE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Ready</w:t>
            </w:r>
          </w:p>
        </w:tc>
      </w:tr>
      <w:tr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M06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Leave &amp; Absence Management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MVP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Oct 2026</w:t>
            </w:r>
          </w:p>
        </w:tc>
        <w:tc>
          <w:tcPr>
            <w:tcW w:type="dxa" w:w="1378"/>
            <w:shd w:fill="FEF3C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Partial</w:t>
            </w:r>
          </w:p>
        </w:tc>
        <w:tc>
          <w:tcPr>
            <w:tcW w:type="dxa" w:w="1378"/>
            <w:shd w:fill="DCFCE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Ready</w:t>
            </w:r>
          </w:p>
        </w:tc>
        <w:tc>
          <w:tcPr>
            <w:tcW w:type="dxa" w:w="1378"/>
            <w:shd w:fill="FEF3C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Partial</w:t>
            </w:r>
          </w:p>
        </w:tc>
      </w:tr>
      <w:tr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M07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Payroll &amp; Statutory Pay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MVP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Done</w:t>
            </w:r>
          </w:p>
        </w:tc>
        <w:tc>
          <w:tcPr>
            <w:tcW w:type="dxa" w:w="1378"/>
            <w:shd w:fill="DCFCE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Ready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N/A</w:t>
            </w:r>
          </w:p>
        </w:tc>
        <w:tc>
          <w:tcPr>
            <w:tcW w:type="dxa" w:w="1378"/>
            <w:shd w:fill="DCFCE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Ready</w:t>
            </w:r>
          </w:p>
        </w:tc>
      </w:tr>
      <w:tr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M08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Benefits &amp; Government Contributions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MVP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Nov–Dec 2026</w:t>
            </w:r>
          </w:p>
        </w:tc>
        <w:tc>
          <w:tcPr>
            <w:tcW w:type="dxa" w:w="1378"/>
            <w:shd w:fill="FEF3C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Partial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  <w:tc>
          <w:tcPr>
            <w:tcW w:type="dxa" w:w="1378"/>
            <w:shd w:fill="FEF3C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Partial</w:t>
            </w:r>
          </w:p>
        </w:tc>
      </w:tr>
      <w:tr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M09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Performance Management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Phase 2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Dec 2026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</w:tr>
      <w:tr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M10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Learning &amp; Development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Phase 2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Dec 2026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</w:tr>
      <w:tr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M11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Grievance &amp; Discipline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MVP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Dec 2026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</w:tr>
      <w:tr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M12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Separation, Clearance &amp; Retirement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MVP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Nov 2026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</w:tr>
      <w:tr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M13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Contractor &amp; Outsourced Workforce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MVP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Dec 2026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</w:tr>
      <w:tr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M14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Occupational Safety &amp; Health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MVP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Dec 2026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</w:tr>
      <w:tr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M15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Data Privacy &amp; Records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MVP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Dec 2026</w:t>
            </w:r>
          </w:p>
        </w:tc>
        <w:tc>
          <w:tcPr>
            <w:tcW w:type="dxa" w:w="1378"/>
            <w:shd w:fill="FEF3C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Partial</w:t>
            </w:r>
          </w:p>
        </w:tc>
        <w:tc>
          <w:tcPr>
            <w:tcW w:type="dxa" w:w="1378"/>
            <w:shd w:fill="FEF3C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Partial</w:t>
            </w:r>
          </w:p>
        </w:tc>
        <w:tc>
          <w:tcPr>
            <w:tcW w:type="dxa" w:w="1378"/>
            <w:shd w:fill="FEF3C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Partial</w:t>
            </w:r>
          </w:p>
        </w:tc>
      </w:tr>
      <w:tr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M16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Self-Service, Requests &amp; Approvals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MVP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Done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N/A</w:t>
            </w:r>
          </w:p>
        </w:tc>
        <w:tc>
          <w:tcPr>
            <w:tcW w:type="dxa" w:w="1378"/>
            <w:shd w:fill="DCFCE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Ready</w:t>
            </w:r>
          </w:p>
        </w:tc>
        <w:tc>
          <w:tcPr>
            <w:tcW w:type="dxa" w:w="1378"/>
            <w:shd w:fill="DCFCE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Ready</w:t>
            </w:r>
          </w:p>
        </w:tc>
      </w:tr>
      <w:tr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M17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HR Compliance &amp; Legal Rules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MVP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Nov–Dec 2026</w:t>
            </w:r>
          </w:p>
        </w:tc>
        <w:tc>
          <w:tcPr>
            <w:tcW w:type="dxa" w:w="1378"/>
            <w:shd w:fill="FEF3C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Partial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  <w:tc>
          <w:tcPr>
            <w:tcW w:type="dxa" w:w="1378"/>
            <w:shd w:fill="FEF3C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Partial</w:t>
            </w:r>
          </w:p>
        </w:tc>
      </w:tr>
      <w:tr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M18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HR Analytics, Dashboards &amp; Audit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Phase 2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Dec 2026</w:t>
            </w:r>
          </w:p>
        </w:tc>
        <w:tc>
          <w:tcPr>
            <w:tcW w:type="dxa" w:w="1378"/>
            <w:shd w:fill="FEF3C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Partial</w:t>
            </w:r>
          </w:p>
        </w:tc>
        <w:tc>
          <w:tcPr>
            <w:tcW w:type="dxa" w:w="1378"/>
            <w:shd w:fill="FEF3C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Partial</w:t>
            </w:r>
          </w:p>
        </w:tc>
        <w:tc>
          <w:tcPr>
            <w:tcW w:type="dxa" w:w="1378"/>
            <w:shd w:fill="FEF3C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Partial</w:t>
            </w:r>
          </w:p>
        </w:tc>
      </w:tr>
      <w:tr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M19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Faculty &amp; Academic Personnel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MVP (schools)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Dec 2026</w:t>
            </w:r>
          </w:p>
        </w:tc>
        <w:tc>
          <w:tcPr>
            <w:tcW w:type="dxa" w:w="1378"/>
            <w:shd w:fill="FEF3C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Partial</w:t>
            </w:r>
          </w:p>
        </w:tc>
        <w:tc>
          <w:tcPr>
            <w:tcW w:type="dxa" w:w="1378"/>
            <w:shd w:fill="FEF3C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Partial</w:t>
            </w:r>
          </w:p>
        </w:tc>
        <w:tc>
          <w:tcPr>
            <w:tcW w:type="dxa" w:w="1378"/>
            <w:shd w:fill="FEF3C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Partial</w:t>
            </w:r>
          </w:p>
        </w:tc>
      </w:tr>
      <w:tr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M20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Faculty Load, Schedule &amp; Overload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MVP (schools)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Dec 2026</w:t>
            </w:r>
          </w:p>
        </w:tc>
        <w:tc>
          <w:tcPr>
            <w:tcW w:type="dxa" w:w="1378"/>
            <w:shd w:fill="FEF3C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Partial</w:t>
            </w:r>
          </w:p>
        </w:tc>
        <w:tc>
          <w:tcPr>
            <w:tcW w:type="dxa" w:w="1378"/>
            <w:shd w:fill="FEF3C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Partial</w:t>
            </w:r>
          </w:p>
        </w:tc>
        <w:tc>
          <w:tcPr>
            <w:tcW w:type="dxa" w:w="1378"/>
            <w:shd w:fill="FEF3C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Partial</w:t>
            </w:r>
          </w:p>
        </w:tc>
      </w:tr>
      <w:tr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M21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Faculty Evaluation &amp; Promotion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Phase 2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Dec 2026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</w:tr>
      <w:tr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M22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Faculty Development &amp; Research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Phase 2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Dec 2026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</w:tr>
      <w:tr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M23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Student-Safeguarding / Conduct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Phase 2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Dec 2026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</w:tr>
      <w:tr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M24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Sales / Commission &amp; Incentive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Optional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Optional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</w:tr>
      <w:tr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M25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Shift, Field &amp; Branch Workforce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Optional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Optional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</w:tr>
      <w:tr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M26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Succession &amp; Workforce Planning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Phase 3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Dec 2026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</w:tr>
      <w:tr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M27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AI Assistance &amp; Automation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Phase 3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Dec 2026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</w:tr>
      <w:tr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M28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SDG / ESG Workforce Reporting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Phase 3</w:t>
            </w:r>
          </w:p>
        </w:tc>
        <w:tc>
          <w:tcPr>
            <w:tcW w:type="dxa" w:w="1378"/>
          </w:tcPr>
          <w:p>
            <w:r>
              <w:rPr>
                <w:rFonts w:ascii="Calibri" w:hAnsi="Calibri" w:eastAsia="Calibri"/>
                <w:b w:val="0"/>
                <w:sz w:val="16"/>
              </w:rPr>
              <w:t>Dec 2026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  <w:tc>
          <w:tcPr>
            <w:tcW w:type="dxa" w:w="1378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Not yet built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color w:val="0B318F"/>
          <w:sz w:val="26"/>
        </w:rPr>
        <w:t>Related documents</w:t>
      </w:r>
    </w:p>
    <w:p>
      <w:pPr>
        <w:spacing w:after="120"/>
      </w:pPr>
      <w:r>
        <w:rPr>
          <w:rFonts w:ascii="Calibri" w:hAnsi="Calibri" w:eastAsia="Calibri"/>
          <w:b w:val="0"/>
          <w:color w:val="475569"/>
          <w:sz w:val="22"/>
        </w:rPr>
        <w:t>Technical gap analysis + timeline: pulse/docs/hris-blueprint-gap-analysis.md</w:t>
      </w:r>
    </w:p>
    <w:p>
      <w:pPr>
        <w:spacing w:after="120"/>
      </w:pPr>
      <w:r>
        <w:rPr>
          <w:rFonts w:ascii="Calibri" w:hAnsi="Calibri" w:eastAsia="Calibri"/>
          <w:b w:val="0"/>
          <w:color w:val="475569"/>
          <w:sz w:val="22"/>
        </w:rPr>
        <w:t>Progress dashboard (HTML): pulse/docs/People360-HRIS-Blueprint-Progress.html</w:t>
      </w:r>
    </w:p>
    <w:p>
      <w:pPr>
        <w:spacing w:after="120"/>
      </w:pPr>
      <w:r>
        <w:rPr>
          <w:rFonts w:ascii="Calibri" w:hAnsi="Calibri" w:eastAsia="Calibri"/>
          <w:b w:val="0"/>
          <w:color w:val="475569"/>
          <w:sz w:val="22"/>
        </w:rPr>
        <w:t>Stakeholder status report: pulse/docs/People360-HRIS-Blueprint-Status-2026-08-27.html</w:t>
      </w:r>
    </w:p>
    <w:p>
      <w:pPr>
        <w:spacing w:after="120"/>
      </w:pPr>
      <w:r>
        <w:rPr>
          <w:rFonts w:ascii="Calibri" w:hAnsi="Calibri" w:eastAsia="Calibri"/>
          <w:b w:val="0"/>
          <w:color w:val="475569"/>
          <w:sz w:val="22"/>
        </w:rPr>
        <w:t>Blueprint source PDF: pulse/docs/HRIS-Software-Modules-Blueprint-PH.pdf</w:t>
      </w:r>
    </w:p>
    <w:p>
      <w:pPr>
        <w:jc w:val="center"/>
      </w:pPr>
      <w:r>
        <w:rPr>
          <w:rFonts w:ascii="Calibri" w:hAnsi="Calibri" w:eastAsia="Calibri"/>
          <w:b w:val="0"/>
          <w:color w:val="94A3B8"/>
          <w:sz w:val="18"/>
        </w:rPr>
        <w:t>— End of progress report · 7 September 2026 —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