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keepNext/>
        <w:keepLines/>
        <w:widowControl/>
        <w:spacing w:before="0" w:after="0" w:line="480" w:lineRule="auto"/>
        <w:ind w:left="0" w:right="0" w:firstLine="0"/>
        <w:jc w:val="center"/>
        <w:pBdr>
          <w:top w:val="nil"/>
          <w:bottom w:val="nil"/>
          <w:left w:val="nil"/>
          <w:right w:val="nil"/>
          <w:between w:val="nil"/>
          <w:bar w:val="nil"/>
        </w:pBdr>
      </w:pPr>
      <w:r>
        <w:rPr>
          <w:rFonts w:ascii="Times New Roman" w:hAnsi="Times New Roman"/>
          <w:b/>
          <w:i w:val="0"/>
          <w:color w:val="000000"/>
          <w:sz w:val="24"/>
          <w:lang w:val="es-ES"/>
        </w:rPr>
        <w:t>Recursos léxico-semánticos en NLP4RE: un mapeo sistemático con atención al español</w:t>
      </w:r>
    </w:p>
    <w:p>
      <w:pPr>
        <w:pStyle w:val="Heading2"/>
        <w:keepNext/>
        <w:keepLines/>
        <w:widowControl/>
        <w:spacing w:before="0" w:after="0" w:line="480" w:lineRule="auto"/>
        <w:ind w:left="0" w:right="0" w:firstLine="0"/>
        <w:jc w:val="left"/>
      </w:pPr>
      <w:r>
        <w:rPr>
          <w:rFonts w:ascii="Times New Roman" w:hAnsi="Times New Roman"/>
          <w:b/>
          <w:i w:val="0"/>
          <w:color w:val="000000"/>
          <w:sz w:val="24"/>
          <w:lang w:val="es-ES"/>
        </w:rPr>
        <w:t>Resumen</w:t>
      </w:r>
    </w:p>
    <w:p>
      <w:pPr>
        <w:widowControl/>
        <w:spacing w:before="0" w:after="0" w:line="480" w:lineRule="auto"/>
        <w:ind w:left="0" w:right="0" w:firstLine="720"/>
        <w:jc w:val="left"/>
      </w:pPr>
      <w:r>
        <w:rPr>
          <w:rFonts w:ascii="Times New Roman" w:hAnsi="Times New Roman"/>
          <w:b w:val="0"/>
          <w:i w:val="0"/>
          <w:color w:val="000000"/>
          <w:sz w:val="24"/>
          <w:lang w:val="es-ES"/>
        </w:rPr>
        <w:t>El procesamiento de lenguaje natural aplicado a la ingeniería de requisitos (NLP4RE) utiliza recursos léxicos, representaciones vectoriales y modelos de lenguaje para analizar documentos de requisitos. Este estudio caracteriza la evidencia publicada según los recursos empleados, las tareas abordadas, la lengua de los datos, la evaluación y la disponibilidad declarada, con atención al español. Se realizó un mapeo sobre registros de OpenAlex de 2015–2026, con búsqueda principal en julio de 2026 y revisión documental hasta septiembre. La selección asistida por un modelo de lenguaje reunió 1.746 registros de tres flujos; tras retirar 106 duplicados, se excluyeron 834, quedaron 267 sin información suficiente y se incluyeron 539. Los análisis principales describen 533 estudios. Predominan las familias de modelos generativos, presentes en 265 estudios, y la extracción a modelos u ontologías como tarea principal, con 154. Se identificaron 90 recursos concretos en 196 estudios: 37 presentan evidencia documental directa de español, de fuerza heterogénea, y otros 37 tienen una adaptación, versión multilingüe o alternativa identificada. Ocho incluidos de los tres flujos declaran datos en español y abarcan clasificación, similitud, priorización y ambigüedad. La evidencia permite una caracterización documental y una estimación condicionada al inventario identificado; no demuestra ausencia de investigación ni transferencia de rendimiento entre idiomas. La automatización, la cobertura parcial del texto completo y la falta de validación humana global limitan las inferencias. Se plantea evaluar recursos y métodos con requisitos españoles de distintos proyectos, documentando procedencia, anotación y condiciones de reutilización.</w:t>
      </w:r>
    </w:p>
    <w:p>
      <w:pPr>
        <w:widowControl/>
        <w:spacing w:before="0" w:after="0" w:line="480" w:lineRule="auto"/>
        <w:ind w:left="0" w:right="0" w:firstLine="720"/>
        <w:jc w:val="left"/>
      </w:pPr>
      <w:r>
        <w:rPr>
          <w:rFonts w:ascii="Times New Roman" w:hAnsi="Times New Roman"/>
          <w:b/>
          <w:i w:val="0"/>
          <w:color w:val="000000"/>
          <w:sz w:val="24"/>
          <w:lang w:val="es-ES"/>
        </w:rPr>
        <w:t>Palabras clave:</w:t>
      </w:r>
      <w:r>
        <w:rPr>
          <w:rFonts w:ascii="Times New Roman" w:hAnsi="Times New Roman"/>
          <w:b w:val="0"/>
          <w:i w:val="0"/>
          <w:color w:val="000000"/>
          <w:sz w:val="24"/>
          <w:lang w:val="es-ES"/>
        </w:rPr>
        <w:t xml:space="preserve"> ingeniería de requisitos, procesamiento de lenguaje natural, recursos léxico-semánticos, español, mapeo sistemático.</w:t>
      </w:r>
    </w:p>
    <w:p>
      <w:pPr>
        <w:pStyle w:val="Heading2"/>
        <w:keepNext/>
        <w:keepLines/>
        <w:widowControl/>
        <w:spacing w:before="0" w:after="0" w:line="480" w:lineRule="auto"/>
        <w:ind w:left="0" w:right="0" w:firstLine="0"/>
        <w:jc w:val="left"/>
      </w:pPr>
      <w:r>
        <w:rPr>
          <w:rFonts w:ascii="Times New Roman" w:hAnsi="Times New Roman"/>
          <w:b/>
          <w:i/>
          <w:color w:val="000000"/>
          <w:sz w:val="24"/>
          <w:lang w:val="es-ES"/>
        </w:rPr>
        <w:t>Abstract</w:t>
      </w:r>
    </w:p>
    <w:p>
      <w:pPr>
        <w:widowControl/>
        <w:spacing w:before="0" w:after="0" w:line="480" w:lineRule="auto"/>
        <w:ind w:left="0" w:right="0" w:firstLine="720"/>
        <w:jc w:val="left"/>
      </w:pPr>
      <w:r>
        <w:rPr>
          <w:rFonts w:ascii="Times New Roman" w:hAnsi="Times New Roman"/>
          <w:b w:val="0"/>
          <w:i/>
          <w:color w:val="000000"/>
          <w:sz w:val="24"/>
          <w:lang w:val="es-ES"/>
        </w:rPr>
        <w:t xml:space="preserve">Natural language processing for requirements engineering (NLP4RE) uses lexical resources, vector representations, and language models to analyse requirements documents. This study characterizes published evidence by resources, tasks, data language, evaluation, and declared availability, with a focus on Spanish. A systematic mapping was conducted using OpenAlex records for 2015–2026, with the main search in July 2026 and documentary examination through September. Language-model-assisted selection gathered 1,746 records from three streams. After removing 106 duplicates, 834 records were excluded, 267 lacked sufficient information, and 539 were included. Main analyses describe 533 studies. Generative language models are the most frequently identified family, appearing in 265 studies, while extraction into models or ontologies is the most frequent primary task, with 154 studies. Ninety concrete resources were identified in 196 studies: 37 have direct documentary evidence concerning Spanish, with heterogeneous evidential strength, and another 37 have an identified adaptation, multilingual version, or alternative. Eight included studies across the three streams explicitly analyse Spanish data, covering classification, similarity, prioritization, and ambiguity. The findings support documentary characterization and an estimate conditional on the identified inventory; they establish neither an absence of research nor cross-language performance transfer. Automated decisions, limited full-text coverage, and the lack of global human validation constrain inference. Future evaluations should use </w:t>
      </w:r>
      <w:r>
        <w:rPr>
          <w:rFonts w:ascii="Times New Roman" w:hAnsi="Times New Roman"/>
          <w:b w:val="0"/>
          <w:i/>
          <w:color w:val="000000"/>
          <w:sz w:val="24"/>
          <w:lang w:val="es-ES"/>
        </w:rPr>
        <w:t>Spanish requirements</w:t>
      </w:r>
      <w:r>
        <w:rPr>
          <w:rFonts w:ascii="Times New Roman" w:hAnsi="Times New Roman"/>
          <w:b w:val="0"/>
          <w:i/>
          <w:color w:val="000000"/>
          <w:sz w:val="24"/>
          <w:lang w:val="es-ES"/>
        </w:rPr>
        <w:t xml:space="preserve"> from different projects and document data provenance, annotation, and reuse conditions.</w:t>
      </w:r>
    </w:p>
    <w:p>
      <w:pPr>
        <w:widowControl/>
        <w:spacing w:before="0" w:after="0" w:line="480" w:lineRule="auto"/>
        <w:ind w:left="0" w:right="0" w:firstLine="720"/>
        <w:jc w:val="left"/>
      </w:pPr>
      <w:r>
        <w:rPr>
          <w:rFonts w:ascii="Times New Roman" w:hAnsi="Times New Roman"/>
          <w:b/>
          <w:i/>
          <w:color w:val="000000"/>
          <w:sz w:val="24"/>
          <w:lang w:val="es-ES"/>
        </w:rPr>
        <w:t>Keywords:</w:t>
      </w:r>
      <w:r>
        <w:rPr>
          <w:rFonts w:ascii="Times New Roman" w:hAnsi="Times New Roman"/>
          <w:b w:val="0"/>
          <w:i/>
          <w:color w:val="000000"/>
          <w:sz w:val="24"/>
          <w:lang w:val="es-ES"/>
        </w:rPr>
        <w:t xml:space="preserve"> requirements engineering, natural language processing, lexical-semantic resources, Spanish, systematic mapping.</w:t>
      </w:r>
    </w:p>
    <w:p>
      <w:pPr>
        <w:pStyle w:val="Heading2"/>
        <w:keepNext/>
        <w:keepLines/>
        <w:widowControl/>
        <w:spacing w:before="0" w:after="0" w:line="480" w:lineRule="auto"/>
        <w:ind w:left="0" w:right="0" w:firstLine="0"/>
        <w:jc w:val="left"/>
      </w:pPr>
      <w:r>
        <w:rPr>
          <w:rFonts w:ascii="Times New Roman" w:hAnsi="Times New Roman"/>
          <w:b/>
          <w:i w:val="0"/>
          <w:color w:val="000000"/>
          <w:sz w:val="24"/>
          <w:lang w:val="es-ES"/>
        </w:rPr>
        <w:t>1. Introducción</w:t>
      </w:r>
    </w:p>
    <w:p>
      <w:pPr>
        <w:widowControl/>
        <w:spacing w:before="0" w:after="0" w:line="480" w:lineRule="auto"/>
        <w:ind w:left="0" w:right="0" w:firstLine="720"/>
        <w:jc w:val="left"/>
      </w:pPr>
      <w:r>
        <w:rPr>
          <w:rFonts w:ascii="Times New Roman" w:hAnsi="Times New Roman"/>
          <w:b w:val="0"/>
          <w:i w:val="0"/>
          <w:color w:val="000000"/>
          <w:sz w:val="24"/>
          <w:lang w:val="es-ES"/>
        </w:rPr>
        <w:t xml:space="preserve">La ingeniería de requisitos, RE por </w:t>
      </w:r>
      <w:r>
        <w:rPr>
          <w:rFonts w:ascii="Times New Roman" w:hAnsi="Times New Roman"/>
          <w:b w:val="0"/>
          <w:i/>
          <w:color w:val="000000"/>
          <w:sz w:val="24"/>
          <w:lang w:val="es-ES"/>
        </w:rPr>
        <w:t>requirements engineering</w:t>
      </w:r>
      <w:r>
        <w:rPr>
          <w:rFonts w:ascii="Times New Roman" w:hAnsi="Times New Roman"/>
          <w:b w:val="0"/>
          <w:i w:val="0"/>
          <w:color w:val="000000"/>
          <w:sz w:val="24"/>
          <w:lang w:val="es-ES"/>
        </w:rPr>
        <w:t xml:space="preserve">, utiliza especificaciones, historias de usuario y otros documentos en lenguaje natural para expresar necesidades y restricciones de los sistemas. El procesamiento de lenguaje natural, NLP por </w:t>
      </w:r>
      <w:r>
        <w:rPr>
          <w:rFonts w:ascii="Times New Roman" w:hAnsi="Times New Roman"/>
          <w:b w:val="0"/>
          <w:i/>
          <w:color w:val="000000"/>
          <w:sz w:val="24"/>
          <w:lang w:val="es-ES"/>
        </w:rPr>
        <w:t>natural language processing</w:t>
      </w:r>
      <w:r>
        <w:rPr>
          <w:rFonts w:ascii="Times New Roman" w:hAnsi="Times New Roman"/>
          <w:b w:val="0"/>
          <w:i w:val="0"/>
          <w:color w:val="000000"/>
          <w:sz w:val="24"/>
          <w:lang w:val="es-ES"/>
        </w:rPr>
        <w:t>, apoya su clasificación, revisión de calidad, comparación y transformación. NLP4RE designa la aplicación de estas técnicas a las actividades de ingeniería de requisitos.</w:t>
      </w:r>
    </w:p>
    <w:p>
      <w:pPr>
        <w:widowControl/>
        <w:spacing w:before="0" w:after="0" w:line="480" w:lineRule="auto"/>
        <w:ind w:left="0" w:right="0" w:firstLine="720"/>
        <w:jc w:val="left"/>
      </w:pPr>
      <w:r>
        <w:rPr>
          <w:rFonts w:ascii="Times New Roman" w:hAnsi="Times New Roman"/>
          <w:b w:val="0"/>
          <w:i w:val="0"/>
          <w:color w:val="000000"/>
          <w:sz w:val="24"/>
          <w:lang w:val="es-ES"/>
        </w:rPr>
        <w:t xml:space="preserve">Los recursos que sustentan esas aplicaciones representan información diferente. WordNet organiza sentidos y relaciones léxicas </w:t>
      </w:r>
      <w:fldSimple w:instr=" CITATION Mil95 \l 3082 " w:dirty="false" w:fldLock="true">
        <w:r>
          <w:rPr>
            <w:rFonts w:ascii="Times New Roman" w:hAnsi="Times New Roman"/>
            <w:b w:val="0"/>
            <w:i w:val="0"/>
            <w:color w:val="000000"/>
            <w:sz w:val="24"/>
            <w:lang w:val="es-ES"/>
          </w:rPr>
          <w:t>(Miller, 1995)</w:t>
        </w:r>
      </w:fldSimple>
      <w:r>
        <w:rPr>
          <w:rFonts w:ascii="Times New Roman" w:hAnsi="Times New Roman"/>
          <w:b w:val="0"/>
          <w:i w:val="0"/>
          <w:color w:val="000000"/>
          <w:sz w:val="24"/>
          <w:lang w:val="es-ES"/>
        </w:rPr>
        <w:t xml:space="preserve">; FrameNet describe marcos semánticos y sus participantes </w:t>
      </w:r>
      <w:fldSimple w:instr=" CITATION Bak98 \l 3082 " w:dirty="false" w:fldLock="true">
        <w:r>
          <w:rPr>
            <w:rFonts w:ascii="Times New Roman" w:hAnsi="Times New Roman"/>
            <w:b w:val="0"/>
            <w:i w:val="0"/>
            <w:color w:val="000000"/>
            <w:sz w:val="24"/>
            <w:lang w:val="es-ES"/>
          </w:rPr>
          <w:t xml:space="preserve">(Baker </w:t>
        </w:r>
        <w:r>
          <w:rPr>
            <w:rFonts w:ascii="Times New Roman" w:hAnsi="Times New Roman"/>
            <w:b w:val="0"/>
            <w:i/>
            <w:color w:val="000000"/>
            <w:sz w:val="24"/>
            <w:lang w:val="es-ES"/>
          </w:rPr>
          <w:t>et al.</w:t>
        </w:r>
        <w:r>
          <w:rPr>
            <w:rFonts w:ascii="Times New Roman" w:hAnsi="Times New Roman"/>
            <w:b w:val="0"/>
            <w:i w:val="0"/>
            <w:color w:val="000000"/>
            <w:sz w:val="24"/>
            <w:lang w:val="es-ES"/>
          </w:rPr>
          <w:t>, 1998)</w:t>
        </w:r>
      </w:fldSimple>
      <w:r>
        <w:rPr>
          <w:rFonts w:ascii="Times New Roman" w:hAnsi="Times New Roman"/>
          <w:b w:val="0"/>
          <w:i w:val="0"/>
          <w:color w:val="000000"/>
          <w:sz w:val="24"/>
          <w:lang w:val="es-ES"/>
        </w:rPr>
        <w:t xml:space="preserve">. Las representaciones vectoriales, o </w:t>
      </w:r>
      <w:r>
        <w:rPr>
          <w:rFonts w:ascii="Times New Roman" w:hAnsi="Times New Roman"/>
          <w:b w:val="0"/>
          <w:i/>
          <w:color w:val="000000"/>
          <w:sz w:val="24"/>
          <w:lang w:val="es-ES"/>
        </w:rPr>
        <w:t>embeddings</w:t>
      </w:r>
      <w:r>
        <w:rPr>
          <w:rFonts w:ascii="Times New Roman" w:hAnsi="Times New Roman"/>
          <w:b w:val="0"/>
          <w:i w:val="0"/>
          <w:color w:val="000000"/>
          <w:sz w:val="24"/>
          <w:lang w:val="es-ES"/>
        </w:rPr>
        <w:t xml:space="preserve">, abarcan modelos de palabras y subpalabras, como fastText </w:t>
      </w:r>
      <w:fldSimple w:instr=" CITATION Boj17 \l 3082 " w:dirty="false" w:fldLock="true">
        <w:r>
          <w:rPr>
            <w:rFonts w:ascii="Times New Roman" w:hAnsi="Times New Roman"/>
            <w:b w:val="0"/>
            <w:i w:val="0"/>
            <w:color w:val="000000"/>
            <w:sz w:val="24"/>
            <w:lang w:val="es-ES"/>
          </w:rPr>
          <w:t xml:space="preserve">(Bojanowski </w:t>
        </w:r>
        <w:r>
          <w:rPr>
            <w:rFonts w:ascii="Times New Roman" w:hAnsi="Times New Roman"/>
            <w:b w:val="0"/>
            <w:i/>
            <w:color w:val="000000"/>
            <w:sz w:val="24"/>
            <w:lang w:val="es-ES"/>
          </w:rPr>
          <w:t>et al.</w:t>
        </w:r>
        <w:r>
          <w:rPr>
            <w:rFonts w:ascii="Times New Roman" w:hAnsi="Times New Roman"/>
            <w:b w:val="0"/>
            <w:i w:val="0"/>
            <w:color w:val="000000"/>
            <w:sz w:val="24"/>
            <w:lang w:val="es-ES"/>
          </w:rPr>
          <w:t>, 2017)</w:t>
        </w:r>
      </w:fldSimple>
      <w:r>
        <w:rPr>
          <w:rFonts w:ascii="Times New Roman" w:hAnsi="Times New Roman"/>
          <w:b w:val="0"/>
          <w:i w:val="0"/>
          <w:color w:val="000000"/>
          <w:sz w:val="24"/>
          <w:lang w:val="es-ES"/>
        </w:rPr>
        <w:t xml:space="preserve">, y representaciones contextuales, como BERT </w:t>
      </w:r>
      <w:fldSimple w:instr=" CITATION Dev19 \l 3082 " w:dirty="false" w:fldLock="true">
        <w:r>
          <w:rPr>
            <w:rFonts w:ascii="Times New Roman" w:hAnsi="Times New Roman"/>
            <w:b w:val="0"/>
            <w:i w:val="0"/>
            <w:color w:val="000000"/>
            <w:sz w:val="24"/>
            <w:lang w:val="es-ES"/>
          </w:rPr>
          <w:t xml:space="preserve">(Devlin </w:t>
        </w:r>
        <w:r>
          <w:rPr>
            <w:rFonts w:ascii="Times New Roman" w:hAnsi="Times New Roman"/>
            <w:b w:val="0"/>
            <w:i/>
            <w:color w:val="000000"/>
            <w:sz w:val="24"/>
            <w:lang w:val="es-ES"/>
          </w:rPr>
          <w:t>et al.</w:t>
        </w:r>
        <w:r>
          <w:rPr>
            <w:rFonts w:ascii="Times New Roman" w:hAnsi="Times New Roman"/>
            <w:b w:val="0"/>
            <w:i w:val="0"/>
            <w:color w:val="000000"/>
            <w:sz w:val="24"/>
            <w:lang w:val="es-ES"/>
          </w:rPr>
          <w:t>, 2019)</w:t>
        </w:r>
      </w:fldSimple>
      <w:r>
        <w:rPr>
          <w:rFonts w:ascii="Times New Roman" w:hAnsi="Times New Roman"/>
          <w:b w:val="0"/>
          <w:i w:val="0"/>
          <w:color w:val="000000"/>
          <w:sz w:val="24"/>
          <w:lang w:val="es-ES"/>
        </w:rPr>
        <w:t xml:space="preserve">. Los grandes modelos de lenguaje, LLM por </w:t>
      </w:r>
      <w:r>
        <w:rPr>
          <w:rFonts w:ascii="Times New Roman" w:hAnsi="Times New Roman"/>
          <w:b w:val="0"/>
          <w:i/>
          <w:color w:val="000000"/>
          <w:sz w:val="24"/>
          <w:lang w:val="es-ES"/>
        </w:rPr>
        <w:t>large language models</w:t>
      </w:r>
      <w:r>
        <w:rPr>
          <w:rFonts w:ascii="Times New Roman" w:hAnsi="Times New Roman"/>
          <w:b w:val="0"/>
          <w:i w:val="0"/>
          <w:color w:val="000000"/>
          <w:sz w:val="24"/>
          <w:lang w:val="es-ES"/>
        </w:rPr>
        <w:t>, también permiten generar o transformar textos. La existencia de un recurso, su empleo en un método y su evaluación sobre un idioma son propiedades distintas.</w:t>
      </w:r>
    </w:p>
    <w:p>
      <w:pPr>
        <w:widowControl/>
        <w:spacing w:before="0" w:after="0" w:line="480" w:lineRule="auto"/>
        <w:ind w:left="0" w:right="0" w:firstLine="720"/>
        <w:jc w:val="left"/>
      </w:pPr>
      <w:r>
        <w:rPr>
          <w:rFonts w:ascii="Times New Roman" w:hAnsi="Times New Roman"/>
          <w:b w:val="0"/>
          <w:i w:val="0"/>
          <w:color w:val="000000"/>
          <w:sz w:val="24"/>
          <w:lang w:val="es-ES"/>
        </w:rPr>
        <w:t>El problema de investigación consiste en determinar qué evidencia permite relacionar esos recursos con requisitos en español. Un modelo puede documentar capacidades en español sin haber sido evaluado en ingeniería de requisitos; un artículo escrito en inglés puede procesar datos españoles; y una herramienta puede describirse sin publicar su código. Contar publicaciones o inferir la lengua de los datos a partir de la lengua del artículo no resuelve estas diferencias.</w:t>
      </w:r>
    </w:p>
    <w:p>
      <w:pPr>
        <w:widowControl/>
        <w:spacing w:before="0" w:after="0" w:line="480" w:lineRule="auto"/>
        <w:ind w:left="0" w:right="0" w:firstLine="720"/>
        <w:jc w:val="left"/>
      </w:pPr>
      <w:r>
        <w:rPr>
          <w:rFonts w:ascii="Times New Roman" w:hAnsi="Times New Roman"/>
          <w:b w:val="0"/>
          <w:i w:val="0"/>
          <w:color w:val="000000"/>
          <w:sz w:val="24"/>
          <w:lang w:val="es-ES"/>
        </w:rPr>
        <w:t>El objetivo es caracterizar los estudios de NLP4RE identificados en OpenAlex para 2015–2026 según los recursos léxico-semánticos empleados, las tareas abordadas, la lengua de los datos, la forma de evaluación y la disponibilidad declarada de código y datos; determinar, entre los recursos concretos identificados, la evidencia de soporte, adaptación o alternativa para el español; y delimitar los vacíos observados en los estudios incluidos. La caracterización se basa en títulos, resúmenes y, cuando están disponibles, fragmentos de texto completo, con cobertura explícita para cada dimensión.</w:t>
      </w:r>
    </w:p>
    <w:p>
      <w:pPr>
        <w:widowControl/>
        <w:spacing w:before="0" w:after="0" w:line="480" w:lineRule="auto"/>
        <w:ind w:left="0" w:right="0" w:firstLine="720"/>
        <w:jc w:val="left"/>
      </w:pPr>
      <w:r>
        <w:rPr>
          <w:rFonts w:ascii="Times New Roman" w:hAnsi="Times New Roman"/>
          <w:b w:val="0"/>
          <w:i w:val="0"/>
          <w:color w:val="000000"/>
          <w:sz w:val="24"/>
          <w:lang w:val="es-ES"/>
        </w:rPr>
        <w:t>La contribución es documental: organiza atributos que suelen confundirse y relaciona el uso de un recurso con la tarea y la evidencia lingüística disponible. El trabajo no presenta una herramienta nueva ni compara experimentalmente el rendimiento de las soluciones. Su utilidad consiste en fundamentar la selección de candidatos para nuevas evaluaciones, sin convertir una disponibilidad declarada en una garantía de eficacia.</w:t>
      </w:r>
    </w:p>
    <w:p>
      <w:pPr>
        <w:pStyle w:val="Heading2"/>
        <w:keepNext/>
        <w:keepLines/>
        <w:widowControl/>
        <w:spacing w:before="0" w:after="0" w:line="480" w:lineRule="auto"/>
        <w:ind w:left="0" w:right="0" w:firstLine="0"/>
        <w:jc w:val="left"/>
      </w:pPr>
      <w:r>
        <w:rPr>
          <w:rFonts w:ascii="Times New Roman" w:hAnsi="Times New Roman"/>
          <w:b/>
          <w:i w:val="0"/>
          <w:color w:val="000000"/>
          <w:sz w:val="24"/>
          <w:lang w:val="es-ES"/>
        </w:rPr>
        <w:t>2. Antecedentes y preguntas de investigación</w:t>
      </w:r>
    </w:p>
    <w:p>
      <w:pPr>
        <w:widowControl/>
        <w:spacing w:before="0" w:after="0" w:line="480" w:lineRule="auto"/>
        <w:ind w:left="0" w:right="0" w:firstLine="720"/>
        <w:jc w:val="left"/>
      </w:pPr>
      <w:r>
        <w:rPr>
          <w:rFonts w:ascii="Times New Roman" w:hAnsi="Times New Roman"/>
          <w:b w:val="0"/>
          <w:i w:val="0"/>
          <w:color w:val="000000"/>
          <w:sz w:val="24"/>
          <w:lang w:val="es-ES"/>
        </w:rPr>
        <w:t xml:space="preserve">Los mapeos sistemáticos estructuran un área mediante categorías y relaciones entre publicaciones </w:t>
      </w:r>
      <w:fldSimple w:instr=" CITATION Pet08 \l 3082 \m Pet15 " w:dirty="false" w:fldLock="true">
        <w:r>
          <w:rPr>
            <w:rFonts w:ascii="Times New Roman" w:hAnsi="Times New Roman"/>
            <w:b w:val="0"/>
            <w:i w:val="0"/>
            <w:color w:val="000000"/>
            <w:sz w:val="24"/>
            <w:lang w:val="es-ES"/>
          </w:rPr>
          <w:t xml:space="preserve">(Petersen </w:t>
        </w:r>
        <w:r>
          <w:rPr>
            <w:rFonts w:ascii="Times New Roman" w:hAnsi="Times New Roman"/>
            <w:b w:val="0"/>
            <w:i/>
            <w:color w:val="000000"/>
            <w:sz w:val="24"/>
            <w:lang w:val="es-ES"/>
          </w:rPr>
          <w:t>et al.</w:t>
        </w:r>
        <w:r>
          <w:rPr>
            <w:rFonts w:ascii="Times New Roman" w:hAnsi="Times New Roman"/>
            <w:b w:val="0"/>
            <w:i w:val="0"/>
            <w:color w:val="000000"/>
            <w:sz w:val="24"/>
            <w:lang w:val="es-ES"/>
          </w:rPr>
          <w:t xml:space="preserve">, 2008; Petersen </w:t>
        </w:r>
        <w:r>
          <w:rPr>
            <w:rFonts w:ascii="Times New Roman" w:hAnsi="Times New Roman"/>
            <w:b w:val="0"/>
            <w:i/>
            <w:color w:val="000000"/>
            <w:sz w:val="24"/>
            <w:lang w:val="es-ES"/>
          </w:rPr>
          <w:t>et al.</w:t>
        </w:r>
        <w:r>
          <w:rPr>
            <w:rFonts w:ascii="Times New Roman" w:hAnsi="Times New Roman"/>
            <w:b w:val="0"/>
            <w:i w:val="0"/>
            <w:color w:val="000000"/>
            <w:sz w:val="24"/>
            <w:lang w:val="es-ES"/>
          </w:rPr>
          <w:t>, 2015)</w:t>
        </w:r>
      </w:fldSimple>
      <w:r>
        <w:rPr>
          <w:rFonts w:ascii="Times New Roman" w:hAnsi="Times New Roman"/>
          <w:b w:val="0"/>
          <w:i w:val="0"/>
          <w:color w:val="000000"/>
          <w:sz w:val="24"/>
          <w:lang w:val="es-ES"/>
        </w:rPr>
        <w:t xml:space="preserve">. El mapeo de Zhao y colaboradores organiza técnicas, herramientas y recursos de NLP4RE </w:t>
      </w:r>
      <w:fldSimple w:instr=" CITATION Zha21 \l 3082 " w:dirty="false" w:fldLock="true">
        <w:r>
          <w:rPr>
            <w:rFonts w:ascii="Times New Roman" w:hAnsi="Times New Roman"/>
            <w:b w:val="0"/>
            <w:i w:val="0"/>
            <w:color w:val="000000"/>
            <w:sz w:val="24"/>
            <w:lang w:val="es-ES"/>
          </w:rPr>
          <w:t xml:space="preserve">(Zhao </w:t>
        </w:r>
        <w:r>
          <w:rPr>
            <w:rFonts w:ascii="Times New Roman" w:hAnsi="Times New Roman"/>
            <w:b w:val="0"/>
            <w:i/>
            <w:color w:val="000000"/>
            <w:sz w:val="24"/>
            <w:lang w:val="es-ES"/>
          </w:rPr>
          <w:t>et al.</w:t>
        </w:r>
        <w:r>
          <w:rPr>
            <w:rFonts w:ascii="Times New Roman" w:hAnsi="Times New Roman"/>
            <w:b w:val="0"/>
            <w:i w:val="0"/>
            <w:color w:val="000000"/>
            <w:sz w:val="24"/>
            <w:lang w:val="es-ES"/>
          </w:rPr>
          <w:t>, 2021)</w:t>
        </w:r>
      </w:fldSimple>
      <w:r>
        <w:rPr>
          <w:rFonts w:ascii="Times New Roman" w:hAnsi="Times New Roman"/>
          <w:b w:val="0"/>
          <w:i w:val="0"/>
          <w:color w:val="000000"/>
          <w:sz w:val="24"/>
          <w:lang w:val="es-ES"/>
        </w:rPr>
        <w:t>. Este estudio adopta esa distinción y se concentra en la relación entre recursos e idioma de los requisitos. Los recuentos no se comparan como crecimiento frente a otros mapeos, porque cambian las búsquedas, los períodos y la elegibilidad.</w:t>
      </w:r>
    </w:p>
    <w:p>
      <w:pPr>
        <w:widowControl/>
        <w:spacing w:before="0" w:after="0" w:line="480" w:lineRule="auto"/>
        <w:ind w:left="0" w:right="0" w:firstLine="720"/>
        <w:jc w:val="left"/>
      </w:pPr>
      <w:r>
        <w:rPr>
          <w:rFonts w:ascii="Times New Roman" w:hAnsi="Times New Roman"/>
          <w:b w:val="0"/>
          <w:i w:val="0"/>
          <w:color w:val="000000"/>
          <w:sz w:val="24"/>
          <w:lang w:val="es-ES"/>
        </w:rPr>
        <w:t xml:space="preserve">La investigación en español cuenta con antecedentes verificables. Guzmán Luna y colaboradores abordan errores y desambiguación de requisitos </w:t>
      </w:r>
      <w:fldSimple w:instr=" CITATION Guz15 \l 3082 " w:dirty="false" w:fldLock="true">
        <w:r>
          <w:rPr>
            <w:rFonts w:ascii="Times New Roman" w:hAnsi="Times New Roman"/>
            <w:b w:val="0"/>
            <w:i w:val="0"/>
            <w:color w:val="000000"/>
            <w:sz w:val="24"/>
            <w:lang w:val="es-ES"/>
          </w:rPr>
          <w:t xml:space="preserve">(Guzmán Luna </w:t>
        </w:r>
        <w:r>
          <w:rPr>
            <w:rFonts w:ascii="Times New Roman" w:hAnsi="Times New Roman"/>
            <w:b w:val="0"/>
            <w:i/>
            <w:color w:val="000000"/>
            <w:sz w:val="24"/>
            <w:lang w:val="es-ES"/>
          </w:rPr>
          <w:t>et al.</w:t>
        </w:r>
        <w:r>
          <w:rPr>
            <w:rFonts w:ascii="Times New Roman" w:hAnsi="Times New Roman"/>
            <w:b w:val="0"/>
            <w:i w:val="0"/>
            <w:color w:val="000000"/>
            <w:sz w:val="24"/>
            <w:lang w:val="es-ES"/>
          </w:rPr>
          <w:t>, 2015)</w:t>
        </w:r>
      </w:fldSimple>
      <w:r>
        <w:rPr>
          <w:rFonts w:ascii="Times New Roman" w:hAnsi="Times New Roman"/>
          <w:b w:val="0"/>
          <w:i w:val="0"/>
          <w:color w:val="000000"/>
          <w:sz w:val="24"/>
          <w:lang w:val="es-ES"/>
        </w:rPr>
        <w:t xml:space="preserve">; los estudios de clasificación examinan fastText y BETO </w:t>
      </w:r>
      <w:fldSimple w:instr=" CITATION Lim23b \l 3082 " w:dirty="false" w:fldLock="true">
        <w:r>
          <w:rPr>
            <w:rFonts w:ascii="Times New Roman" w:hAnsi="Times New Roman"/>
            <w:b w:val="0"/>
            <w:i w:val="0"/>
            <w:color w:val="000000"/>
            <w:sz w:val="24"/>
            <w:lang w:val="es-ES"/>
          </w:rPr>
          <w:t xml:space="preserve">(Limaylla-Lunarejo </w:t>
        </w:r>
        <w:r>
          <w:rPr>
            <w:rFonts w:ascii="Times New Roman" w:hAnsi="Times New Roman"/>
            <w:b w:val="0"/>
            <w:i/>
            <w:color w:val="000000"/>
            <w:sz w:val="24"/>
            <w:lang w:val="es-ES"/>
          </w:rPr>
          <w:t>et al.</w:t>
        </w:r>
        <w:r>
          <w:rPr>
            <w:rFonts w:ascii="Times New Roman" w:hAnsi="Times New Roman"/>
            <w:b w:val="0"/>
            <w:i w:val="0"/>
            <w:color w:val="000000"/>
            <w:sz w:val="24"/>
            <w:lang w:val="es-ES"/>
          </w:rPr>
          <w:t>, 2023b)</w:t>
        </w:r>
      </w:fldSimple>
      <w:r>
        <w:rPr>
          <w:rFonts w:ascii="Times New Roman" w:hAnsi="Times New Roman"/>
          <w:b w:val="0"/>
          <w:i w:val="0"/>
          <w:color w:val="000000"/>
          <w:sz w:val="24"/>
          <w:lang w:val="es-ES"/>
        </w:rPr>
        <w:t xml:space="preserve">; y Pérez y colaboradores comparan modelos para similitud entre escenarios </w:t>
      </w:r>
      <w:fldSimple w:instr=" CITATION Per25 \l 3082 " w:dirty="false" w:fldLock="true">
        <w:r>
          <w:rPr>
            <w:rFonts w:ascii="Times New Roman" w:hAnsi="Times New Roman"/>
            <w:b w:val="0"/>
            <w:i w:val="0"/>
            <w:color w:val="000000"/>
            <w:sz w:val="24"/>
            <w:lang w:val="es-ES"/>
          </w:rPr>
          <w:t xml:space="preserve">(Pérez </w:t>
        </w:r>
        <w:r>
          <w:rPr>
            <w:rFonts w:ascii="Times New Roman" w:hAnsi="Times New Roman"/>
            <w:b w:val="0"/>
            <w:i/>
            <w:color w:val="000000"/>
            <w:sz w:val="24"/>
            <w:lang w:val="es-ES"/>
          </w:rPr>
          <w:t>et al.</w:t>
        </w:r>
        <w:r>
          <w:rPr>
            <w:rFonts w:ascii="Times New Roman" w:hAnsi="Times New Roman"/>
            <w:b w:val="0"/>
            <w:i w:val="0"/>
            <w:color w:val="000000"/>
            <w:sz w:val="24"/>
            <w:lang w:val="es-ES"/>
          </w:rPr>
          <w:t>, 2025)</w:t>
        </w:r>
      </w:fldSimple>
      <w:r>
        <w:rPr>
          <w:rFonts w:ascii="Times New Roman" w:hAnsi="Times New Roman"/>
          <w:b w:val="0"/>
          <w:i w:val="0"/>
          <w:color w:val="000000"/>
          <w:sz w:val="24"/>
          <w:lang w:val="es-ES"/>
        </w:rPr>
        <w:t xml:space="preserve">. BETO </w:t>
      </w:r>
      <w:fldSimple w:instr=" CITATION Can23 \l 3082 " w:dirty="false" w:fldLock="true">
        <w:r>
          <w:rPr>
            <w:rFonts w:ascii="Times New Roman" w:hAnsi="Times New Roman"/>
            <w:b w:val="0"/>
            <w:i w:val="0"/>
            <w:color w:val="000000"/>
            <w:sz w:val="24"/>
            <w:lang w:val="es-ES"/>
          </w:rPr>
          <w:t xml:space="preserve">(Cañete </w:t>
        </w:r>
        <w:r>
          <w:rPr>
            <w:rFonts w:ascii="Times New Roman" w:hAnsi="Times New Roman"/>
            <w:b w:val="0"/>
            <w:i/>
            <w:color w:val="000000"/>
            <w:sz w:val="24"/>
            <w:lang w:val="es-ES"/>
          </w:rPr>
          <w:t>et al.</w:t>
        </w:r>
        <w:r>
          <w:rPr>
            <w:rFonts w:ascii="Times New Roman" w:hAnsi="Times New Roman"/>
            <w:b w:val="0"/>
            <w:i w:val="0"/>
            <w:color w:val="000000"/>
            <w:sz w:val="24"/>
            <w:lang w:val="es-ES"/>
          </w:rPr>
          <w:t>, 2023)</w:t>
        </w:r>
      </w:fldSimple>
      <w:r>
        <w:rPr>
          <w:rFonts w:ascii="Times New Roman" w:hAnsi="Times New Roman"/>
          <w:b w:val="0"/>
          <w:i w:val="0"/>
          <w:color w:val="000000"/>
          <w:sz w:val="24"/>
          <w:lang w:val="es-ES"/>
        </w:rPr>
        <w:t xml:space="preserve"> y MarIA </w:t>
      </w:r>
      <w:fldSimple w:instr=" CITATION Gut22 \l 3082 " w:dirty="false" w:fldLock="true">
        <w:r>
          <w:rPr>
            <w:rFonts w:ascii="Times New Roman" w:hAnsi="Times New Roman"/>
            <w:b w:val="0"/>
            <w:i w:val="0"/>
            <w:color w:val="000000"/>
            <w:sz w:val="24"/>
            <w:lang w:val="es-ES"/>
          </w:rPr>
          <w:t xml:space="preserve">(Gutiérrez-Fandiño </w:t>
        </w:r>
        <w:r>
          <w:rPr>
            <w:rFonts w:ascii="Times New Roman" w:hAnsi="Times New Roman"/>
            <w:b w:val="0"/>
            <w:i/>
            <w:color w:val="000000"/>
            <w:sz w:val="24"/>
            <w:lang w:val="es-ES"/>
          </w:rPr>
          <w:t>et al.</w:t>
        </w:r>
        <w:r>
          <w:rPr>
            <w:rFonts w:ascii="Times New Roman" w:hAnsi="Times New Roman"/>
            <w:b w:val="0"/>
            <w:i w:val="0"/>
            <w:color w:val="000000"/>
            <w:sz w:val="24"/>
            <w:lang w:val="es-ES"/>
          </w:rPr>
          <w:t>, 2022)</w:t>
        </w:r>
      </w:fldSimple>
      <w:r>
        <w:rPr>
          <w:rFonts w:ascii="Times New Roman" w:hAnsi="Times New Roman"/>
          <w:b w:val="0"/>
          <w:i w:val="0"/>
          <w:color w:val="000000"/>
          <w:sz w:val="24"/>
          <w:lang w:val="es-ES"/>
        </w:rPr>
        <w:t xml:space="preserve"> aportan recursos generales del español. Su disponibilidad no demuestra por sí misma validación en documentos de requisitos ni elimina la necesidad de datos de evaluación específicos.</w:t>
      </w:r>
    </w:p>
    <w:p>
      <w:pPr>
        <w:widowControl/>
        <w:spacing w:before="0" w:after="0" w:line="480" w:lineRule="auto"/>
        <w:ind w:left="0" w:right="0" w:firstLine="720"/>
        <w:jc w:val="left"/>
      </w:pPr>
      <w:r>
        <w:rPr>
          <w:rFonts w:ascii="Times New Roman" w:hAnsi="Times New Roman"/>
          <w:b w:val="0"/>
          <w:i w:val="0"/>
          <w:color w:val="000000"/>
          <w:sz w:val="24"/>
          <w:lang w:val="es-ES"/>
        </w:rPr>
        <w:t>Las preguntas de la tabla 1 articulan el objetivo con los resultados. La proporción de recursos de RQ3 utiliza unidades de recurso; la presencia del español en RQ4 utiliza estudios con evidencia de la lengua de los datos. Esos denominadores se mantienen separados.</w:t>
      </w:r>
    </w:p>
    <w:p>
      <w:pPr>
        <w:keepNext/>
        <w:keepLines/>
        <w:widowControl/>
        <w:spacing w:before="200" w:after="40" w:line="288" w:lineRule="auto"/>
        <w:ind w:left="0" w:right="0" w:firstLine="0"/>
        <w:jc w:val="left"/>
      </w:pPr>
      <w:r>
        <w:rPr>
          <w:rFonts w:ascii="Times New Roman" w:hAnsi="Times New Roman"/>
          <w:b/>
          <w:i w:val="0"/>
          <w:color w:val="000000"/>
          <w:sz w:val="24"/>
          <w:lang w:val="es-ES"/>
        </w:rPr>
        <w:t>Tabla 1</w:t>
      </w:r>
    </w:p>
    <w:p>
      <w:pPr>
        <w:keepNext/>
        <w:keepLines/>
        <w:widowControl/>
        <w:spacing w:before="0" w:after="80" w:line="288" w:lineRule="auto"/>
        <w:ind w:left="0" w:right="0" w:firstLine="0"/>
        <w:jc w:val="left"/>
      </w:pPr>
      <w:r>
        <w:rPr>
          <w:rFonts w:ascii="Times New Roman" w:hAnsi="Times New Roman"/>
          <w:b w:val="0"/>
          <w:i/>
          <w:color w:val="000000"/>
          <w:sz w:val="24"/>
          <w:lang w:val="es-ES"/>
        </w:rPr>
        <w:t>Preguntas de investigación</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936"/>
        <w:gridCol w:w="8424"/>
      </w:tblGrid>
      <w:tr>
        <w:trPr>
          <w:cantSplit/>
          <w:tblHeader/>
        </w:trPr>
        <w:tc>
          <w:tcPr>
            <w:tcW w:type="dxa" w:w="936"/>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Código</w:t>
            </w:r>
          </w:p>
        </w:tc>
        <w:tc>
          <w:tcPr>
            <w:tcW w:type="dxa" w:w="8424"/>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Pregunta</w:t>
            </w:r>
          </w:p>
        </w:tc>
      </w:tr>
      <w:tr>
        <w:trPr>
          <w:cantSplit/>
        </w:trPr>
        <w:tc>
          <w:tcPr>
            <w:tcW w:type="dxa" w:w="936"/>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RQ1</w:t>
            </w:r>
          </w:p>
        </w:tc>
        <w:tc>
          <w:tcPr>
            <w:tcW w:type="dxa" w:w="84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 xml:space="preserve">¿Qué recursos léxico-semánticos se han aplicado a la ingeniería de requisitos de </w:t>
            </w:r>
            <w:r>
              <w:rPr>
                <w:rFonts w:ascii="Times New Roman" w:hAnsi="Times New Roman"/>
                <w:b w:val="0"/>
                <w:i/>
                <w:color w:val="000000"/>
                <w:sz w:val="21"/>
                <w:lang w:val="es-ES"/>
              </w:rPr>
              <w:t>software</w:t>
            </w:r>
            <w:r>
              <w:rPr>
                <w:rFonts w:ascii="Times New Roman" w:hAnsi="Times New Roman"/>
                <w:b w:val="0"/>
                <w:i w:val="0"/>
                <w:color w:val="000000"/>
                <w:sz w:val="21"/>
                <w:lang w:val="es-ES"/>
              </w:rPr>
              <w:t>?</w:t>
            </w:r>
          </w:p>
        </w:tc>
      </w:tr>
      <w:tr>
        <w:trPr>
          <w:cantSplit/>
        </w:trPr>
        <w:tc>
          <w:tcPr>
            <w:tcW w:type="dxa" w:w="936"/>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RQ2</w:t>
            </w:r>
          </w:p>
        </w:tc>
        <w:tc>
          <w:tcPr>
            <w:tcW w:type="dxa" w:w="84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¿Para qué tareas de ingeniería de requisitos se emplean?</w:t>
            </w:r>
          </w:p>
        </w:tc>
      </w:tr>
      <w:tr>
        <w:trPr>
          <w:cantSplit/>
        </w:trPr>
        <w:tc>
          <w:tcPr>
            <w:tcW w:type="dxa" w:w="936"/>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RQ3</w:t>
            </w:r>
          </w:p>
        </w:tc>
        <w:tc>
          <w:tcPr>
            <w:tcW w:type="dxa" w:w="84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¿Qué proporción de los recursos identificados dispone de evidencia de soporte del español o de una adaptación, versión multilingüe o alternativa?</w:t>
            </w:r>
          </w:p>
        </w:tc>
      </w:tr>
      <w:tr>
        <w:trPr>
          <w:cantSplit/>
        </w:trPr>
        <w:tc>
          <w:tcPr>
            <w:tcW w:type="dxa" w:w="936"/>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RQ4</w:t>
            </w:r>
          </w:p>
        </w:tc>
        <w:tc>
          <w:tcPr>
            <w:tcW w:type="dxa" w:w="84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¿Qué recursos y aplicaciones se han documentado específicamente para requisitos en español y qué cubren?</w:t>
            </w:r>
          </w:p>
        </w:tc>
      </w:tr>
      <w:tr>
        <w:trPr>
          <w:cantSplit/>
        </w:trPr>
        <w:tc>
          <w:tcPr>
            <w:tcW w:type="dxa" w:w="936"/>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RQ5</w:t>
            </w:r>
          </w:p>
        </w:tc>
        <w:tc>
          <w:tcPr>
            <w:tcW w:type="dxa" w:w="84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 xml:space="preserve">¿Qué vacíos se observan en la intersección entre recursos léxico-semánticos, español y requisitos de </w:t>
            </w:r>
            <w:r>
              <w:rPr>
                <w:rFonts w:ascii="Times New Roman" w:hAnsi="Times New Roman"/>
                <w:b w:val="0"/>
                <w:i/>
                <w:color w:val="000000"/>
                <w:sz w:val="21"/>
                <w:lang w:val="es-ES"/>
              </w:rPr>
              <w:t>software</w:t>
            </w:r>
            <w:r>
              <w:rPr>
                <w:rFonts w:ascii="Times New Roman" w:hAnsi="Times New Roman"/>
                <w:b w:val="0"/>
                <w:i w:val="0"/>
                <w:color w:val="000000"/>
                <w:sz w:val="21"/>
                <w:lang w:val="es-ES"/>
              </w:rPr>
              <w:t>?</w:t>
            </w:r>
          </w:p>
        </w:tc>
      </w:tr>
      <w:tr>
        <w:trPr>
          <w:cantSplit/>
        </w:trPr>
        <w:tc>
          <w:tcPr>
            <w:tcW w:type="dxa" w:w="936"/>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RQ6</w:t>
            </w:r>
          </w:p>
        </w:tc>
        <w:tc>
          <w:tcPr>
            <w:tcW w:type="dxa" w:w="84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¿Qué recursos y métodos son candidatos para transferirse al español y bajo qué condiciones?</w:t>
            </w:r>
          </w:p>
        </w:tc>
      </w:tr>
    </w:tbl>
    <w:p>
      <w:pPr>
        <w:keepLines/>
        <w:widowControl/>
        <w:spacing w:before="80" w:after="160" w:line="240" w:lineRule="auto"/>
        <w:ind w:left="0" w:right="0" w:firstLine="0"/>
        <w:jc w:val="left"/>
      </w:pPr>
      <w:r>
        <w:rPr>
          <w:rFonts w:ascii="Times New Roman" w:hAnsi="Times New Roman"/>
          <w:b w:val="0"/>
          <w:i/>
          <w:color w:val="000000"/>
          <w:sz w:val="22"/>
          <w:lang w:val="es-ES"/>
        </w:rPr>
        <w:t>Nota.</w:t>
      </w:r>
      <w:r>
        <w:rPr>
          <w:rFonts w:ascii="Times New Roman" w:hAnsi="Times New Roman"/>
          <w:b w:val="0"/>
          <w:i w:val="0"/>
          <w:color w:val="000000"/>
          <w:sz w:val="22"/>
          <w:lang w:val="es-ES"/>
        </w:rPr>
        <w:t xml:space="preserve"> RQ significa pregunta de investigación. Las precisiones de RQ3, RQ5 y RQ6 delimitan disponibilidad documental, cobertura observada y transferencia potencial.</w:t>
      </w:r>
    </w:p>
    <w:p>
      <w:pPr>
        <w:pStyle w:val="Heading2"/>
        <w:keepNext/>
        <w:keepLines/>
        <w:widowControl/>
        <w:spacing w:before="0" w:after="0" w:line="480" w:lineRule="auto"/>
        <w:ind w:left="0" w:right="0" w:firstLine="0"/>
        <w:jc w:val="left"/>
      </w:pPr>
      <w:r>
        <w:rPr>
          <w:rFonts w:ascii="Times New Roman" w:hAnsi="Times New Roman"/>
          <w:b/>
          <w:i w:val="0"/>
          <w:color w:val="000000"/>
          <w:sz w:val="24"/>
          <w:lang w:val="es-ES"/>
        </w:rPr>
        <w:t>3. Método</w:t>
      </w:r>
    </w:p>
    <w:p>
      <w:pPr>
        <w:pStyle w:val="Heading3"/>
        <w:keepNext/>
        <w:keepLines/>
        <w:widowControl/>
        <w:spacing w:before="0" w:after="0" w:line="480" w:lineRule="auto"/>
        <w:ind w:left="0" w:right="0" w:firstLine="0"/>
        <w:jc w:val="left"/>
      </w:pPr>
      <w:r>
        <w:rPr>
          <w:rFonts w:ascii="Times New Roman" w:hAnsi="Times New Roman"/>
          <w:b/>
          <w:i/>
          <w:color w:val="000000"/>
          <w:sz w:val="24"/>
          <w:lang w:val="es-ES"/>
        </w:rPr>
        <w:t>3.1 Diseño y unidades de análisis</w:t>
      </w:r>
    </w:p>
    <w:p>
      <w:pPr>
        <w:widowControl/>
        <w:spacing w:before="0" w:after="0" w:line="480" w:lineRule="auto"/>
        <w:ind w:left="0" w:right="0" w:firstLine="720"/>
        <w:jc w:val="left"/>
      </w:pPr>
      <w:r>
        <w:rPr>
          <w:rFonts w:ascii="Times New Roman" w:hAnsi="Times New Roman"/>
          <w:b w:val="0"/>
          <w:i w:val="0"/>
          <w:color w:val="000000"/>
          <w:sz w:val="24"/>
          <w:lang w:val="es-ES"/>
        </w:rPr>
        <w:t xml:space="preserve">Se realizó un mapeo sistemático descriptivo y analítico siguiendo las etapas de búsqueda, selección, extracción y síntesis </w:t>
      </w:r>
      <w:fldSimple w:instr=" CITATION Pet15 \l 3082 " w:dirty="false" w:fldLock="true">
        <w:r>
          <w:rPr>
            <w:rFonts w:ascii="Times New Roman" w:hAnsi="Times New Roman"/>
            <w:b w:val="0"/>
            <w:i w:val="0"/>
            <w:color w:val="000000"/>
            <w:sz w:val="24"/>
            <w:lang w:val="es-ES"/>
          </w:rPr>
          <w:t xml:space="preserve">(Petersen </w:t>
        </w:r>
        <w:r>
          <w:rPr>
            <w:rFonts w:ascii="Times New Roman" w:hAnsi="Times New Roman"/>
            <w:b w:val="0"/>
            <w:i/>
            <w:color w:val="000000"/>
            <w:sz w:val="24"/>
            <w:lang w:val="es-ES"/>
          </w:rPr>
          <w:t>et al.</w:t>
        </w:r>
        <w:r>
          <w:rPr>
            <w:rFonts w:ascii="Times New Roman" w:hAnsi="Times New Roman"/>
            <w:b w:val="0"/>
            <w:i w:val="0"/>
            <w:color w:val="000000"/>
            <w:sz w:val="24"/>
            <w:lang w:val="es-ES"/>
          </w:rPr>
          <w:t>, 2015)</w:t>
        </w:r>
      </w:fldSimple>
      <w:r>
        <w:rPr>
          <w:rFonts w:ascii="Times New Roman" w:hAnsi="Times New Roman"/>
          <w:b w:val="0"/>
          <w:i w:val="0"/>
          <w:color w:val="000000"/>
          <w:sz w:val="24"/>
          <w:lang w:val="es-ES"/>
        </w:rPr>
        <w:t>. La revisión documental fue asistida por un modelo de lenguaje y por comprobaciones en código. Se distingue esa automatización de la evaluación humana, disponible únicamente para un ejercicio anterior sobre 18 registros españoles.</w:t>
      </w:r>
    </w:p>
    <w:p>
      <w:pPr>
        <w:widowControl/>
        <w:spacing w:before="0" w:after="0" w:line="480" w:lineRule="auto"/>
        <w:ind w:left="0" w:right="0" w:firstLine="720"/>
        <w:jc w:val="left"/>
      </w:pPr>
      <w:r>
        <w:rPr>
          <w:rFonts w:ascii="Times New Roman" w:hAnsi="Times New Roman"/>
          <w:b w:val="0"/>
          <w:i w:val="0"/>
          <w:color w:val="000000"/>
          <w:sz w:val="24"/>
          <w:lang w:val="es-ES"/>
        </w:rPr>
        <w:t>La unidad recuperada es el registro bibliográfico. Una publicación es un documento identificable, mientras que un estudio puede tener varios informes. En los resultados se utiliza «estudio incluido» para el registro conservado tras la deduplicación; la vinculación residual entre informes constituye una limitación. Un recurso es un artefacto lingüístico, un modelo o una estructura de conocimiento utilizada por el método. Los conjuntos de datos y las herramientas se describen por separado.</w:t>
      </w:r>
    </w:p>
    <w:p>
      <w:pPr>
        <w:widowControl/>
        <w:spacing w:before="0" w:after="0" w:line="480" w:lineRule="auto"/>
        <w:ind w:left="0" w:right="0" w:firstLine="720"/>
        <w:jc w:val="left"/>
      </w:pPr>
      <w:r>
        <w:rPr>
          <w:rFonts w:ascii="Times New Roman" w:hAnsi="Times New Roman"/>
          <w:b w:val="0"/>
          <w:i w:val="0"/>
          <w:color w:val="000000"/>
          <w:sz w:val="24"/>
          <w:lang w:val="es-ES"/>
        </w:rPr>
        <w:t>Se considera léxico-semántico el recurso que representa palabras, sentidos, relaciones conceptuales o significado contextual. La similitud es una operación o tarea, no necesariamente un recurso identificable. La sola mención en los antecedentes no acredita uso. Bolsa de palabras y TF-IDF pueden registrarse como comparadores, pero su empleo aislado no satisface el criterio léxico-semántico adoptado.</w:t>
      </w:r>
    </w:p>
    <w:p>
      <w:pPr>
        <w:keepNext/>
        <w:keepLines/>
        <w:widowControl/>
        <w:spacing w:before="200" w:after="40" w:line="288" w:lineRule="auto"/>
        <w:ind w:left="0" w:right="0" w:firstLine="0"/>
        <w:jc w:val="left"/>
      </w:pPr>
      <w:r>
        <w:rPr>
          <w:rFonts w:ascii="Times New Roman" w:hAnsi="Times New Roman"/>
          <w:b/>
          <w:i w:val="0"/>
          <w:color w:val="000000"/>
          <w:sz w:val="24"/>
          <w:lang w:val="es-ES"/>
        </w:rPr>
        <w:t>Tabla 2</w:t>
      </w:r>
    </w:p>
    <w:p>
      <w:pPr>
        <w:keepNext/>
        <w:keepLines/>
        <w:widowControl/>
        <w:spacing w:before="0" w:after="80" w:line="288" w:lineRule="auto"/>
        <w:ind w:left="0" w:right="0" w:firstLine="0"/>
        <w:jc w:val="left"/>
      </w:pPr>
      <w:r>
        <w:rPr>
          <w:rFonts w:ascii="Times New Roman" w:hAnsi="Times New Roman"/>
          <w:b w:val="0"/>
          <w:i/>
          <w:color w:val="000000"/>
          <w:sz w:val="24"/>
          <w:lang w:val="es-ES"/>
        </w:rPr>
        <w:t>Dimensiones de caracterización y criterios de interpretación</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440"/>
        <w:gridCol w:w="3456"/>
        <w:gridCol w:w="4464"/>
      </w:tblGrid>
      <w:tr>
        <w:trPr>
          <w:cantSplit/>
          <w:tblHeader/>
        </w:trPr>
        <w:tc>
          <w:tcPr>
            <w:tcW w:type="dxa" w:w="1440"/>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Dimensión</w:t>
            </w:r>
          </w:p>
        </w:tc>
        <w:tc>
          <w:tcPr>
            <w:tcW w:type="dxa" w:w="3456"/>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Información extraída</w:t>
            </w:r>
          </w:p>
        </w:tc>
        <w:tc>
          <w:tcPr>
            <w:tcW w:type="dxa" w:w="4464"/>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Interpretación</w:t>
            </w:r>
          </w:p>
        </w:tc>
      </w:tr>
      <w:tr>
        <w:trPr>
          <w:cantSplit/>
        </w:trPr>
        <w:tc>
          <w:tcPr>
            <w:tcW w:type="dxa" w:w="1440"/>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Recurso</w:t>
            </w:r>
          </w:p>
        </w:tc>
        <w:tc>
          <w:tcPr>
            <w:tcW w:type="dxa" w:w="3456"/>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Nombre, familia, rol y versión cuando se especifica</w:t>
            </w:r>
          </w:p>
        </w:tc>
        <w:tc>
          <w:tcPr>
            <w:tcW w:type="dxa" w:w="446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Admite varios recursos; diferencia uso de mención y familia de versión.</w:t>
            </w:r>
          </w:p>
        </w:tc>
      </w:tr>
      <w:tr>
        <w:trPr>
          <w:cantSplit/>
        </w:trPr>
        <w:tc>
          <w:tcPr>
            <w:tcW w:type="dxa" w:w="1440"/>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Tarea</w:t>
            </w:r>
          </w:p>
        </w:tc>
        <w:tc>
          <w:tcPr>
            <w:tcW w:type="dxa" w:w="3456"/>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Principal y secundarias</w:t>
            </w:r>
          </w:p>
        </w:tc>
        <w:tc>
          <w:tcPr>
            <w:tcW w:type="dxa" w:w="446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La principal corresponde al propósito del estudio; la generación auxiliar no sustituye la tarea evaluada.</w:t>
            </w:r>
          </w:p>
        </w:tc>
      </w:tr>
      <w:tr>
        <w:trPr>
          <w:cantSplit/>
        </w:trPr>
        <w:tc>
          <w:tcPr>
            <w:tcW w:type="dxa" w:w="1440"/>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Lengua de los datos</w:t>
            </w:r>
          </w:p>
        </w:tc>
        <w:tc>
          <w:tcPr>
            <w:tcW w:type="dxa" w:w="3456"/>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Español, inglés, multilingüe, otra o no declarada</w:t>
            </w:r>
          </w:p>
        </w:tc>
        <w:tc>
          <w:tcPr>
            <w:tcW w:type="dxa" w:w="446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No se deduce del idioma del artículo; el origen nativo, traducido o sintético se describe cuando consta.</w:t>
            </w:r>
          </w:p>
        </w:tc>
      </w:tr>
      <w:tr>
        <w:trPr>
          <w:cantSplit/>
        </w:trPr>
        <w:tc>
          <w:tcPr>
            <w:tcW w:type="dxa" w:w="1440"/>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Evaluación</w:t>
            </w:r>
          </w:p>
        </w:tc>
        <w:tc>
          <w:tcPr>
            <w:tcW w:type="dxa" w:w="3456"/>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Tipo, datos, métricas o indicadores y comparación con una referencia</w:t>
            </w:r>
          </w:p>
        </w:tc>
        <w:tc>
          <w:tcPr>
            <w:tcW w:type="dxa" w:w="446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Describe el diseño declarado; no equivale a una evaluación de calidad ni a comparar resultados numéricos.</w:t>
            </w:r>
          </w:p>
        </w:tc>
      </w:tr>
      <w:tr>
        <w:trPr>
          <w:cantSplit/>
        </w:trPr>
        <w:tc>
          <w:tcPr>
            <w:tcW w:type="dxa" w:w="1440"/>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Disponibilidad</w:t>
            </w:r>
          </w:p>
        </w:tc>
        <w:tc>
          <w:tcPr>
            <w:tcW w:type="dxa" w:w="3456"/>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Declaración de código o datos; atributos del recurso</w:t>
            </w:r>
          </w:p>
        </w:tc>
        <w:tc>
          <w:tcPr>
            <w:tcW w:type="dxa" w:w="446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Separa acceso, licencia, evidencia lingüística y alternativa de adaptación.</w:t>
            </w:r>
          </w:p>
        </w:tc>
      </w:tr>
      <w:tr>
        <w:trPr>
          <w:cantSplit/>
        </w:trPr>
        <w:tc>
          <w:tcPr>
            <w:tcW w:type="dxa" w:w="1440"/>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Evidencia</w:t>
            </w:r>
          </w:p>
        </w:tc>
        <w:tc>
          <w:tcPr>
            <w:tcW w:type="dxa" w:w="3456"/>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Texto utilizado, cita, comprobación y procedencia</w:t>
            </w:r>
          </w:p>
        </w:tc>
        <w:tc>
          <w:tcPr>
            <w:tcW w:type="dxa" w:w="446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Una cita localizada acredita presencia textual, no validación humana de la interpretación.</w:t>
            </w:r>
          </w:p>
        </w:tc>
      </w:tr>
    </w:tbl>
    <w:p>
      <w:pPr>
        <w:keepLines/>
        <w:widowControl/>
        <w:spacing w:before="80" w:after="160" w:line="240" w:lineRule="auto"/>
        <w:ind w:left="0" w:right="0" w:firstLine="0"/>
        <w:jc w:val="left"/>
      </w:pPr>
      <w:r>
        <w:rPr>
          <w:rFonts w:ascii="Times New Roman" w:hAnsi="Times New Roman"/>
          <w:b w:val="0"/>
          <w:i/>
          <w:color w:val="000000"/>
          <w:sz w:val="22"/>
          <w:lang w:val="es-ES"/>
        </w:rPr>
        <w:t>Nota.</w:t>
      </w:r>
      <w:r>
        <w:rPr>
          <w:rFonts w:ascii="Times New Roman" w:hAnsi="Times New Roman"/>
          <w:b w:val="0"/>
          <w:i w:val="0"/>
          <w:color w:val="000000"/>
          <w:sz w:val="22"/>
          <w:lang w:val="es-ES"/>
        </w:rPr>
        <w:t xml:space="preserve"> Los campos no informados se conservan explícitamente. La extracción cubre todos los incluidos, pero la completitud de cada dimensión depende del texto disponible.</w:t>
      </w:r>
    </w:p>
    <w:p>
      <w:pPr>
        <w:pStyle w:val="Heading3"/>
        <w:keepNext/>
        <w:keepLines/>
        <w:widowControl/>
        <w:spacing w:before="0" w:after="0" w:line="480" w:lineRule="auto"/>
        <w:ind w:left="0" w:right="0" w:firstLine="0"/>
        <w:jc w:val="left"/>
      </w:pPr>
      <w:r>
        <w:rPr>
          <w:rFonts w:ascii="Times New Roman" w:hAnsi="Times New Roman"/>
          <w:b/>
          <w:i/>
          <w:color w:val="000000"/>
          <w:sz w:val="24"/>
          <w:lang w:val="es-ES"/>
        </w:rPr>
        <w:t>3.2 Fuentes, consultas y período</w:t>
      </w:r>
    </w:p>
    <w:p>
      <w:pPr>
        <w:widowControl/>
        <w:spacing w:before="0" w:after="0" w:line="480" w:lineRule="auto"/>
        <w:ind w:left="0" w:right="0" w:firstLine="720"/>
        <w:jc w:val="left"/>
      </w:pPr>
      <w:r>
        <w:rPr>
          <w:rFonts w:ascii="Times New Roman" w:hAnsi="Times New Roman"/>
          <w:b w:val="0"/>
          <w:i w:val="0"/>
          <w:color w:val="000000"/>
          <w:sz w:val="24"/>
          <w:lang w:val="es-ES"/>
        </w:rPr>
        <w:t xml:space="preserve">La fuente principal fue OpenAlex, índice abierto de literatura científica </w:t>
      </w:r>
      <w:fldSimple w:instr=" CITATION Pri22 \l 3082 " w:dirty="false" w:fldLock="true">
        <w:r>
          <w:rPr>
            <w:rFonts w:ascii="Times New Roman" w:hAnsi="Times New Roman"/>
            <w:b w:val="0"/>
            <w:i w:val="0"/>
            <w:color w:val="000000"/>
            <w:sz w:val="24"/>
            <w:lang w:val="es-ES"/>
          </w:rPr>
          <w:t xml:space="preserve">(Priem </w:t>
        </w:r>
        <w:r>
          <w:rPr>
            <w:rFonts w:ascii="Times New Roman" w:hAnsi="Times New Roman"/>
            <w:b w:val="0"/>
            <w:i/>
            <w:color w:val="000000"/>
            <w:sz w:val="24"/>
            <w:lang w:val="es-ES"/>
          </w:rPr>
          <w:t>et al.</w:t>
        </w:r>
        <w:r>
          <w:rPr>
            <w:rFonts w:ascii="Times New Roman" w:hAnsi="Times New Roman"/>
            <w:b w:val="0"/>
            <w:i w:val="0"/>
            <w:color w:val="000000"/>
            <w:sz w:val="24"/>
            <w:lang w:val="es-ES"/>
          </w:rPr>
          <w:t>, 2022)</w:t>
        </w:r>
      </w:fldSimple>
      <w:r>
        <w:rPr>
          <w:rFonts w:ascii="Times New Roman" w:hAnsi="Times New Roman"/>
          <w:b w:val="0"/>
          <w:i w:val="0"/>
          <w:color w:val="000000"/>
          <w:sz w:val="24"/>
          <w:lang w:val="es-ES"/>
        </w:rPr>
        <w:t>. No representa una consulta directa a Scopus, Web of Science, IEEE Xplore o ACM Digital Library. El registro de procedencia sitúa la búsqueda principal el 15 de julio de 2026 y conserva 1.457 identificadores únicos. Esa fecha se toma de la documentación de la ejecución; no se reconstruyó mediante una nueva descarga histórica.</w:t>
      </w:r>
    </w:p>
    <w:p>
      <w:pPr>
        <w:widowControl/>
        <w:spacing w:before="0" w:after="0" w:line="480" w:lineRule="auto"/>
        <w:ind w:left="0" w:right="0" w:firstLine="720"/>
        <w:jc w:val="left"/>
      </w:pPr>
      <w:r>
        <w:rPr>
          <w:rFonts w:ascii="Times New Roman" w:hAnsi="Times New Roman"/>
          <w:b w:val="0"/>
          <w:i w:val="0"/>
          <w:color w:val="000000"/>
          <w:sz w:val="24"/>
          <w:lang w:val="es-ES"/>
        </w:rPr>
        <w:t xml:space="preserve">La cadena principal combina términos de requisitos con recursos y representaciones semánticas. Se declaró su aplicación al campo </w:t>
      </w:r>
      <w:r>
        <w:rPr>
          <w:rFonts w:ascii="Times New Roman" w:hAnsi="Times New Roman"/>
          <w:b w:val="0"/>
          <w:i/>
          <w:color w:val="000000"/>
          <w:sz w:val="24"/>
          <w:lang w:val="es-ES"/>
        </w:rPr>
        <w:t>title_and_abstract.search</w:t>
      </w:r>
      <w:r>
        <w:rPr>
          <w:rFonts w:ascii="Times New Roman" w:hAnsi="Times New Roman"/>
          <w:b w:val="0"/>
          <w:i w:val="0"/>
          <w:color w:val="000000"/>
          <w:sz w:val="24"/>
          <w:lang w:val="es-ES"/>
        </w:rPr>
        <w:t xml:space="preserve"> del punto de acceso </w:t>
      </w:r>
      <w:r>
        <w:rPr>
          <w:rFonts w:ascii="Times New Roman" w:hAnsi="Times New Roman"/>
          <w:b w:val="0"/>
          <w:i/>
          <w:color w:val="000000"/>
          <w:sz w:val="24"/>
          <w:lang w:val="es-ES"/>
        </w:rPr>
        <w:t>/works</w:t>
      </w:r>
      <w:r>
        <w:rPr>
          <w:rFonts w:ascii="Times New Roman" w:hAnsi="Times New Roman"/>
          <w:b w:val="0"/>
          <w:i w:val="0"/>
          <w:color w:val="000000"/>
          <w:sz w:val="24"/>
          <w:lang w:val="es-ES"/>
        </w:rPr>
        <w:t>:</w:t>
      </w:r>
    </w:p>
    <w:p>
      <w:pPr>
        <w:widowControl/>
        <w:spacing w:before="120" w:after="120" w:line="360" w:lineRule="auto"/>
        <w:ind w:left="360" w:right="360" w:firstLine="0"/>
        <w:jc w:val="left"/>
      </w:pPr>
      <w:r>
        <w:rPr>
          <w:rFonts w:ascii="Times New Roman" w:hAnsi="Times New Roman"/>
          <w:b w:val="0"/>
          <w:i/>
          <w:color w:val="000000"/>
          <w:sz w:val="24"/>
          <w:lang w:val="es-ES"/>
        </w:rPr>
        <w:t>("requirements engineering" OR "</w:t>
      </w:r>
      <w:r>
        <w:rPr>
          <w:rFonts w:ascii="Times New Roman" w:hAnsi="Times New Roman"/>
          <w:b w:val="0"/>
          <w:i/>
          <w:color w:val="000000"/>
          <w:sz w:val="24"/>
          <w:lang w:val="es-ES"/>
        </w:rPr>
        <w:t>software</w:t>
      </w:r>
      <w:r>
        <w:rPr>
          <w:rFonts w:ascii="Times New Roman" w:hAnsi="Times New Roman"/>
          <w:b w:val="0"/>
          <w:i/>
          <w:color w:val="000000"/>
          <w:sz w:val="24"/>
          <w:lang w:val="es-ES"/>
        </w:rPr>
        <w:t xml:space="preserve"> requirements" OR "requirements specification" OR "natural language requirements") AND ("WordNet" OR "word embedding" OR "semantic similarity" OR "ontology" OR "thesaurus" OR "lexical" OR "FrameNet" OR "knowledge graph" OR "word sense" OR "semantic role" OR "BERT" OR "language model" OR "semantic")</w:t>
      </w:r>
    </w:p>
    <w:p>
      <w:pPr>
        <w:widowControl/>
        <w:spacing w:before="0" w:after="0" w:line="480" w:lineRule="auto"/>
        <w:ind w:left="0" w:right="0" w:firstLine="720"/>
        <w:jc w:val="left"/>
      </w:pPr>
      <w:r>
        <w:rPr>
          <w:rFonts w:ascii="Times New Roman" w:hAnsi="Times New Roman"/>
          <w:b w:val="0"/>
          <w:i w:val="0"/>
          <w:color w:val="000000"/>
          <w:sz w:val="24"/>
          <w:lang w:val="es-ES"/>
        </w:rPr>
        <w:t xml:space="preserve">Los filtros declarados fueron fechas de publicación entre el 1 de enero de 2015 y el 31 de diciembre de 2026 y tipos </w:t>
      </w:r>
      <w:r>
        <w:rPr>
          <w:rFonts w:ascii="Times New Roman" w:hAnsi="Times New Roman"/>
          <w:b w:val="0"/>
          <w:i/>
          <w:color w:val="000000"/>
          <w:sz w:val="24"/>
          <w:lang w:val="es-ES"/>
        </w:rPr>
        <w:t>article</w:t>
      </w:r>
      <w:r>
        <w:rPr>
          <w:rFonts w:ascii="Times New Roman" w:hAnsi="Times New Roman"/>
          <w:b w:val="0"/>
          <w:i w:val="0"/>
          <w:color w:val="000000"/>
          <w:sz w:val="24"/>
          <w:lang w:val="es-ES"/>
        </w:rPr>
        <w:t xml:space="preserve"> o </w:t>
      </w:r>
      <w:r>
        <w:rPr>
          <w:rFonts w:ascii="Times New Roman" w:hAnsi="Times New Roman"/>
          <w:b w:val="0"/>
          <w:i/>
          <w:color w:val="000000"/>
          <w:sz w:val="24"/>
          <w:lang w:val="es-ES"/>
        </w:rPr>
        <w:t>book-chapter</w:t>
      </w:r>
      <w:r>
        <w:rPr>
          <w:rFonts w:ascii="Times New Roman" w:hAnsi="Times New Roman"/>
          <w:b w:val="0"/>
          <w:i w:val="0"/>
          <w:color w:val="000000"/>
          <w:sz w:val="24"/>
          <w:lang w:val="es-ES"/>
        </w:rPr>
        <w:t>, sin filtro de idioma, área o acceso abierto. La fecha de ejecución limita la cobertura efectiva de 2026, que se trata como año parcial. La ventana permite examinar evidencia anterior y posterior a la expansión reciente de modelos preentrenados; los antecedentes fundacionales anteriores a 2015 cumplen una función conceptual.</w:t>
      </w:r>
    </w:p>
    <w:p>
      <w:pPr>
        <w:widowControl/>
        <w:spacing w:before="0" w:after="0" w:line="480" w:lineRule="auto"/>
        <w:ind w:left="0" w:right="0" w:firstLine="720"/>
        <w:jc w:val="left"/>
      </w:pPr>
      <w:r>
        <w:rPr>
          <w:rFonts w:ascii="Times New Roman" w:hAnsi="Times New Roman"/>
          <w:b w:val="0"/>
          <w:i w:val="0"/>
          <w:color w:val="000000"/>
          <w:sz w:val="24"/>
          <w:lang w:val="es-ES"/>
        </w:rPr>
        <w:t xml:space="preserve">La búsqueda dirigida al español, reejecutada el 27 de septiembre de 2026, aportó 278 registros. Su cadena fue: ("ingeniería de requisitos" OR "requisitos de </w:t>
      </w:r>
      <w:r>
        <w:rPr>
          <w:rFonts w:ascii="Times New Roman" w:hAnsi="Times New Roman"/>
          <w:b w:val="0"/>
          <w:i/>
          <w:color w:val="000000"/>
          <w:sz w:val="24"/>
          <w:lang w:val="es-ES"/>
        </w:rPr>
        <w:t>software</w:t>
      </w:r>
      <w:r>
        <w:rPr>
          <w:rFonts w:ascii="Times New Roman" w:hAnsi="Times New Roman"/>
          <w:b w:val="0"/>
          <w:i w:val="0"/>
          <w:color w:val="000000"/>
          <w:sz w:val="24"/>
          <w:lang w:val="es-ES"/>
        </w:rPr>
        <w:t>" OR "requisitos no funcionales" OR "especificación de requisitos" OR "</w:t>
      </w:r>
      <w:r>
        <w:rPr>
          <w:rFonts w:ascii="Times New Roman" w:hAnsi="Times New Roman"/>
          <w:b w:val="0"/>
          <w:i/>
          <w:color w:val="000000"/>
          <w:sz w:val="24"/>
          <w:lang w:val="es-ES"/>
        </w:rPr>
        <w:t>Spanish requirements</w:t>
      </w:r>
      <w:r>
        <w:rPr>
          <w:rFonts w:ascii="Times New Roman" w:hAnsi="Times New Roman"/>
          <w:b w:val="0"/>
          <w:i w:val="0"/>
          <w:color w:val="000000"/>
          <w:sz w:val="24"/>
          <w:lang w:val="es-ES"/>
        </w:rPr>
        <w:t>" OR "</w:t>
      </w:r>
      <w:r>
        <w:rPr>
          <w:rFonts w:ascii="Times New Roman" w:hAnsi="Times New Roman"/>
          <w:b w:val="0"/>
          <w:i/>
          <w:color w:val="000000"/>
          <w:sz w:val="24"/>
          <w:lang w:val="es-ES"/>
        </w:rPr>
        <w:t>requirements in Spanish</w:t>
      </w:r>
      <w:r>
        <w:rPr>
          <w:rFonts w:ascii="Times New Roman" w:hAnsi="Times New Roman"/>
          <w:b w:val="0"/>
          <w:i w:val="0"/>
          <w:color w:val="000000"/>
          <w:sz w:val="24"/>
          <w:lang w:val="es-ES"/>
        </w:rPr>
        <w:t>" OR "</w:t>
      </w:r>
      <w:r>
        <w:rPr>
          <w:rFonts w:ascii="Times New Roman" w:hAnsi="Times New Roman"/>
          <w:b w:val="0"/>
          <w:i/>
          <w:color w:val="000000"/>
          <w:sz w:val="24"/>
          <w:lang w:val="es-ES"/>
        </w:rPr>
        <w:t>Spanish software requirements</w:t>
      </w:r>
      <w:r>
        <w:rPr>
          <w:rFonts w:ascii="Times New Roman" w:hAnsi="Times New Roman"/>
          <w:b w:val="0"/>
          <w:i w:val="0"/>
          <w:color w:val="000000"/>
          <w:sz w:val="24"/>
          <w:lang w:val="es-ES"/>
        </w:rPr>
        <w:t>" OR "requisitos en español"). Se incorporaron además 11 registros de la ronda de kappa no presentes en los otros flujos. Las proporciones principales utilizan el primer flujo; los otros dos amplían el examen del español y se identifican en cada tabla.</w:t>
      </w:r>
    </w:p>
    <w:p>
      <w:pPr>
        <w:pStyle w:val="Heading3"/>
        <w:keepNext/>
        <w:keepLines/>
        <w:widowControl/>
        <w:spacing w:before="0" w:after="0" w:line="480" w:lineRule="auto"/>
        <w:ind w:left="0" w:right="0" w:firstLine="0"/>
        <w:jc w:val="left"/>
      </w:pPr>
      <w:r>
        <w:rPr>
          <w:rFonts w:ascii="Times New Roman" w:hAnsi="Times New Roman"/>
          <w:b/>
          <w:i/>
          <w:color w:val="000000"/>
          <w:sz w:val="24"/>
          <w:lang w:val="es-ES"/>
        </w:rPr>
        <w:t>3.3 Elegibilidad y deduplicación</w:t>
      </w:r>
    </w:p>
    <w:p>
      <w:pPr>
        <w:widowControl/>
        <w:spacing w:before="0" w:after="0" w:line="480" w:lineRule="auto"/>
        <w:ind w:left="0" w:right="0" w:firstLine="720"/>
        <w:jc w:val="left"/>
      </w:pPr>
      <w:r>
        <w:rPr>
          <w:rFonts w:ascii="Times New Roman" w:hAnsi="Times New Roman"/>
          <w:b w:val="0"/>
          <w:i w:val="0"/>
          <w:color w:val="000000"/>
          <w:sz w:val="24"/>
          <w:lang w:val="es-ES"/>
        </w:rPr>
        <w:t xml:space="preserve">Se incluyeron estudios primarios que aplican NLP o aprendizaje automático a requisitos de </w:t>
      </w:r>
      <w:r>
        <w:rPr>
          <w:rFonts w:ascii="Times New Roman" w:hAnsi="Times New Roman"/>
          <w:b w:val="0"/>
          <w:i/>
          <w:color w:val="000000"/>
          <w:sz w:val="24"/>
          <w:lang w:val="es-ES"/>
        </w:rPr>
        <w:t>software</w:t>
      </w:r>
      <w:r>
        <w:rPr>
          <w:rFonts w:ascii="Times New Roman" w:hAnsi="Times New Roman"/>
          <w:b w:val="0"/>
          <w:i w:val="0"/>
          <w:color w:val="000000"/>
          <w:sz w:val="24"/>
          <w:lang w:val="es-ES"/>
        </w:rPr>
        <w:t xml:space="preserve"> (CI1) y utilizan o construyen un recurso léxico-semántico (CI2). El análisis del español exige evidencia de la lengua de los datos procesados. Se admitieron publicaciones en español, inglés y portugués. El criterio sobre el dominio se refiere al objeto de estudio: investigar </w:t>
      </w:r>
      <w:r>
        <w:rPr>
          <w:rFonts w:ascii="Times New Roman" w:hAnsi="Times New Roman"/>
          <w:b w:val="0"/>
          <w:i/>
          <w:color w:val="000000"/>
          <w:sz w:val="24"/>
          <w:lang w:val="es-ES"/>
        </w:rPr>
        <w:t>software</w:t>
      </w:r>
      <w:r>
        <w:rPr>
          <w:rFonts w:ascii="Times New Roman" w:hAnsi="Times New Roman"/>
          <w:b w:val="0"/>
          <w:i w:val="0"/>
          <w:color w:val="000000"/>
          <w:sz w:val="24"/>
          <w:lang w:val="es-ES"/>
        </w:rPr>
        <w:t xml:space="preserve"> médico o jurídico no constituye por sí mismo motivo de exclusión.</w:t>
      </w:r>
    </w:p>
    <w:p>
      <w:pPr>
        <w:widowControl/>
        <w:spacing w:before="0" w:after="0" w:line="480" w:lineRule="auto"/>
        <w:ind w:left="0" w:right="0" w:firstLine="720"/>
        <w:jc w:val="left"/>
      </w:pPr>
      <w:r>
        <w:rPr>
          <w:rFonts w:ascii="Times New Roman" w:hAnsi="Times New Roman"/>
          <w:b w:val="0"/>
          <w:i w:val="0"/>
          <w:color w:val="000000"/>
          <w:sz w:val="24"/>
          <w:lang w:val="es-ES"/>
        </w:rPr>
        <w:t>Los motivos de exclusión distinguen requisitos de otro dominio (CE1), ausencia del recurso requerido (CE2), documento ajeno al tipo primario requerido (CE3), idioma no admitido (CE4), duplicación o versión redundante (CE5) y estudio secundario (CE6). La revisión por pares no puede acreditarse únicamente por el tipo de OpenAlex o la existencia de una sede; la condición editorial no comprobada se mantiene como amenaza a la validez. Las revisiones se utilizan como antecedentes, sin sumarlas a los estudios primarios.</w:t>
      </w:r>
    </w:p>
    <w:p>
      <w:pPr>
        <w:widowControl/>
        <w:spacing w:before="0" w:after="0" w:line="480" w:lineRule="auto"/>
        <w:ind w:left="0" w:right="0" w:firstLine="720"/>
        <w:jc w:val="left"/>
      </w:pPr>
      <w:r>
        <w:rPr>
          <w:rFonts w:ascii="Times New Roman" w:hAnsi="Times New Roman"/>
          <w:b w:val="0"/>
          <w:i w:val="0"/>
          <w:color w:val="000000"/>
          <w:sz w:val="24"/>
          <w:lang w:val="es-ES"/>
        </w:rPr>
        <w:t>La deduplicación comparó identificadores, DOI, títulos y versiones relacionadas. La revisión añadió alertas por alta similitud entre resúmenes y coincidencia de autoría. Se retiraron 106 registros conservando el vínculo con la versión retenida. Los títulos genéricos y los resúmenes incompatibles se trataron como problemas de identidad documental, sin asumir automáticamente duplicación. La verificación automatizada de identidad detectó cinco asociaciones incompatibles entre título y resumen; se retiró el resumen ajeno y se reconsideró el registro con la evidencia disponible.</w:t>
      </w:r>
    </w:p>
    <w:p>
      <w:pPr>
        <w:pStyle w:val="Heading3"/>
        <w:keepNext/>
        <w:keepLines/>
        <w:widowControl/>
        <w:spacing w:before="0" w:after="0" w:line="480" w:lineRule="auto"/>
        <w:ind w:left="0" w:right="0" w:firstLine="0"/>
        <w:jc w:val="left"/>
      </w:pPr>
      <w:r>
        <w:rPr>
          <w:rFonts w:ascii="Times New Roman" w:hAnsi="Times New Roman"/>
          <w:b/>
          <w:i/>
          <w:color w:val="000000"/>
          <w:sz w:val="24"/>
          <w:lang w:val="es-ES"/>
        </w:rPr>
        <w:t>3.4 Cribado y recuperación de texto</w:t>
      </w:r>
    </w:p>
    <w:p>
      <w:pPr>
        <w:widowControl/>
        <w:spacing w:before="0" w:after="0" w:line="480" w:lineRule="auto"/>
        <w:ind w:left="0" w:right="0" w:firstLine="720"/>
        <w:jc w:val="left"/>
      </w:pPr>
      <w:r>
        <w:rPr>
          <w:rFonts w:ascii="Times New Roman" w:hAnsi="Times New Roman"/>
          <w:b w:val="0"/>
          <w:i w:val="0"/>
          <w:color w:val="000000"/>
          <w:sz w:val="24"/>
          <w:lang w:val="es-ES"/>
        </w:rPr>
        <w:t xml:space="preserve">La selección global volvió a examinar los registros de los tres flujos, incluidos los descartados por los filtros léxicos iniciales. El procedimiento identificado en la trazabilidad como </w:t>
      </w:r>
      <w:r>
        <w:rPr>
          <w:rFonts w:ascii="Times New Roman" w:hAnsi="Times New Roman"/>
          <w:b w:val="0"/>
          <w:i/>
          <w:color w:val="000000"/>
          <w:sz w:val="24"/>
          <w:lang w:val="es-ES"/>
        </w:rPr>
        <w:t>claude-sonnet-5</w:t>
      </w:r>
      <w:r>
        <w:rPr>
          <w:rFonts w:ascii="Times New Roman" w:hAnsi="Times New Roman"/>
          <w:b w:val="0"/>
          <w:i w:val="0"/>
          <w:color w:val="000000"/>
          <w:sz w:val="24"/>
          <w:lang w:val="es-ES"/>
        </w:rPr>
        <w:t xml:space="preserve"> aplicó una consigna fija de elegibilidad y extracción, con pasadas adicionales en los casos límite. Las consignas evolucionaron de </w:t>
      </w:r>
      <w:r>
        <w:rPr>
          <w:rFonts w:ascii="Times New Roman" w:hAnsi="Times New Roman"/>
          <w:b w:val="0"/>
          <w:i/>
          <w:color w:val="000000"/>
          <w:sz w:val="24"/>
          <w:lang w:val="es-ES"/>
        </w:rPr>
        <w:t>cribado-extraccion-v1.2</w:t>
      </w:r>
      <w:r>
        <w:rPr>
          <w:rFonts w:ascii="Times New Roman" w:hAnsi="Times New Roman"/>
          <w:b w:val="0"/>
          <w:i w:val="0"/>
          <w:color w:val="000000"/>
          <w:sz w:val="24"/>
          <w:lang w:val="es-ES"/>
        </w:rPr>
        <w:t xml:space="preserve"> a las versiones v1.4 y v1.5 al incorporar fragmentos de texto completo. Las coincidencias entre pasadas reflejan estabilidad del procedimiento, no acuerdo entre personas independientes.</w:t>
      </w:r>
    </w:p>
    <w:p>
      <w:pPr>
        <w:widowControl/>
        <w:spacing w:before="0" w:after="0" w:line="480" w:lineRule="auto"/>
        <w:ind w:left="0" w:right="0" w:firstLine="720"/>
        <w:jc w:val="left"/>
      </w:pPr>
      <w:r>
        <w:rPr>
          <w:rFonts w:ascii="Times New Roman" w:hAnsi="Times New Roman"/>
          <w:b w:val="0"/>
          <w:i w:val="0"/>
          <w:color w:val="000000"/>
          <w:sz w:val="24"/>
          <w:lang w:val="es-ES"/>
        </w:rPr>
        <w:t>Se buscaron textos completos de 343 candidatos mediante DOI, fuentes de acceso abierto y búsquedas por título. Se recuperaron 35, de los cuales el procedimiento seleccionó fragmentos de método o del comienzo del documento para reconsiderar la elegibilidad. Entre los 539 incluidos, 488 decisiones se basan en título y resumen, 36 solo en título y 15 en fragmentos de texto completo. No se presenta este proceso como lectura íntegra de todos los artículos.</w:t>
      </w:r>
    </w:p>
    <w:p>
      <w:pPr>
        <w:widowControl/>
        <w:spacing w:before="0" w:after="0" w:line="480" w:lineRule="auto"/>
        <w:ind w:left="0" w:right="0" w:firstLine="720"/>
        <w:jc w:val="left"/>
      </w:pPr>
      <w:r>
        <w:rPr>
          <w:rFonts w:ascii="Times New Roman" w:hAnsi="Times New Roman"/>
          <w:b w:val="0"/>
          <w:i w:val="0"/>
          <w:color w:val="000000"/>
          <w:sz w:val="24"/>
          <w:lang w:val="es-ES"/>
        </w:rPr>
        <w:t>La recuperación se cerró el 27 de septiembre de 2026. Quedaron 267 registros sin información suficiente: 244 principales y 23 de la búsqueda dirigida. Se documentan intentos, resultado y destino. Estos registros no integran la síntesis ni los denominadores de estudios incluidos y se mantienen separados de las exclusiones por contenido. No localizar una copia por las vías consultadas no demuestra que no exista acceso por otras vías.</w:t>
      </w:r>
    </w:p>
    <w:p>
      <w:pPr>
        <w:pStyle w:val="Heading3"/>
        <w:keepNext/>
        <w:keepLines/>
        <w:widowControl/>
        <w:spacing w:before="0" w:after="0" w:line="480" w:lineRule="auto"/>
        <w:ind w:left="0" w:right="0" w:firstLine="0"/>
        <w:jc w:val="left"/>
      </w:pPr>
      <w:r>
        <w:rPr>
          <w:rFonts w:ascii="Times New Roman" w:hAnsi="Times New Roman"/>
          <w:b/>
          <w:i/>
          <w:color w:val="000000"/>
          <w:sz w:val="24"/>
          <w:lang w:val="es-ES"/>
        </w:rPr>
        <w:t>3.5 Extracción y construcción de RQ3</w:t>
      </w:r>
    </w:p>
    <w:p>
      <w:pPr>
        <w:widowControl/>
        <w:spacing w:before="0" w:after="0" w:line="480" w:lineRule="auto"/>
        <w:ind w:left="0" w:right="0" w:firstLine="720"/>
        <w:jc w:val="left"/>
      </w:pPr>
      <w:r>
        <w:rPr>
          <w:rFonts w:ascii="Times New Roman" w:hAnsi="Times New Roman"/>
          <w:b w:val="0"/>
          <w:i w:val="0"/>
          <w:color w:val="000000"/>
          <w:sz w:val="24"/>
          <w:lang w:val="es-ES"/>
        </w:rPr>
        <w:t>La extracción se aplicó a los 539 incluidos y registra cada valor junto con su cita y el texto utilizado. La comprobación normaliza entidades HTML, marcado, codificación y caracteres antes de localizar los pasajes. Se verificaron 2.653 citas de los campos originales de selección y extracción, sin contar 27 citas de recursos solo mencionados. Se revisaron por separado las citas de la nueva dimensión de evaluación y se corrigieron paráfrasis, elipsis y marcado matemático sin cambiar las decisiones de inclusión. Una evaluación cuyo diseño no podía determinarse se clasificó como «no consta».</w:t>
      </w:r>
    </w:p>
    <w:p>
      <w:pPr>
        <w:widowControl/>
        <w:spacing w:before="0" w:after="0" w:line="480" w:lineRule="auto"/>
        <w:ind w:left="0" w:right="0" w:firstLine="720"/>
        <w:jc w:val="left"/>
      </w:pPr>
      <w:r>
        <w:rPr>
          <w:rFonts w:ascii="Times New Roman" w:hAnsi="Times New Roman"/>
          <w:b w:val="0"/>
          <w:i w:val="0"/>
          <w:color w:val="000000"/>
          <w:sz w:val="24"/>
          <w:lang w:val="es-ES"/>
        </w:rPr>
        <w:t>Para RQ3 se normalizaron nombres compuestos y variantes de un recurso. Los tamaños y variantes de una misma versión se agrupan; las familias sin versión y los algoritmos genéricos se mantienen aparte. Un uso corresponde a un par estudio–unidad, contado una sola vez por estudio. Las menciones bibliográficas se excluyen del recuento. El suplemento permite volver del total agregado al pasaje de cada registro.</w:t>
      </w:r>
    </w:p>
    <w:p>
      <w:pPr>
        <w:widowControl/>
        <w:spacing w:before="0" w:after="0" w:line="480" w:lineRule="auto"/>
        <w:ind w:left="0" w:right="0" w:firstLine="720"/>
        <w:jc w:val="left"/>
      </w:pPr>
      <w:r>
        <w:rPr>
          <w:rFonts w:ascii="Times New Roman" w:hAnsi="Times New Roman"/>
          <w:b w:val="0"/>
          <w:i w:val="0"/>
          <w:color w:val="000000"/>
          <w:sz w:val="24"/>
          <w:lang w:val="es-ES"/>
        </w:rPr>
        <w:t>El inventario separa evidencia directa de español, soporte no documentado, soporte desconocido y casos dependientes de la versión. La evidencia directa conserva el criterio documental amplio de la extracción: recurso nativo, declaración del proveedor, evaluación que incluye español o presencia del idioma en el entrenamiento. Esas evidencias se desglosan por fuerza; no se interpretan como equivalentes a eficacia demostrada. También se distingue una adaptación del mismo recurso, una versión multilingüe y una alternativa funcional diferente.</w:t>
      </w:r>
    </w:p>
    <w:p>
      <w:pPr>
        <w:widowControl/>
        <w:spacing w:before="0" w:after="0" w:line="480" w:lineRule="auto"/>
        <w:ind w:left="0" w:right="0" w:firstLine="720"/>
        <w:jc w:val="left"/>
      </w:pPr>
      <w:r>
        <w:rPr>
          <w:rFonts w:ascii="Times New Roman" w:hAnsi="Times New Roman"/>
          <w:b w:val="0"/>
          <w:i w:val="0"/>
          <w:color w:val="000000"/>
          <w:sz w:val="24"/>
          <w:lang w:val="es-ES"/>
        </w:rPr>
        <w:t>Los atributos se contrastaron de forma automatizada con artículos, informes técnicos, fichas oficiales, documentación y licencias. De las 90 unidades concretas, 25 se apoyan en fuentes descargadas, 51 combinan esas fuentes con fragmentos indexados de páginas oficiales, 13 se apoyan solo en fragmentos y en una no consta la modalidad. Tres unidades mantienen soporte desconocido por falta de verificación. Las fuentes, citas y fechas figuran por atributo en el inventario.</w:t>
      </w:r>
    </w:p>
    <w:p>
      <w:pPr>
        <w:pStyle w:val="Heading3"/>
        <w:keepNext/>
        <w:keepLines/>
        <w:widowControl/>
        <w:spacing w:before="0" w:after="0" w:line="480" w:lineRule="auto"/>
        <w:ind w:left="0" w:right="0" w:firstLine="0"/>
        <w:jc w:val="left"/>
      </w:pPr>
      <w:r>
        <w:rPr>
          <w:rFonts w:ascii="Times New Roman" w:hAnsi="Times New Roman"/>
          <w:b/>
          <w:i/>
          <w:color w:val="000000"/>
          <w:sz w:val="24"/>
          <w:lang w:val="es-ES"/>
        </w:rPr>
        <w:t>3.6 Consistencia y alcance de la validación</w:t>
      </w:r>
    </w:p>
    <w:p>
      <w:pPr>
        <w:widowControl/>
        <w:spacing w:before="0" w:after="0" w:line="480" w:lineRule="auto"/>
        <w:ind w:left="0" w:right="0" w:firstLine="720"/>
        <w:jc w:val="left"/>
      </w:pPr>
      <w:r>
        <w:rPr>
          <w:rFonts w:ascii="Times New Roman" w:hAnsi="Times New Roman"/>
          <w:b w:val="0"/>
          <w:i w:val="0"/>
          <w:color w:val="000000"/>
          <w:sz w:val="24"/>
          <w:lang w:val="es-ES"/>
        </w:rPr>
        <w:t>Se conciliaron los identificadores entre selección, extracción, pendientes y pares de recursos. Las 276 cifras del paquete de entrada fueron recalculadas independientemente y coincidieron; los ajustes posteriores de evaluación quedaron registrados y sus tablas se regeneraron. Esta verificación acredita consistencia interna, sin reemplazar la revisión semántica ni la validación humana de las decisiones.</w:t>
      </w:r>
    </w:p>
    <w:p>
      <w:pPr>
        <w:widowControl/>
        <w:spacing w:before="0" w:after="0" w:line="480" w:lineRule="auto"/>
        <w:ind w:left="0" w:right="0" w:firstLine="720"/>
        <w:jc w:val="left"/>
      </w:pPr>
      <w:r>
        <w:rPr>
          <w:rFonts w:ascii="Times New Roman" w:hAnsi="Times New Roman"/>
          <w:b w:val="0"/>
          <w:i w:val="0"/>
          <w:color w:val="000000"/>
          <w:sz w:val="24"/>
          <w:lang w:val="es-ES"/>
        </w:rPr>
        <w:t xml:space="preserve">La ronda humana previa contiene 18 pares de decisiones: 16 inclusiones coincidentes, una exclusión coincidente y un desacuerdo. El acuerdo observado es 17/18 = 0,9444 y κ = 0,640 </w:t>
      </w:r>
      <w:fldSimple w:instr=" CITATION Coh60 \l 3082 " w:dirty="false" w:fldLock="true">
        <w:r>
          <w:rPr>
            <w:rFonts w:ascii="Times New Roman" w:hAnsi="Times New Roman"/>
            <w:b w:val="0"/>
            <w:i w:val="0"/>
            <w:color w:val="000000"/>
            <w:sz w:val="24"/>
            <w:lang w:val="es-ES"/>
          </w:rPr>
          <w:t>(Cohen, 1960)</w:t>
        </w:r>
      </w:fldSimple>
      <w:r>
        <w:rPr>
          <w:rFonts w:ascii="Times New Roman" w:hAnsi="Times New Roman"/>
          <w:b w:val="0"/>
          <w:i w:val="0"/>
          <w:color w:val="000000"/>
          <w:sz w:val="24"/>
          <w:lang w:val="es-ES"/>
        </w:rPr>
        <w:t xml:space="preserve">. El predominio de inclusiones condiciona la relación entre ambas medidas </w:t>
      </w:r>
      <w:fldSimple w:instr=" CITATION Fei90 \l 3082 " w:dirty="false" w:fldLock="true">
        <w:r>
          <w:rPr>
            <w:rFonts w:ascii="Times New Roman" w:hAnsi="Times New Roman"/>
            <w:b w:val="0"/>
            <w:i w:val="0"/>
            <w:color w:val="000000"/>
            <w:sz w:val="24"/>
            <w:lang w:val="es-ES"/>
          </w:rPr>
          <w:t>(Feinstein y Cicchetti, 1990)</w:t>
        </w:r>
      </w:fldSimple>
      <w:r>
        <w:rPr>
          <w:rFonts w:ascii="Times New Roman" w:hAnsi="Times New Roman"/>
          <w:b w:val="0"/>
          <w:i w:val="0"/>
          <w:color w:val="000000"/>
          <w:sz w:val="24"/>
          <w:lang w:val="es-ES"/>
        </w:rPr>
        <w:t>. Ese ejercicio se restringe al subcorpus y a su protocolo histórico; no se extrapola al cribado global. Las lecturas asistidas posteriores y el acuerdo entre pasadas automáticas no se presentan como nuevas rondas humanas.</w:t>
      </w:r>
    </w:p>
    <w:p>
      <w:pPr>
        <w:pStyle w:val="Heading2"/>
        <w:keepNext/>
        <w:keepLines/>
        <w:widowControl/>
        <w:spacing w:before="0" w:after="0" w:line="480" w:lineRule="auto"/>
        <w:ind w:left="0" w:right="0" w:firstLine="0"/>
        <w:jc w:val="left"/>
      </w:pPr>
      <w:r>
        <w:rPr>
          <w:rFonts w:ascii="Times New Roman" w:hAnsi="Times New Roman"/>
          <w:b/>
          <w:i w:val="0"/>
          <w:color w:val="000000"/>
          <w:sz w:val="24"/>
          <w:lang w:val="es-ES"/>
        </w:rPr>
        <w:t>4. Resultados</w:t>
      </w:r>
    </w:p>
    <w:p>
      <w:pPr>
        <w:pStyle w:val="Heading3"/>
        <w:keepNext/>
        <w:keepLines/>
        <w:widowControl/>
        <w:spacing w:before="0" w:after="0" w:line="480" w:lineRule="auto"/>
        <w:ind w:left="0" w:right="0" w:firstLine="0"/>
        <w:jc w:val="left"/>
      </w:pPr>
      <w:r>
        <w:rPr>
          <w:rFonts w:ascii="Times New Roman" w:hAnsi="Times New Roman"/>
          <w:b/>
          <w:i/>
          <w:color w:val="000000"/>
          <w:sz w:val="24"/>
          <w:lang w:val="es-ES"/>
        </w:rPr>
        <w:t>4.1 Selección y denominadores</w:t>
      </w:r>
    </w:p>
    <w:p>
      <w:pPr>
        <w:widowControl/>
        <w:spacing w:before="0" w:after="0" w:line="480" w:lineRule="auto"/>
        <w:ind w:left="0" w:right="0" w:firstLine="720"/>
        <w:jc w:val="left"/>
      </w:pPr>
      <w:r>
        <w:rPr>
          <w:rFonts w:ascii="Times New Roman" w:hAnsi="Times New Roman"/>
          <w:b w:val="0"/>
          <w:i w:val="0"/>
          <w:color w:val="000000"/>
          <w:sz w:val="24"/>
          <w:lang w:val="es-ES"/>
        </w:rPr>
        <w:t>La selección conserva 539 estudios de los 1.746 registros identificados. La tabla 3 y la figura 1 muestran el destino de todos los registros. Los análisis de distribución utilizan los 533 incluidos principales; los seis de otros flujos se incorporan al examen dirigido del español, con procedencia explícita.</w:t>
      </w:r>
    </w:p>
    <w:p>
      <w:pPr>
        <w:keepNext/>
        <w:keepLines/>
        <w:widowControl/>
        <w:spacing w:before="200" w:after="40" w:line="288" w:lineRule="auto"/>
        <w:ind w:left="0" w:right="0" w:firstLine="0"/>
        <w:jc w:val="left"/>
      </w:pPr>
      <w:r>
        <w:rPr>
          <w:rFonts w:ascii="Times New Roman" w:hAnsi="Times New Roman"/>
          <w:b/>
          <w:i w:val="0"/>
          <w:color w:val="000000"/>
          <w:sz w:val="24"/>
          <w:lang w:val="es-ES"/>
        </w:rPr>
        <w:t>Tabla 3</w:t>
      </w:r>
    </w:p>
    <w:p>
      <w:pPr>
        <w:keepNext/>
        <w:keepLines/>
        <w:widowControl/>
        <w:spacing w:before="0" w:after="80" w:line="288" w:lineRule="auto"/>
        <w:ind w:left="0" w:right="0" w:firstLine="0"/>
        <w:jc w:val="left"/>
      </w:pPr>
      <w:r>
        <w:rPr>
          <w:rFonts w:ascii="Times New Roman" w:hAnsi="Times New Roman"/>
          <w:b w:val="0"/>
          <w:i/>
          <w:color w:val="000000"/>
          <w:sz w:val="24"/>
          <w:lang w:val="es-ES"/>
        </w:rPr>
        <w:t>Selección por flujo de procedencia</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3024"/>
        <w:gridCol w:w="1584"/>
        <w:gridCol w:w="1584"/>
        <w:gridCol w:w="1584"/>
        <w:gridCol w:w="1584"/>
      </w:tblGrid>
      <w:tr>
        <w:trPr>
          <w:cantSplit/>
          <w:tblHeader/>
        </w:trPr>
        <w:tc>
          <w:tcPr>
            <w:tcW w:type="dxa" w:w="3024"/>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Etapa</w:t>
            </w:r>
          </w:p>
        </w:tc>
        <w:tc>
          <w:tcPr>
            <w:tcW w:type="dxa" w:w="1584"/>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Principal</w:t>
            </w:r>
          </w:p>
        </w:tc>
        <w:tc>
          <w:tcPr>
            <w:tcW w:type="dxa" w:w="1584"/>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Dirigida</w:t>
            </w:r>
          </w:p>
        </w:tc>
        <w:tc>
          <w:tcPr>
            <w:tcW w:type="dxa" w:w="1584"/>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Ronda de kappa</w:t>
            </w:r>
          </w:p>
        </w:tc>
        <w:tc>
          <w:tcPr>
            <w:tcW w:type="dxa" w:w="1584"/>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Total</w:t>
            </w:r>
          </w:p>
        </w:tc>
      </w:tr>
      <w:tr>
        <w:trPr>
          <w:cantSplit/>
        </w:trPr>
        <w:tc>
          <w:tcPr>
            <w:tcW w:type="dxa" w:w="30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Identificados</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1.457</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278</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11</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1.746</w:t>
            </w:r>
          </w:p>
        </w:tc>
      </w:tr>
      <w:tr>
        <w:trPr>
          <w:cantSplit/>
        </w:trPr>
        <w:tc>
          <w:tcPr>
            <w:tcW w:type="dxa" w:w="30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Duplicados retirados</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89</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16</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106</w:t>
            </w:r>
          </w:p>
        </w:tc>
      </w:tr>
      <w:tr>
        <w:trPr>
          <w:cantSplit/>
        </w:trPr>
        <w:tc>
          <w:tcPr>
            <w:tcW w:type="dxa" w:w="30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Cribados</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1.368</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262</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10</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1.640</w:t>
            </w:r>
          </w:p>
        </w:tc>
      </w:tr>
      <w:tr>
        <w:trPr>
          <w:cantSplit/>
        </w:trPr>
        <w:tc>
          <w:tcPr>
            <w:tcW w:type="dxa" w:w="30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Excluidos con motivo</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591</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237</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6</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834</w:t>
            </w:r>
          </w:p>
        </w:tc>
      </w:tr>
      <w:tr>
        <w:trPr>
          <w:cantSplit/>
        </w:trPr>
        <w:tc>
          <w:tcPr>
            <w:tcW w:type="dxa" w:w="30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Sin información suficiente</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244</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23</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0</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267</w:t>
            </w:r>
          </w:p>
        </w:tc>
      </w:tr>
      <w:tr>
        <w:trPr>
          <w:cantSplit/>
        </w:trPr>
        <w:tc>
          <w:tcPr>
            <w:tcW w:type="dxa" w:w="30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Incluidos</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533</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2</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4</w:t>
            </w:r>
          </w:p>
        </w:tc>
        <w:tc>
          <w:tcPr>
            <w:tcW w:type="dxa" w:w="1584"/>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539</w:t>
            </w:r>
          </w:p>
        </w:tc>
      </w:tr>
    </w:tbl>
    <w:p>
      <w:pPr>
        <w:keepLines/>
        <w:widowControl/>
        <w:spacing w:before="80" w:after="160" w:line="240" w:lineRule="auto"/>
        <w:ind w:left="0" w:right="0" w:firstLine="0"/>
        <w:jc w:val="left"/>
      </w:pPr>
      <w:r>
        <w:rPr>
          <w:rFonts w:ascii="Times New Roman" w:hAnsi="Times New Roman"/>
          <w:b w:val="0"/>
          <w:i/>
          <w:color w:val="000000"/>
          <w:sz w:val="22"/>
          <w:lang w:val="es-ES"/>
        </w:rPr>
        <w:t>Nota.</w:t>
      </w:r>
      <w:r>
        <w:rPr>
          <w:rFonts w:ascii="Times New Roman" w:hAnsi="Times New Roman"/>
          <w:b w:val="0"/>
          <w:i w:val="0"/>
          <w:color w:val="000000"/>
          <w:sz w:val="22"/>
          <w:lang w:val="es-ES"/>
        </w:rPr>
        <w:t xml:space="preserve"> Identificados menos duplicados equivale a cribados; cribados equivale a excluidos, no evaluados e incluidos. Los motivos globales de exclusión son CI1 no cumplido (479), CE1 (145), CE2 (60), CE3 (88), CE4 (9) y CE6 (53). CE5 corresponde a los duplicados retirados.</w:t>
      </w:r>
    </w:p>
    <w:p>
      <w:pPr>
        <w:keepNext/>
        <w:keepLines/>
        <w:widowControl/>
        <w:spacing w:before="200" w:after="40" w:line="288" w:lineRule="auto"/>
        <w:ind w:left="0" w:right="0" w:firstLine="0"/>
        <w:jc w:val="left"/>
      </w:pPr>
      <w:r>
        <w:rPr>
          <w:rFonts w:ascii="Times New Roman" w:hAnsi="Times New Roman"/>
          <w:b/>
          <w:i w:val="0"/>
          <w:color w:val="000000"/>
          <w:sz w:val="24"/>
          <w:lang w:val="es-ES"/>
        </w:rPr>
        <w:t>Figura 1</w:t>
      </w:r>
    </w:p>
    <w:p>
      <w:pPr>
        <w:keepNext/>
        <w:keepLines/>
        <w:widowControl/>
        <w:spacing w:before="0" w:after="80" w:line="288" w:lineRule="auto"/>
        <w:ind w:left="0" w:right="0" w:firstLine="0"/>
        <w:jc w:val="left"/>
      </w:pPr>
      <w:r>
        <w:rPr>
          <w:rFonts w:ascii="Times New Roman" w:hAnsi="Times New Roman"/>
          <w:b w:val="0"/>
          <w:i/>
          <w:color w:val="000000"/>
          <w:sz w:val="24"/>
          <w:lang w:val="es-ES"/>
        </w:rPr>
        <w:t>Flujo de selección de los registros</w:t>
      </w:r>
    </w:p>
    <w:p>
      <w:pPr>
        <w:keepNext/>
        <w:spacing w:line="240" w:lineRule="auto" w:before="0" w:after="0"/>
        <w:ind w:firstLine="0"/>
        <w:jc w:val="center"/>
      </w:pPr>
      <w:r>
        <w:drawing>
          <wp:inline xmlns:a="http://schemas.openxmlformats.org/drawingml/2006/main" xmlns:pic="http://schemas.openxmlformats.org/drawingml/2006/picture">
            <wp:extent cx="5943600" cy="4479980"/>
            <wp:docPr id="1" name="Picture 1" descr="Flujo de selección"/>
            <wp:cNvGraphicFramePr>
              <a:graphicFrameLocks noChangeAspect="1"/>
            </wp:cNvGraphicFramePr>
            <a:graphic>
              <a:graphicData uri="http://schemas.openxmlformats.org/drawingml/2006/picture">
                <pic:pic>
                  <pic:nvPicPr>
                    <pic:cNvPr id="0" name="Figura_1_seleccion.png"/>
                    <pic:cNvPicPr/>
                  </pic:nvPicPr>
                  <pic:blipFill>
                    <a:blip r:embed="rId7"/>
                    <a:stretch>
                      <a:fillRect/>
                    </a:stretch>
                  </pic:blipFill>
                  <pic:spPr>
                    <a:xfrm>
                      <a:off x="0" y="0"/>
                      <a:ext cx="5943600" cy="4479980"/>
                    </a:xfrm>
                    <a:prstGeom prst="rect"/>
                  </pic:spPr>
                </pic:pic>
              </a:graphicData>
            </a:graphic>
          </wp:inline>
        </w:drawing>
      </w:r>
    </w:p>
    <w:p>
      <w:pPr>
        <w:keepLines/>
        <w:widowControl/>
        <w:spacing w:before="80" w:after="160" w:line="240" w:lineRule="auto"/>
        <w:ind w:left="0" w:right="0" w:firstLine="0"/>
        <w:jc w:val="left"/>
      </w:pPr>
      <w:r>
        <w:rPr>
          <w:rFonts w:ascii="Times New Roman" w:hAnsi="Times New Roman"/>
          <w:b w:val="0"/>
          <w:i/>
          <w:color w:val="000000"/>
          <w:sz w:val="22"/>
          <w:lang w:val="es-ES"/>
        </w:rPr>
        <w:t>Nota.</w:t>
      </w:r>
      <w:r>
        <w:rPr>
          <w:rFonts w:ascii="Times New Roman" w:hAnsi="Times New Roman"/>
          <w:b w:val="0"/>
          <w:i w:val="0"/>
          <w:color w:val="000000"/>
          <w:sz w:val="22"/>
          <w:lang w:val="es-ES"/>
        </w:rPr>
        <w:t xml:space="preserve"> Elaboración a partir de las decisiones por registro. Se informa por separado lo no evaluado; el gráfico no implica lectura de texto completo para toda la selección.</w:t>
      </w:r>
    </w:p>
    <w:p>
      <w:pPr>
        <w:widowControl/>
        <w:spacing w:before="0" w:after="0" w:line="480" w:lineRule="auto"/>
        <w:ind w:left="0" w:right="0" w:firstLine="720"/>
        <w:jc w:val="left"/>
      </w:pPr>
      <w:r>
        <w:rPr>
          <w:rFonts w:ascii="Times New Roman" w:hAnsi="Times New Roman"/>
          <w:b w:val="0"/>
          <w:i w:val="0"/>
          <w:color w:val="000000"/>
          <w:sz w:val="24"/>
          <w:lang w:val="es-ES"/>
        </w:rPr>
        <w:t>En el flujo principal, 1.124 de 1.368 registros cribados tienen decisión de inclusión o exclusión (82,2 %). Los 244 restantes limitan la cobertura. Si todos resultaran elegibles, el número principal ascendería de 533 a 777; este intervalo de escenarios ilustra la incertidumbre de selección, sin estimar cuántos deberían incluirse.</w:t>
      </w:r>
    </w:p>
    <w:p>
      <w:pPr>
        <w:pStyle w:val="Heading3"/>
        <w:keepNext/>
        <w:keepLines/>
        <w:widowControl/>
        <w:spacing w:before="0" w:after="0" w:line="480" w:lineRule="auto"/>
        <w:ind w:left="0" w:right="0" w:firstLine="0"/>
        <w:jc w:val="left"/>
      </w:pPr>
      <w:r>
        <w:rPr>
          <w:rFonts w:ascii="Times New Roman" w:hAnsi="Times New Roman"/>
          <w:b/>
          <w:i/>
          <w:color w:val="000000"/>
          <w:sz w:val="24"/>
          <w:lang w:val="es-ES"/>
        </w:rPr>
        <w:t>4.2 Distribución temporal</w:t>
      </w:r>
    </w:p>
    <w:p>
      <w:pPr>
        <w:widowControl/>
        <w:spacing w:before="0" w:after="0" w:line="480" w:lineRule="auto"/>
        <w:ind w:left="0" w:right="0" w:firstLine="720"/>
        <w:jc w:val="left"/>
      </w:pPr>
      <w:r>
        <w:rPr>
          <w:rFonts w:ascii="Times New Roman" w:hAnsi="Times New Roman"/>
          <w:b w:val="0"/>
          <w:i w:val="0"/>
          <w:color w:val="000000"/>
          <w:sz w:val="24"/>
          <w:lang w:val="es-ES"/>
        </w:rPr>
        <w:t>La figura 2 muestra 12 incluidos en 2015, 38 en 2023, 74 en 2024 y 175 en 2025. Los 110 de 2026 corresponden al corte parcial. La concentración reciente describe la búsqueda y la selección aplicadas; no prueba por sí misma crecimiento de todo el campo ni una sustitución causal de enfoques anteriores.</w:t>
      </w:r>
    </w:p>
    <w:p>
      <w:pPr>
        <w:keepNext/>
        <w:keepLines/>
        <w:widowControl/>
        <w:spacing w:before="200" w:after="40" w:line="288" w:lineRule="auto"/>
        <w:ind w:left="0" w:right="0" w:firstLine="0"/>
        <w:jc w:val="left"/>
      </w:pPr>
      <w:r>
        <w:rPr>
          <w:rFonts w:ascii="Times New Roman" w:hAnsi="Times New Roman"/>
          <w:b/>
          <w:i w:val="0"/>
          <w:color w:val="000000"/>
          <w:sz w:val="24"/>
          <w:lang w:val="es-ES"/>
        </w:rPr>
        <w:t>Figura 2</w:t>
      </w:r>
    </w:p>
    <w:p>
      <w:pPr>
        <w:keepNext/>
        <w:keepLines/>
        <w:widowControl/>
        <w:spacing w:before="0" w:after="80" w:line="288" w:lineRule="auto"/>
        <w:ind w:left="0" w:right="0" w:firstLine="0"/>
        <w:jc w:val="left"/>
      </w:pPr>
      <w:r>
        <w:rPr>
          <w:rFonts w:ascii="Times New Roman" w:hAnsi="Times New Roman"/>
          <w:b w:val="0"/>
          <w:i/>
          <w:color w:val="000000"/>
          <w:sz w:val="24"/>
          <w:lang w:val="es-ES"/>
        </w:rPr>
        <w:t>Estudios principales incluidos por año registrado, 2015–2026</w:t>
      </w:r>
    </w:p>
    <w:p>
      <w:pPr>
        <w:keepNext/>
        <w:spacing w:line="240" w:lineRule="auto" w:before="0" w:after="0"/>
        <w:ind w:firstLine="0"/>
        <w:jc w:val="center"/>
      </w:pPr>
      <w:r>
        <w:drawing>
          <wp:inline xmlns:a="http://schemas.openxmlformats.org/drawingml/2006/main" xmlns:pic="http://schemas.openxmlformats.org/drawingml/2006/picture">
            <wp:extent cx="5943600" cy="2952156"/>
            <wp:docPr id="2" name="Picture 2" descr="Distribución anual"/>
            <wp:cNvGraphicFramePr>
              <a:graphicFrameLocks noChangeAspect="1"/>
            </wp:cNvGraphicFramePr>
            <a:graphic>
              <a:graphicData uri="http://schemas.openxmlformats.org/drawingml/2006/picture">
                <pic:pic>
                  <pic:nvPicPr>
                    <pic:cNvPr id="0" name="Figura_2_distribucion_anual.png"/>
                    <pic:cNvPicPr/>
                  </pic:nvPicPr>
                  <pic:blipFill>
                    <a:blip r:embed="rId8"/>
                    <a:stretch>
                      <a:fillRect/>
                    </a:stretch>
                  </pic:blipFill>
                  <pic:spPr>
                    <a:xfrm>
                      <a:off x="0" y="0"/>
                      <a:ext cx="5943600" cy="2952156"/>
                    </a:xfrm>
                    <a:prstGeom prst="rect"/>
                  </pic:spPr>
                </pic:pic>
              </a:graphicData>
            </a:graphic>
          </wp:inline>
        </w:drawing>
      </w:r>
    </w:p>
    <w:p>
      <w:pPr>
        <w:keepLines/>
        <w:widowControl/>
        <w:spacing w:before="80" w:after="160" w:line="240" w:lineRule="auto"/>
        <w:ind w:left="0" w:right="0" w:firstLine="0"/>
        <w:jc w:val="left"/>
      </w:pPr>
      <w:r>
        <w:rPr>
          <w:rFonts w:ascii="Times New Roman" w:hAnsi="Times New Roman"/>
          <w:b w:val="0"/>
          <w:i/>
          <w:color w:val="000000"/>
          <w:sz w:val="22"/>
          <w:lang w:val="es-ES"/>
        </w:rPr>
        <w:t>Nota.</w:t>
      </w:r>
      <w:r>
        <w:rPr>
          <w:rFonts w:ascii="Times New Roman" w:hAnsi="Times New Roman"/>
          <w:b w:val="0"/>
          <w:i w:val="0"/>
          <w:color w:val="000000"/>
          <w:sz w:val="22"/>
          <w:lang w:val="es-ES"/>
        </w:rPr>
        <w:t xml:space="preserve"> n = 533. El asterisco y el rayado identifican 2026 como año parcial. Se conserva el año del registro bibliográfico para la distribución; puede diferir del año del volumen utilizado en una referencia.</w:t>
      </w:r>
    </w:p>
    <w:p>
      <w:pPr>
        <w:pStyle w:val="Heading3"/>
        <w:keepNext/>
        <w:keepLines/>
        <w:widowControl/>
        <w:spacing w:before="0" w:after="0" w:line="480" w:lineRule="auto"/>
        <w:ind w:left="0" w:right="0" w:firstLine="0"/>
        <w:jc w:val="left"/>
      </w:pPr>
      <w:r>
        <w:rPr>
          <w:rFonts w:ascii="Times New Roman" w:hAnsi="Times New Roman"/>
          <w:b/>
          <w:i/>
          <w:color w:val="000000"/>
          <w:sz w:val="24"/>
          <w:lang w:val="es-ES"/>
        </w:rPr>
        <w:t>4.3 Recursos y tareas de los estudios (RQ1 y RQ2)</w:t>
      </w:r>
    </w:p>
    <w:p>
      <w:pPr>
        <w:widowControl/>
        <w:spacing w:before="0" w:after="0" w:line="480" w:lineRule="auto"/>
        <w:ind w:left="0" w:right="0" w:firstLine="720"/>
        <w:jc w:val="left"/>
      </w:pPr>
      <w:r>
        <w:rPr>
          <w:rFonts w:ascii="Times New Roman" w:hAnsi="Times New Roman"/>
          <w:b w:val="0"/>
          <w:i w:val="0"/>
          <w:color w:val="000000"/>
          <w:sz w:val="24"/>
          <w:lang w:val="es-ES"/>
        </w:rPr>
        <w:t>Las familias más frecuentes son modelos generativos (265 estudios; 49,7 %), codificadores tipo BERT (117; 22,0 %) y vectores de palabras (67; 12,6 %). Se registran además ontologías en 47, grafos de conocimiento en 30, marcos o roles en 17, WordNet y afines en 11 y tesauros o glosarios en ocho. Las categorías de representaciones de similitud, otros transformadores y otros recursos completan el esquema; se informan como familias operacionales, sin tratarlas como recursos concretos intercambiables.</w:t>
      </w:r>
    </w:p>
    <w:p>
      <w:pPr>
        <w:widowControl/>
        <w:spacing w:before="0" w:after="0" w:line="480" w:lineRule="auto"/>
        <w:ind w:left="0" w:right="0" w:firstLine="720"/>
        <w:jc w:val="left"/>
      </w:pPr>
      <w:r>
        <w:rPr>
          <w:rFonts w:ascii="Times New Roman" w:hAnsi="Times New Roman"/>
          <w:b w:val="0"/>
          <w:i w:val="0"/>
          <w:color w:val="000000"/>
          <w:sz w:val="24"/>
          <w:lang w:val="es-ES"/>
        </w:rPr>
        <w:t>La extracción a modelos u ontologías es la tarea principal más frecuente (154; 28,9 %), seguida de clasificación (113; 21,2 %), generación (102; 19,1 %), ambigüedad y calidad (80; 15,0 %), similitud y recuperación (35; 6,6 %), trazabilidad (23; 4,3 %), otras (16; 3,0 %) y priorización (10; 1,9 %). Cada estudio tiene una tarea principal; las secundarias se conservan en la extracción.</w:t>
      </w:r>
    </w:p>
    <w:p>
      <w:pPr>
        <w:widowControl/>
        <w:spacing w:before="0" w:after="0" w:line="480" w:lineRule="auto"/>
        <w:ind w:left="0" w:right="0" w:firstLine="720"/>
        <w:jc w:val="left"/>
      </w:pPr>
      <w:r>
        <w:rPr>
          <w:rFonts w:ascii="Times New Roman" w:hAnsi="Times New Roman"/>
          <w:b w:val="0"/>
          <w:i w:val="0"/>
          <w:color w:val="000000"/>
          <w:sz w:val="24"/>
          <w:lang w:val="es-ES"/>
        </w:rPr>
        <w:t>La figura 3 relaciona tareas con todas las familias utilizadas. A diferencia de una etiqueta asignada por primera coincidencia, este cruce admite varios recursos por estudio. Permite localizar combinaciones para un examen posterior, sin inferir eficacia de la frecuencia observada.</w:t>
      </w:r>
    </w:p>
    <w:p>
      <w:pPr>
        <w:keepNext/>
        <w:keepLines/>
        <w:widowControl/>
        <w:spacing w:before="200" w:after="40" w:line="288" w:lineRule="auto"/>
        <w:ind w:left="0" w:right="0" w:firstLine="0"/>
        <w:jc w:val="left"/>
      </w:pPr>
      <w:r>
        <w:rPr>
          <w:rFonts w:ascii="Times New Roman" w:hAnsi="Times New Roman"/>
          <w:b/>
          <w:i w:val="0"/>
          <w:color w:val="000000"/>
          <w:sz w:val="24"/>
          <w:lang w:val="es-ES"/>
        </w:rPr>
        <w:t>Figura 3</w:t>
      </w:r>
    </w:p>
    <w:p>
      <w:pPr>
        <w:keepNext/>
        <w:keepLines/>
        <w:widowControl/>
        <w:spacing w:before="0" w:after="80" w:line="288" w:lineRule="auto"/>
        <w:ind w:left="0" w:right="0" w:firstLine="0"/>
        <w:jc w:val="left"/>
      </w:pPr>
      <w:r>
        <w:rPr>
          <w:rFonts w:ascii="Times New Roman" w:hAnsi="Times New Roman"/>
          <w:b w:val="0"/>
          <w:i/>
          <w:color w:val="000000"/>
          <w:sz w:val="24"/>
          <w:lang w:val="es-ES"/>
        </w:rPr>
        <w:t>Relación entre familias de recursos y tarea principal</w:t>
      </w:r>
    </w:p>
    <w:p>
      <w:pPr>
        <w:keepNext/>
        <w:spacing w:line="240" w:lineRule="auto" w:before="0" w:after="0"/>
        <w:ind w:firstLine="0"/>
        <w:jc w:val="center"/>
      </w:pPr>
      <w:r>
        <w:drawing>
          <wp:inline xmlns:a="http://schemas.openxmlformats.org/drawingml/2006/main" xmlns:pic="http://schemas.openxmlformats.org/drawingml/2006/picture">
            <wp:extent cx="5943600" cy="4254736"/>
            <wp:docPr id="3" name="Picture 3" descr="Cruce entre familias y tareas"/>
            <wp:cNvGraphicFramePr>
              <a:graphicFrameLocks noChangeAspect="1"/>
            </wp:cNvGraphicFramePr>
            <a:graphic>
              <a:graphicData uri="http://schemas.openxmlformats.org/drawingml/2006/picture">
                <pic:pic>
                  <pic:nvPicPr>
                    <pic:cNvPr id="0" name="Figura_3_recursos_tareas.png"/>
                    <pic:cNvPicPr/>
                  </pic:nvPicPr>
                  <pic:blipFill>
                    <a:blip r:embed="rId9"/>
                    <a:stretch>
                      <a:fillRect/>
                    </a:stretch>
                  </pic:blipFill>
                  <pic:spPr>
                    <a:xfrm>
                      <a:off x="0" y="0"/>
                      <a:ext cx="5943600" cy="4254736"/>
                    </a:xfrm>
                    <a:prstGeom prst="rect"/>
                  </pic:spPr>
                </pic:pic>
              </a:graphicData>
            </a:graphic>
          </wp:inline>
        </w:drawing>
      </w:r>
    </w:p>
    <w:p>
      <w:pPr>
        <w:keepLines/>
        <w:widowControl/>
        <w:spacing w:before="80" w:after="160" w:line="240" w:lineRule="auto"/>
        <w:ind w:left="0" w:right="0" w:firstLine="0"/>
        <w:jc w:val="left"/>
      </w:pPr>
      <w:r>
        <w:rPr>
          <w:rFonts w:ascii="Times New Roman" w:hAnsi="Times New Roman"/>
          <w:b w:val="0"/>
          <w:i/>
          <w:color w:val="000000"/>
          <w:sz w:val="22"/>
          <w:lang w:val="es-ES"/>
        </w:rPr>
        <w:t>Nota.</w:t>
      </w:r>
      <w:r>
        <w:rPr>
          <w:rFonts w:ascii="Times New Roman" w:hAnsi="Times New Roman"/>
          <w:b w:val="0"/>
          <w:i w:val="0"/>
          <w:color w:val="000000"/>
          <w:sz w:val="22"/>
          <w:lang w:val="es-ES"/>
        </w:rPr>
        <w:t xml:space="preserve"> n = 533 estudios. Un estudio puede ocupar varias filas, pero una sola columna de tarea principal. Cada celda representa estudios, no menciones. Se incluyen las ocho tareas, también trazabilidad, priorización y otras.</w:t>
      </w:r>
    </w:p>
    <w:p>
      <w:pPr>
        <w:pStyle w:val="Heading3"/>
        <w:keepNext/>
        <w:keepLines/>
        <w:widowControl/>
        <w:spacing w:before="0" w:after="0" w:line="480" w:lineRule="auto"/>
        <w:ind w:left="0" w:right="0" w:firstLine="0"/>
        <w:jc w:val="left"/>
      </w:pPr>
      <w:r>
        <w:rPr>
          <w:rFonts w:ascii="Times New Roman" w:hAnsi="Times New Roman"/>
          <w:b/>
          <w:i/>
          <w:color w:val="000000"/>
          <w:sz w:val="24"/>
          <w:lang w:val="es-ES"/>
        </w:rPr>
        <w:t>4.4 Evaluación y completitud de la caracterización</w:t>
      </w:r>
    </w:p>
    <w:p>
      <w:pPr>
        <w:widowControl/>
        <w:spacing w:before="0" w:after="0" w:line="480" w:lineRule="auto"/>
        <w:ind w:left="0" w:right="0" w:firstLine="720"/>
        <w:jc w:val="left"/>
      </w:pPr>
      <w:r>
        <w:rPr>
          <w:rFonts w:ascii="Times New Roman" w:hAnsi="Times New Roman"/>
          <w:b w:val="0"/>
          <w:i w:val="0"/>
          <w:color w:val="000000"/>
          <w:sz w:val="24"/>
          <w:lang w:val="es-ES"/>
        </w:rPr>
        <w:t>La tabla 4 diferencia evaluación descrita, falta de declaración y diseño no determinable. Después de corregir las citas, 441 estudios principales cuentan con un tipo de evaluación descrito y un pasaje localizado. No corresponde sumar a ese total los 50 clasificados sin evaluación declarada.</w:t>
      </w:r>
    </w:p>
    <w:p>
      <w:pPr>
        <w:keepNext/>
        <w:keepLines/>
        <w:widowControl/>
        <w:spacing w:before="200" w:after="40" w:line="288" w:lineRule="auto"/>
        <w:ind w:left="0" w:right="0" w:firstLine="0"/>
        <w:jc w:val="left"/>
      </w:pPr>
      <w:r>
        <w:rPr>
          <w:rFonts w:ascii="Times New Roman" w:hAnsi="Times New Roman"/>
          <w:b/>
          <w:i w:val="0"/>
          <w:color w:val="000000"/>
          <w:sz w:val="24"/>
          <w:lang w:val="es-ES"/>
        </w:rPr>
        <w:t>Tabla 4</w:t>
      </w:r>
    </w:p>
    <w:p>
      <w:pPr>
        <w:keepNext/>
        <w:keepLines/>
        <w:widowControl/>
        <w:spacing w:before="0" w:after="80" w:line="288" w:lineRule="auto"/>
        <w:ind w:left="0" w:right="0" w:firstLine="0"/>
        <w:jc w:val="left"/>
      </w:pPr>
      <w:r>
        <w:rPr>
          <w:rFonts w:ascii="Times New Roman" w:hAnsi="Times New Roman"/>
          <w:b w:val="0"/>
          <w:i/>
          <w:color w:val="000000"/>
          <w:sz w:val="24"/>
          <w:lang w:val="es-ES"/>
        </w:rPr>
        <w:t>Tipo de evaluación declarado en el flujo principal</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6480"/>
        <w:gridCol w:w="1440"/>
        <w:gridCol w:w="1440"/>
      </w:tblGrid>
      <w:tr>
        <w:trPr>
          <w:cantSplit/>
          <w:tblHeader/>
        </w:trPr>
        <w:tc>
          <w:tcPr>
            <w:tcW w:type="dxa" w:w="6480"/>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Tipo</w:t>
            </w:r>
          </w:p>
        </w:tc>
        <w:tc>
          <w:tcPr>
            <w:tcW w:type="dxa" w:w="1440"/>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Estudios</w:t>
            </w:r>
          </w:p>
        </w:tc>
        <w:tc>
          <w:tcPr>
            <w:tcW w:type="dxa" w:w="1440"/>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Porcentaje de 533</w:t>
            </w:r>
          </w:p>
        </w:tc>
      </w:tr>
      <w:tr>
        <w:trPr>
          <w:cantSplit/>
        </w:trPr>
        <w:tc>
          <w:tcPr>
            <w:tcW w:type="dxa" w:w="6480"/>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Experimento con métricas</w:t>
            </w:r>
          </w:p>
        </w:tc>
        <w:tc>
          <w:tcPr>
            <w:tcW w:type="dxa" w:w="1440"/>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306</w:t>
            </w:r>
          </w:p>
        </w:tc>
        <w:tc>
          <w:tcPr>
            <w:tcW w:type="dxa" w:w="1440"/>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57,4 %</w:t>
            </w:r>
          </w:p>
        </w:tc>
      </w:tr>
      <w:tr>
        <w:trPr>
          <w:cantSplit/>
        </w:trPr>
        <w:tc>
          <w:tcPr>
            <w:tcW w:type="dxa" w:w="6480"/>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Caso de estudio o demostración</w:t>
            </w:r>
          </w:p>
        </w:tc>
        <w:tc>
          <w:tcPr>
            <w:tcW w:type="dxa" w:w="1440"/>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96</w:t>
            </w:r>
          </w:p>
        </w:tc>
        <w:tc>
          <w:tcPr>
            <w:tcW w:type="dxa" w:w="1440"/>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18,0 %</w:t>
            </w:r>
          </w:p>
        </w:tc>
      </w:tr>
      <w:tr>
        <w:trPr>
          <w:cantSplit/>
        </w:trPr>
        <w:tc>
          <w:tcPr>
            <w:tcW w:type="dxa" w:w="6480"/>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Evaluación con personas</w:t>
            </w:r>
          </w:p>
        </w:tc>
        <w:tc>
          <w:tcPr>
            <w:tcW w:type="dxa" w:w="1440"/>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39</w:t>
            </w:r>
          </w:p>
        </w:tc>
        <w:tc>
          <w:tcPr>
            <w:tcW w:type="dxa" w:w="1440"/>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7,3 %</w:t>
            </w:r>
          </w:p>
        </w:tc>
      </w:tr>
      <w:tr>
        <w:trPr>
          <w:cantSplit/>
        </w:trPr>
        <w:tc>
          <w:tcPr>
            <w:tcW w:type="dxa" w:w="6480"/>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Sin evaluación declarada en el texto analizado</w:t>
            </w:r>
          </w:p>
        </w:tc>
        <w:tc>
          <w:tcPr>
            <w:tcW w:type="dxa" w:w="1440"/>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50</w:t>
            </w:r>
          </w:p>
        </w:tc>
        <w:tc>
          <w:tcPr>
            <w:tcW w:type="dxa" w:w="1440"/>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9,4 %</w:t>
            </w:r>
          </w:p>
        </w:tc>
      </w:tr>
      <w:tr>
        <w:trPr>
          <w:cantSplit/>
        </w:trPr>
        <w:tc>
          <w:tcPr>
            <w:tcW w:type="dxa" w:w="6480"/>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No consta el tipo de evaluación</w:t>
            </w:r>
          </w:p>
        </w:tc>
        <w:tc>
          <w:tcPr>
            <w:tcW w:type="dxa" w:w="1440"/>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42</w:t>
            </w:r>
          </w:p>
        </w:tc>
        <w:tc>
          <w:tcPr>
            <w:tcW w:type="dxa" w:w="1440"/>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7,9 %</w:t>
            </w:r>
          </w:p>
        </w:tc>
      </w:tr>
      <w:tr>
        <w:trPr>
          <w:cantSplit/>
        </w:trPr>
        <w:tc>
          <w:tcPr>
            <w:tcW w:type="dxa" w:w="6480"/>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Total</w:t>
            </w:r>
          </w:p>
        </w:tc>
        <w:tc>
          <w:tcPr>
            <w:tcW w:type="dxa" w:w="1440"/>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533</w:t>
            </w:r>
          </w:p>
        </w:tc>
        <w:tc>
          <w:tcPr>
            <w:tcW w:type="dxa" w:w="1440"/>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100,0 %</w:t>
            </w:r>
          </w:p>
        </w:tc>
      </w:tr>
    </w:tbl>
    <w:p>
      <w:pPr>
        <w:keepLines/>
        <w:widowControl/>
        <w:spacing w:before="80" w:after="160" w:line="240" w:lineRule="auto"/>
        <w:ind w:left="0" w:right="0" w:firstLine="0"/>
        <w:jc w:val="left"/>
      </w:pPr>
      <w:r>
        <w:rPr>
          <w:rFonts w:ascii="Times New Roman" w:hAnsi="Times New Roman"/>
          <w:b w:val="0"/>
          <w:i/>
          <w:color w:val="000000"/>
          <w:sz w:val="22"/>
          <w:lang w:val="es-ES"/>
        </w:rPr>
        <w:t>Nota.</w:t>
      </w:r>
      <w:r>
        <w:rPr>
          <w:rFonts w:ascii="Times New Roman" w:hAnsi="Times New Roman"/>
          <w:b w:val="0"/>
          <w:i w:val="0"/>
          <w:color w:val="000000"/>
          <w:sz w:val="22"/>
          <w:lang w:val="es-ES"/>
        </w:rPr>
        <w:t xml:space="preserve"> La clasificación es automática y se basa en el texto disponible. «Sin evaluación declarada» no acredita ausencia de evaluación en el artículo íntegro. Una categoría principal no excluye tipos secundarios.</w:t>
      </w:r>
    </w:p>
    <w:p>
      <w:pPr>
        <w:widowControl/>
        <w:spacing w:before="0" w:after="0" w:line="480" w:lineRule="auto"/>
        <w:ind w:left="0" w:right="0" w:firstLine="720"/>
        <w:jc w:val="left"/>
      </w:pPr>
      <w:r>
        <w:rPr>
          <w:rFonts w:ascii="Times New Roman" w:hAnsi="Times New Roman"/>
          <w:b w:val="0"/>
          <w:i w:val="0"/>
          <w:color w:val="000000"/>
          <w:sz w:val="24"/>
          <w:lang w:val="es-ES"/>
        </w:rPr>
        <w:t>En 249 estudios se identifica algún conjunto de evaluación; 173 describen datos propios sin nombre. Entre los conjuntos identificados destacan PROMISE y sus variantes (31) y PURE (13). En 264 aparecen métricas o indicadores con cita localizada, con F1 en 93, exactitud en 78 y precisión y exhaustividad en 63 cada una. Estas categorías pueden coexistir. Los 282 registros con comparación declarada abarcan referencias o métodos; no todos constituyen comparación experimental entre algoritmos equivalentes. No se extrajeron sistemáticamente resultados numéricos comparables.</w:t>
      </w:r>
    </w:p>
    <w:p>
      <w:pPr>
        <w:widowControl/>
        <w:spacing w:before="0" w:after="0" w:line="480" w:lineRule="auto"/>
        <w:ind w:left="0" w:right="0" w:firstLine="720"/>
        <w:jc w:val="left"/>
      </w:pPr>
      <w:r>
        <w:rPr>
          <w:rFonts w:ascii="Times New Roman" w:hAnsi="Times New Roman"/>
          <w:b w:val="0"/>
          <w:i w:val="0"/>
          <w:color w:val="000000"/>
          <w:sz w:val="24"/>
          <w:lang w:val="es-ES"/>
        </w:rPr>
        <w:t>La completitud es desigual: solo 34 estudios principales declaran la lengua de los datos, cuatro de ellos español; los 499 restantes no permiten inferirla. Solo 23 declaran código o datos públicos. La disponibilidad no declarada no se equipara a inexistencia de acceso, y la presencia de un enlace tampoco acredita ejecutabilidad o licencia suficiente.</w:t>
      </w:r>
    </w:p>
    <w:p>
      <w:pPr>
        <w:pStyle w:val="Heading3"/>
        <w:keepNext/>
        <w:keepLines/>
        <w:widowControl/>
        <w:spacing w:before="0" w:after="0" w:line="480" w:lineRule="auto"/>
        <w:ind w:left="0" w:right="0" w:firstLine="0"/>
        <w:jc w:val="left"/>
      </w:pPr>
      <w:r>
        <w:rPr>
          <w:rFonts w:ascii="Times New Roman" w:hAnsi="Times New Roman"/>
          <w:b/>
          <w:i/>
          <w:color w:val="000000"/>
          <w:sz w:val="24"/>
          <w:lang w:val="es-ES"/>
        </w:rPr>
        <w:t>4.5 Recursos identificables y evidencia del español (RQ3)</w:t>
      </w:r>
    </w:p>
    <w:p>
      <w:pPr>
        <w:widowControl/>
        <w:spacing w:before="0" w:after="0" w:line="480" w:lineRule="auto"/>
        <w:ind w:left="0" w:right="0" w:firstLine="720"/>
        <w:jc w:val="left"/>
      </w:pPr>
      <w:r>
        <w:rPr>
          <w:rFonts w:ascii="Times New Roman" w:hAnsi="Times New Roman"/>
          <w:b w:val="0"/>
          <w:i w:val="0"/>
          <w:color w:val="000000"/>
          <w:sz w:val="24"/>
          <w:lang w:val="es-ES"/>
        </w:rPr>
        <w:t>Se identificaron 90 unidades concretas en 196 de los 533 estudios principales (36,8 %), que reúnen 318 pares estudio–recurso. De los restantes, 17 solo nombran algoritmos de incrustación, 30 solo familias sin versión y 290 solo clases genéricas, técnicas o herramientas. El inventario completo añade 12 familias sin versión y cuatro algoritmos, que no se incluyen en el denominador de 90.</w:t>
      </w:r>
    </w:p>
    <w:p>
      <w:pPr>
        <w:keepNext/>
        <w:keepLines/>
        <w:widowControl/>
        <w:spacing w:before="200" w:after="40" w:line="288" w:lineRule="auto"/>
        <w:ind w:left="0" w:right="0" w:firstLine="0"/>
        <w:jc w:val="left"/>
      </w:pPr>
      <w:r>
        <w:rPr>
          <w:rFonts w:ascii="Times New Roman" w:hAnsi="Times New Roman"/>
          <w:b/>
          <w:i w:val="0"/>
          <w:color w:val="000000"/>
          <w:sz w:val="24"/>
          <w:lang w:val="es-ES"/>
        </w:rPr>
        <w:t>Tabla 5</w:t>
      </w:r>
    </w:p>
    <w:p>
      <w:pPr>
        <w:keepNext/>
        <w:keepLines/>
        <w:widowControl/>
        <w:spacing w:before="0" w:after="80" w:line="288" w:lineRule="auto"/>
        <w:ind w:left="0" w:right="0" w:firstLine="0"/>
        <w:jc w:val="left"/>
      </w:pPr>
      <w:r>
        <w:rPr>
          <w:rFonts w:ascii="Times New Roman" w:hAnsi="Times New Roman"/>
          <w:b w:val="0"/>
          <w:i/>
          <w:color w:val="000000"/>
          <w:sz w:val="24"/>
          <w:lang w:val="es-ES"/>
        </w:rPr>
        <w:t>Evidencia documental del español y alternativas entre las unidades concretas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5904"/>
        <w:gridCol w:w="1728"/>
        <w:gridCol w:w="1728"/>
      </w:tblGrid>
      <w:tr>
        <w:trPr>
          <w:cantSplit/>
          <w:tblHeader/>
        </w:trPr>
        <w:tc>
          <w:tcPr>
            <w:tcW w:type="dxa" w:w="5904"/>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Categoría</w:t>
            </w:r>
          </w:p>
        </w:tc>
        <w:tc>
          <w:tcPr>
            <w:tcW w:type="dxa" w:w="1728"/>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Recursos</w:t>
            </w:r>
          </w:p>
        </w:tc>
        <w:tc>
          <w:tcPr>
            <w:tcW w:type="dxa" w:w="1728"/>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Usos</w:t>
            </w:r>
          </w:p>
        </w:tc>
      </w:tr>
      <w:tr>
        <w:trPr>
          <w:cantSplit/>
        </w:trPr>
        <w:tc>
          <w:tcPr>
            <w:tcW w:type="dxa" w:w="590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Evidencia directa según el criterio documental</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37</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94</w:t>
            </w:r>
          </w:p>
        </w:tc>
      </w:tr>
      <w:tr>
        <w:trPr>
          <w:cantSplit/>
        </w:trPr>
        <w:tc>
          <w:tcPr>
            <w:tcW w:type="dxa" w:w="590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Adaptación del mismo recurso</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17</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153</w:t>
            </w:r>
          </w:p>
        </w:tc>
      </w:tr>
      <w:tr>
        <w:trPr>
          <w:cantSplit/>
        </w:trPr>
        <w:tc>
          <w:tcPr>
            <w:tcW w:type="dxa" w:w="590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Versión multilingüe del mismo recurso</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7</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16</w:t>
            </w:r>
          </w:p>
        </w:tc>
      </w:tr>
      <w:tr>
        <w:trPr>
          <w:cantSplit/>
        </w:trPr>
        <w:tc>
          <w:tcPr>
            <w:tcW w:type="dxa" w:w="590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Alternativa distinta; soporte original no documentado</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9</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11</w:t>
            </w:r>
          </w:p>
        </w:tc>
      </w:tr>
      <w:tr>
        <w:trPr>
          <w:cantSplit/>
        </w:trPr>
        <w:tc>
          <w:tcPr>
            <w:tcW w:type="dxa" w:w="590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Alternativa distinta; soporte original desconocido</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4</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15</w:t>
            </w:r>
          </w:p>
        </w:tc>
      </w:tr>
      <w:tr>
        <w:trPr>
          <w:cantSplit/>
        </w:trPr>
        <w:tc>
          <w:tcPr>
            <w:tcW w:type="dxa" w:w="590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Sin equivalente identificado; soporte no documentado</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7</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18</w:t>
            </w:r>
          </w:p>
        </w:tc>
      </w:tr>
      <w:tr>
        <w:trPr>
          <w:cantSplit/>
        </w:trPr>
        <w:tc>
          <w:tcPr>
            <w:tcW w:type="dxa" w:w="590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Sin equivalente identificado; soporte desconocido</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8</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10</w:t>
            </w:r>
          </w:p>
        </w:tc>
      </w:tr>
      <w:tr>
        <w:trPr>
          <w:cantSplit/>
        </w:trPr>
        <w:tc>
          <w:tcPr>
            <w:tcW w:type="dxa" w:w="590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Dependiente de la versión</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1</w:t>
            </w:r>
          </w:p>
        </w:tc>
      </w:tr>
      <w:tr>
        <w:trPr>
          <w:cantSplit/>
        </w:trPr>
        <w:tc>
          <w:tcPr>
            <w:tcW w:type="dxa" w:w="590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Total</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90</w:t>
            </w:r>
          </w:p>
        </w:tc>
        <w:tc>
          <w:tcPr>
            <w:tcW w:type="dxa" w:w="1728"/>
            <w:vAlign w:val="center"/>
          </w:tcPr>
          <w:p>
            <w:pPr>
              <w:keepNext w:val="0"/>
              <w:widowControl/>
              <w:spacing w:before="0" w:after="0" w:line="240" w:lineRule="auto"/>
              <w:ind w:firstLine="0" w:left="0" w:right="0"/>
              <w:jc w:val="center"/>
            </w:pPr>
            <w:r>
              <w:rPr>
                <w:rFonts w:ascii="Times New Roman" w:hAnsi="Times New Roman"/>
                <w:b w:val="0"/>
                <w:i w:val="0"/>
                <w:color w:val="000000"/>
                <w:sz w:val="21"/>
                <w:lang w:val="es-ES"/>
              </w:rPr>
              <w:t>318</w:t>
            </w:r>
          </w:p>
        </w:tc>
      </w:tr>
    </w:tbl>
    <w:p>
      <w:pPr>
        <w:keepLines/>
        <w:widowControl/>
        <w:spacing w:before="80" w:after="160" w:line="240" w:lineRule="auto"/>
        <w:ind w:left="0" w:right="0" w:firstLine="0"/>
        <w:jc w:val="left"/>
      </w:pPr>
      <w:r>
        <w:rPr>
          <w:rFonts w:ascii="Times New Roman" w:hAnsi="Times New Roman"/>
          <w:b w:val="0"/>
          <w:i/>
          <w:color w:val="000000"/>
          <w:sz w:val="22"/>
          <w:lang w:val="es-ES"/>
        </w:rPr>
        <w:t>Nota.</w:t>
      </w:r>
      <w:r>
        <w:rPr>
          <w:rFonts w:ascii="Times New Roman" w:hAnsi="Times New Roman"/>
          <w:b w:val="0"/>
          <w:i w:val="0"/>
          <w:color w:val="000000"/>
          <w:sz w:val="22"/>
          <w:lang w:val="es-ES"/>
        </w:rPr>
        <w:t xml:space="preserve"> Un uso es un par estudio–recurso, sin duplicación interna ni simples menciones. «Desconocido» no significa ausencia. Las versiones se agrupan según la regla operacional del método y no equivalen necesariamente a un punto de control exacto del modelo.</w:t>
      </w:r>
    </w:p>
    <w:p>
      <w:pPr>
        <w:widowControl/>
        <w:spacing w:before="0" w:after="0" w:line="480" w:lineRule="auto"/>
        <w:ind w:left="0" w:right="0" w:firstLine="720"/>
        <w:jc w:val="left"/>
      </w:pPr>
      <w:r>
        <w:rPr>
          <w:rFonts w:ascii="Times New Roman" w:hAnsi="Times New Roman"/>
          <w:b w:val="0"/>
          <w:i w:val="0"/>
          <w:color w:val="000000"/>
          <w:sz w:val="24"/>
          <w:lang w:val="es-ES"/>
        </w:rPr>
        <w:t>Según el criterio documental amplio, 37 unidades tienen evidencia directa de español (41,1 %); otras 37 tienen una adaptación, versión o alternativa identificada (41,1 %). En 15 no se identificó equivalente (16,7 %) y una depende de su versión (1,1 %). La evidencia directa comprende dos recursos nativos, 18 declaraciones del proveedor, 11 evaluaciones con resultado propio del español, tres evaluaciones agregadas que incluyen ese idioma, dos evaluaciones de seguridad y un caso sustentado solo en datos de entrenamiento. La figura 4 mantiene estas evidencias separadas.</w:t>
      </w:r>
    </w:p>
    <w:p>
      <w:pPr>
        <w:keepNext/>
        <w:keepLines/>
        <w:widowControl/>
        <w:spacing w:before="200" w:after="40" w:line="288" w:lineRule="auto"/>
        <w:ind w:left="0" w:right="0" w:firstLine="0"/>
        <w:jc w:val="left"/>
      </w:pPr>
      <w:r>
        <w:rPr>
          <w:rFonts w:ascii="Times New Roman" w:hAnsi="Times New Roman"/>
          <w:b/>
          <w:i w:val="0"/>
          <w:color w:val="000000"/>
          <w:sz w:val="24"/>
          <w:lang w:val="es-ES"/>
        </w:rPr>
        <w:t>Figura 4</w:t>
      </w:r>
    </w:p>
    <w:p>
      <w:pPr>
        <w:keepNext/>
        <w:keepLines/>
        <w:widowControl/>
        <w:spacing w:before="0" w:after="80" w:line="288" w:lineRule="auto"/>
        <w:ind w:left="0" w:right="0" w:firstLine="0"/>
        <w:jc w:val="left"/>
      </w:pPr>
      <w:r>
        <w:rPr>
          <w:rFonts w:ascii="Times New Roman" w:hAnsi="Times New Roman"/>
          <w:b w:val="0"/>
          <w:i/>
          <w:color w:val="000000"/>
          <w:sz w:val="24"/>
          <w:lang w:val="es-ES"/>
        </w:rPr>
        <w:t>Evidencia documental sobre el español en 90 recursos identificados y 318 usos</w:t>
      </w:r>
    </w:p>
    <w:p>
      <w:pPr>
        <w:keepNext/>
        <w:spacing w:line="240" w:lineRule="auto" w:before="0" w:after="0"/>
        <w:ind w:firstLine="0"/>
        <w:jc w:val="center"/>
      </w:pPr>
      <w:r>
        <w:drawing>
          <wp:inline xmlns:a="http://schemas.openxmlformats.org/drawingml/2006/main" xmlns:pic="http://schemas.openxmlformats.org/drawingml/2006/picture">
            <wp:extent cx="5943600" cy="4553093"/>
            <wp:docPr id="4" name="Picture 4" descr="Evidencia y alternativas para el español"/>
            <wp:cNvGraphicFramePr>
              <a:graphicFrameLocks noChangeAspect="1"/>
            </wp:cNvGraphicFramePr>
            <a:graphic>
              <a:graphicData uri="http://schemas.openxmlformats.org/drawingml/2006/picture">
                <pic:pic>
                  <pic:nvPicPr>
                    <pic:cNvPr id="0" name="Figura_4_disponibilidad_espanol.png"/>
                    <pic:cNvPicPr/>
                  </pic:nvPicPr>
                  <pic:blipFill>
                    <a:blip r:embed="rId10"/>
                    <a:stretch>
                      <a:fillRect/>
                    </a:stretch>
                  </pic:blipFill>
                  <pic:spPr>
                    <a:xfrm>
                      <a:off x="0" y="0"/>
                      <a:ext cx="5943600" cy="4553093"/>
                    </a:xfrm>
                    <a:prstGeom prst="rect"/>
                  </pic:spPr>
                </pic:pic>
              </a:graphicData>
            </a:graphic>
          </wp:inline>
        </w:drawing>
      </w:r>
    </w:p>
    <w:p>
      <w:pPr>
        <w:keepLines/>
        <w:widowControl/>
        <w:spacing w:before="80" w:after="160" w:line="240" w:lineRule="auto"/>
        <w:ind w:left="0" w:right="0" w:firstLine="0"/>
        <w:jc w:val="left"/>
      </w:pPr>
      <w:r>
        <w:rPr>
          <w:rFonts w:ascii="Times New Roman" w:hAnsi="Times New Roman"/>
          <w:b w:val="0"/>
          <w:i/>
          <w:color w:val="000000"/>
          <w:sz w:val="22"/>
          <w:lang w:val="es-ES"/>
        </w:rPr>
        <w:t>Nota.</w:t>
      </w:r>
      <w:r>
        <w:rPr>
          <w:rFonts w:ascii="Times New Roman" w:hAnsi="Times New Roman"/>
          <w:b w:val="0"/>
          <w:i w:val="0"/>
          <w:color w:val="000000"/>
          <w:sz w:val="22"/>
          <w:lang w:val="es-ES"/>
        </w:rPr>
        <w:t xml:space="preserve"> El panel a muestra la clasificación del inventario; el rayado indica soporte desconocido. El panel b desglosa los 37 casos de evidencia directa. Sus 94 usos equivalen al 29,6 % de 318. Estos porcentajes no estiman rendimiento ni soporte de todo el campo; se refieren a recursos identificados en 196 estudios principales.</w:t>
      </w:r>
    </w:p>
    <w:p>
      <w:pPr>
        <w:widowControl/>
        <w:spacing w:before="0" w:after="0" w:line="480" w:lineRule="auto"/>
        <w:ind w:left="0" w:right="0" w:firstLine="720"/>
        <w:jc w:val="left"/>
      </w:pPr>
      <w:r>
        <w:rPr>
          <w:rFonts w:ascii="Times New Roman" w:hAnsi="Times New Roman"/>
          <w:b w:val="0"/>
          <w:i w:val="0"/>
          <w:color w:val="000000"/>
          <w:sz w:val="24"/>
          <w:lang w:val="es-ES"/>
        </w:rPr>
        <w:t xml:space="preserve">BERT concentra 84 usos. El estudio SimRE solo lo menciona como antecedente y no se cuenta como usuario de ese recurso. BETO constituye una adaptación específica para el español </w:t>
      </w:r>
      <w:fldSimple w:instr=" CITATION Can23 \l 3082 " w:dirty="false" w:fldLock="true">
        <w:r>
          <w:rPr>
            <w:rFonts w:ascii="Times New Roman" w:hAnsi="Times New Roman"/>
            <w:b w:val="0"/>
            <w:i w:val="0"/>
            <w:color w:val="000000"/>
            <w:sz w:val="24"/>
            <w:lang w:val="es-ES"/>
          </w:rPr>
          <w:t xml:space="preserve">(Cañete </w:t>
        </w:r>
        <w:r>
          <w:rPr>
            <w:rFonts w:ascii="Times New Roman" w:hAnsi="Times New Roman"/>
            <w:b w:val="0"/>
            <w:i/>
            <w:color w:val="000000"/>
            <w:sz w:val="24"/>
            <w:lang w:val="es-ES"/>
          </w:rPr>
          <w:t>et al.</w:t>
        </w:r>
        <w:r>
          <w:rPr>
            <w:rFonts w:ascii="Times New Roman" w:hAnsi="Times New Roman"/>
            <w:b w:val="0"/>
            <w:i w:val="0"/>
            <w:color w:val="000000"/>
            <w:sz w:val="24"/>
            <w:lang w:val="es-ES"/>
          </w:rPr>
          <w:t>, 2023)</w:t>
        </w:r>
      </w:fldSimple>
      <w:r>
        <w:rPr>
          <w:rFonts w:ascii="Times New Roman" w:hAnsi="Times New Roman"/>
          <w:b w:val="0"/>
          <w:i w:val="0"/>
          <w:color w:val="000000"/>
          <w:sz w:val="24"/>
          <w:lang w:val="es-ES"/>
        </w:rPr>
        <w:t xml:space="preserve">, pero reemplazar un modelo requiere evaluar de nuevo el método. Los modelos multilingües de representación de oraciones ofrecen otra vía </w:t>
      </w:r>
      <w:fldSimple w:instr=" CITATION Rei20 \l 3082 " w:dirty="false" w:fldLock="true">
        <w:r>
          <w:rPr>
            <w:rFonts w:ascii="Times New Roman" w:hAnsi="Times New Roman"/>
            <w:b w:val="0"/>
            <w:i w:val="0"/>
            <w:color w:val="000000"/>
            <w:sz w:val="24"/>
            <w:lang w:val="es-ES"/>
          </w:rPr>
          <w:t>(Reimers y Gurevych, 2020)</w:t>
        </w:r>
      </w:fldSimple>
      <w:r>
        <w:rPr>
          <w:rFonts w:ascii="Times New Roman" w:hAnsi="Times New Roman"/>
          <w:b w:val="0"/>
          <w:i w:val="0"/>
          <w:color w:val="000000"/>
          <w:sz w:val="24"/>
          <w:lang w:val="es-ES"/>
        </w:rPr>
        <w:t xml:space="preserve">. Incluso cuando un informe técnico presenta resultados en español, como el de GPT-4 </w:t>
      </w:r>
      <w:fldSimple w:instr=" CITATION Ope23 \l 3082 " w:dirty="false" w:fldLock="true">
        <w:r>
          <w:rPr>
            <w:rFonts w:ascii="Times New Roman" w:hAnsi="Times New Roman"/>
            <w:b w:val="0"/>
            <w:i w:val="0"/>
            <w:color w:val="000000"/>
            <w:sz w:val="24"/>
            <w:lang w:val="es-ES"/>
          </w:rPr>
          <w:t>(OpenAI, 2023)</w:t>
        </w:r>
      </w:fldSimple>
      <w:r>
        <w:rPr>
          <w:rFonts w:ascii="Times New Roman" w:hAnsi="Times New Roman"/>
          <w:b w:val="0"/>
          <w:i w:val="0"/>
          <w:color w:val="000000"/>
          <w:sz w:val="24"/>
          <w:lang w:val="es-ES"/>
        </w:rPr>
        <w:t>, esa evidencia no mide automáticamente el desempeño en ingeniería de requisitos.</w:t>
      </w:r>
    </w:p>
    <w:p>
      <w:pPr>
        <w:widowControl/>
        <w:spacing w:before="0" w:after="0" w:line="480" w:lineRule="auto"/>
        <w:ind w:left="0" w:right="0" w:firstLine="720"/>
        <w:jc w:val="left"/>
      </w:pPr>
      <w:r>
        <w:rPr>
          <w:rFonts w:ascii="Times New Roman" w:hAnsi="Times New Roman"/>
          <w:b w:val="0"/>
          <w:i w:val="0"/>
          <w:color w:val="000000"/>
          <w:sz w:val="24"/>
          <w:lang w:val="es-ES"/>
        </w:rPr>
        <w:t>El inventario registra 63 recursos con pesos o datos descargables y 20 ofrecidos mediante servicios o interfaces de programación, además de otras modalidades. Acceso, licencia y soporte lingüístico se tratan como atributos diferentes. No se infiere que descargar pesos autorice cualquier uso ni que disponer de una alternativa preserve el rendimiento original.</w:t>
      </w:r>
    </w:p>
    <w:p>
      <w:pPr>
        <w:pStyle w:val="Heading2"/>
        <w:keepNext/>
        <w:keepLines/>
        <w:widowControl/>
        <w:spacing w:before="0" w:after="0" w:line="480" w:lineRule="auto"/>
        <w:ind w:left="0" w:right="0" w:firstLine="0"/>
        <w:jc w:val="left"/>
      </w:pPr>
      <w:r>
        <w:rPr>
          <w:rFonts w:ascii="Times New Roman" w:hAnsi="Times New Roman"/>
          <w:b/>
          <w:i w:val="0"/>
          <w:color w:val="000000"/>
          <w:sz w:val="24"/>
          <w:lang w:val="es-ES"/>
        </w:rPr>
        <w:t>5. Estudios con requisitos en español (RQ4)</w:t>
      </w:r>
    </w:p>
    <w:p>
      <w:pPr>
        <w:widowControl/>
        <w:spacing w:before="0" w:after="0" w:line="480" w:lineRule="auto"/>
        <w:ind w:left="0" w:right="0" w:firstLine="720"/>
        <w:jc w:val="left"/>
      </w:pPr>
      <w:r>
        <w:rPr>
          <w:rFonts w:ascii="Times New Roman" w:hAnsi="Times New Roman"/>
          <w:b w:val="0"/>
          <w:i w:val="0"/>
          <w:color w:val="000000"/>
          <w:sz w:val="24"/>
          <w:lang w:val="es-ES"/>
        </w:rPr>
        <w:t>Ocho incluidos de los tres flujos declaran datos en español: cuatro del principal, dos de la búsqueda dirigida y dos de la ronda de kappa. La tabla 6 relaciona cada estudio con su tarea y evidencia, evitando inferir el idioma desde el título. No se suman al conjunto otros trabajos únicamente por estar escritos en español.</w:t>
      </w:r>
    </w:p>
    <w:p>
      <w:pPr>
        <w:keepNext/>
        <w:keepLines/>
        <w:widowControl/>
        <w:spacing w:before="200" w:after="40" w:line="288" w:lineRule="auto"/>
        <w:ind w:left="0" w:right="0" w:firstLine="0"/>
        <w:jc w:val="left"/>
      </w:pPr>
      <w:r>
        <w:rPr>
          <w:rFonts w:ascii="Times New Roman" w:hAnsi="Times New Roman"/>
          <w:b/>
          <w:i w:val="0"/>
          <w:color w:val="000000"/>
          <w:sz w:val="24"/>
          <w:lang w:val="es-ES"/>
        </w:rPr>
        <w:t>Tabla 6</w:t>
      </w:r>
    </w:p>
    <w:p>
      <w:pPr>
        <w:keepNext/>
        <w:keepLines/>
        <w:widowControl/>
        <w:spacing w:before="0" w:after="80" w:line="288" w:lineRule="auto"/>
        <w:ind w:left="0" w:right="0" w:firstLine="0"/>
        <w:jc w:val="left"/>
      </w:pPr>
      <w:r>
        <w:rPr>
          <w:rFonts w:ascii="Times New Roman" w:hAnsi="Times New Roman"/>
          <w:b w:val="0"/>
          <w:i/>
          <w:color w:val="000000"/>
          <w:sz w:val="24"/>
          <w:lang w:val="es-ES"/>
        </w:rPr>
        <w:t>Estudios incluidos que declaran datos en español</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3024"/>
        <w:gridCol w:w="1584"/>
        <w:gridCol w:w="4752"/>
      </w:tblGrid>
      <w:tr>
        <w:trPr>
          <w:cantSplit/>
          <w:tblHeader/>
        </w:trPr>
        <w:tc>
          <w:tcPr>
            <w:tcW w:type="dxa" w:w="3024"/>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Estudio</w:t>
            </w:r>
          </w:p>
        </w:tc>
        <w:tc>
          <w:tcPr>
            <w:tcW w:type="dxa" w:w="1584"/>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Flujo</w:t>
            </w:r>
          </w:p>
        </w:tc>
        <w:tc>
          <w:tcPr>
            <w:tcW w:type="dxa" w:w="4752"/>
            <w:vAlign w:val="center"/>
            <w:tcBorders>
              <w:bottom w:val="single" w:sz="6"/>
            </w:tcBorders>
          </w:tcPr>
          <w:p>
            <w:pPr>
              <w:keepNext/>
              <w:widowControl/>
              <w:spacing w:before="0" w:after="0" w:line="240" w:lineRule="auto"/>
              <w:ind w:firstLine="0" w:left="0" w:right="0"/>
              <w:jc w:val="left"/>
            </w:pPr>
            <w:r>
              <w:rPr>
                <w:rFonts w:ascii="Times New Roman" w:hAnsi="Times New Roman"/>
                <w:b/>
                <w:i w:val="0"/>
                <w:color w:val="000000"/>
                <w:sz w:val="21"/>
                <w:lang w:val="es-ES"/>
              </w:rPr>
              <w:t>Tarea y evidencia</w:t>
            </w:r>
          </w:p>
        </w:tc>
      </w:tr>
      <w:tr>
        <w:trPr>
          <w:cantSplit/>
        </w:trPr>
        <w:tc>
          <w:tcPr>
            <w:tcW w:type="dxa" w:w="30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 xml:space="preserve">Guzmán Luna y colaboradores </w:t>
            </w:r>
            <w:fldSimple w:instr=" CITATION Guz15 \l 3082 " w:dirty="false" w:fldLock="true">
              <w:r>
                <w:rPr>
                  <w:rFonts w:ascii="Times New Roman" w:hAnsi="Times New Roman"/>
                  <w:b w:val="0"/>
                  <w:i w:val="0"/>
                  <w:color w:val="000000"/>
                  <w:sz w:val="21"/>
                  <w:lang w:val="es-ES"/>
                </w:rPr>
                <w:t xml:space="preserve">(Guzmán Luna </w:t>
              </w:r>
              <w:r>
                <w:rPr>
                  <w:rFonts w:ascii="Times New Roman" w:hAnsi="Times New Roman"/>
                  <w:b w:val="0"/>
                  <w:i/>
                  <w:color w:val="000000"/>
                  <w:sz w:val="21"/>
                  <w:lang w:val="es-ES"/>
                </w:rPr>
                <w:t>et al.</w:t>
              </w:r>
              <w:r>
                <w:rPr>
                  <w:rFonts w:ascii="Times New Roman" w:hAnsi="Times New Roman"/>
                  <w:b w:val="0"/>
                  <w:i w:val="0"/>
                  <w:color w:val="000000"/>
                  <w:sz w:val="21"/>
                  <w:lang w:val="es-ES"/>
                </w:rPr>
                <w:t>, 2015)</w:t>
              </w:r>
            </w:fldSimple>
          </w:p>
        </w:tc>
        <w:tc>
          <w:tcPr>
            <w:tcW w:type="dxa" w:w="158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Principal</w:t>
            </w:r>
          </w:p>
        </w:tc>
        <w:tc>
          <w:tcPr>
            <w:tcW w:type="dxa" w:w="4752"/>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Ambigüedad y errores; método léxico-semántico, sin recurso concreto identificado en la extracción.</w:t>
            </w:r>
          </w:p>
        </w:tc>
      </w:tr>
      <w:tr>
        <w:trPr>
          <w:cantSplit/>
        </w:trPr>
        <w:tc>
          <w:tcPr>
            <w:tcW w:type="dxa" w:w="30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 xml:space="preserve">Clasificación con fastText y BETO </w:t>
            </w:r>
            <w:fldSimple w:instr=" CITATION Lim23b \l 3082 " w:dirty="false" w:fldLock="true">
              <w:r>
                <w:rPr>
                  <w:rFonts w:ascii="Times New Roman" w:hAnsi="Times New Roman"/>
                  <w:b w:val="0"/>
                  <w:i w:val="0"/>
                  <w:color w:val="000000"/>
                  <w:sz w:val="21"/>
                  <w:lang w:val="es-ES"/>
                </w:rPr>
                <w:t xml:space="preserve">(Limaylla-Lunarejo </w:t>
              </w:r>
              <w:r>
                <w:rPr>
                  <w:rFonts w:ascii="Times New Roman" w:hAnsi="Times New Roman"/>
                  <w:b w:val="0"/>
                  <w:i/>
                  <w:color w:val="000000"/>
                  <w:sz w:val="21"/>
                  <w:lang w:val="es-ES"/>
                </w:rPr>
                <w:t>et al.</w:t>
              </w:r>
              <w:r>
                <w:rPr>
                  <w:rFonts w:ascii="Times New Roman" w:hAnsi="Times New Roman"/>
                  <w:b w:val="0"/>
                  <w:i w:val="0"/>
                  <w:color w:val="000000"/>
                  <w:sz w:val="21"/>
                  <w:lang w:val="es-ES"/>
                </w:rPr>
                <w:t>, 2023b)</w:t>
              </w:r>
            </w:fldSimple>
          </w:p>
        </w:tc>
        <w:tc>
          <w:tcPr>
            <w:tcW w:type="dxa" w:w="158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Principal</w:t>
            </w:r>
          </w:p>
        </w:tc>
        <w:tc>
          <w:tcPr>
            <w:tcW w:type="dxa" w:w="4752"/>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Clasificación de requisitos españoles; distingue datos nativos y traducidos.</w:t>
            </w:r>
          </w:p>
        </w:tc>
      </w:tr>
      <w:tr>
        <w:trPr>
          <w:cantSplit/>
        </w:trPr>
        <w:tc>
          <w:tcPr>
            <w:tcW w:type="dxa" w:w="30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 xml:space="preserve">Similitud de escenarios </w:t>
            </w:r>
            <w:fldSimple w:instr=" CITATION Per25 \l 3082 " w:dirty="false" w:fldLock="true">
              <w:r>
                <w:rPr>
                  <w:rFonts w:ascii="Times New Roman" w:hAnsi="Times New Roman"/>
                  <w:b w:val="0"/>
                  <w:i w:val="0"/>
                  <w:color w:val="000000"/>
                  <w:sz w:val="21"/>
                  <w:lang w:val="es-ES"/>
                </w:rPr>
                <w:t xml:space="preserve">(Pérez </w:t>
              </w:r>
              <w:r>
                <w:rPr>
                  <w:rFonts w:ascii="Times New Roman" w:hAnsi="Times New Roman"/>
                  <w:b w:val="0"/>
                  <w:i/>
                  <w:color w:val="000000"/>
                  <w:sz w:val="21"/>
                  <w:lang w:val="es-ES"/>
                </w:rPr>
                <w:t>et al.</w:t>
              </w:r>
              <w:r>
                <w:rPr>
                  <w:rFonts w:ascii="Times New Roman" w:hAnsi="Times New Roman"/>
                  <w:b w:val="0"/>
                  <w:i w:val="0"/>
                  <w:color w:val="000000"/>
                  <w:sz w:val="21"/>
                  <w:lang w:val="es-ES"/>
                </w:rPr>
                <w:t>, 2025)</w:t>
              </w:r>
            </w:fldSimple>
          </w:p>
        </w:tc>
        <w:tc>
          <w:tcPr>
            <w:tcW w:type="dxa" w:w="158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Principal</w:t>
            </w:r>
          </w:p>
        </w:tc>
        <w:tc>
          <w:tcPr>
            <w:tcW w:type="dxa" w:w="4752"/>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Comparación de modelos multilingües de representación de oraciones sobre escenarios españoles.</w:t>
            </w:r>
          </w:p>
        </w:tc>
      </w:tr>
      <w:tr>
        <w:trPr>
          <w:cantSplit/>
        </w:trPr>
        <w:tc>
          <w:tcPr>
            <w:tcW w:type="dxa" w:w="30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 xml:space="preserve">SimRE </w:t>
            </w:r>
            <w:fldSimple w:instr=" CITATION Lim25a \l 3082 " w:dirty="false" w:fldLock="true">
              <w:r>
                <w:rPr>
                  <w:rFonts w:ascii="Times New Roman" w:hAnsi="Times New Roman"/>
                  <w:b w:val="0"/>
                  <w:i w:val="0"/>
                  <w:color w:val="000000"/>
                  <w:sz w:val="21"/>
                  <w:lang w:val="es-ES"/>
                </w:rPr>
                <w:t xml:space="preserve">(Limaylla-Lunarejo </w:t>
              </w:r>
              <w:r>
                <w:rPr>
                  <w:rFonts w:ascii="Times New Roman" w:hAnsi="Times New Roman"/>
                  <w:b w:val="0"/>
                  <w:i/>
                  <w:color w:val="000000"/>
                  <w:sz w:val="21"/>
                  <w:lang w:val="es-ES"/>
                </w:rPr>
                <w:t>et al.</w:t>
              </w:r>
              <w:r>
                <w:rPr>
                  <w:rFonts w:ascii="Times New Roman" w:hAnsi="Times New Roman"/>
                  <w:b w:val="0"/>
                  <w:i w:val="0"/>
                  <w:color w:val="000000"/>
                  <w:sz w:val="21"/>
                  <w:lang w:val="es-ES"/>
                </w:rPr>
                <w:t>, 2025)</w:t>
              </w:r>
            </w:fldSimple>
          </w:p>
        </w:tc>
        <w:tc>
          <w:tcPr>
            <w:tcW w:type="dxa" w:w="158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Principal</w:t>
            </w:r>
          </w:p>
        </w:tc>
        <w:tc>
          <w:tcPr>
            <w:tcW w:type="dxa" w:w="4752"/>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Similitud en una línea de productos de sistemas de información geográfica; usa representaciones españolas y multilingües.</w:t>
            </w:r>
          </w:p>
        </w:tc>
      </w:tr>
      <w:tr>
        <w:trPr>
          <w:cantSplit/>
        </w:trPr>
        <w:tc>
          <w:tcPr>
            <w:tcW w:type="dxa" w:w="30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 xml:space="preserve">Balanceo de requisitos no funcionales </w:t>
            </w:r>
            <w:fldSimple w:instr=" CITATION Lim25b \l 3082 " w:dirty="false" w:fldLock="true">
              <w:r>
                <w:rPr>
                  <w:rFonts w:ascii="Times New Roman" w:hAnsi="Times New Roman"/>
                  <w:b w:val="0"/>
                  <w:i w:val="0"/>
                  <w:color w:val="000000"/>
                  <w:sz w:val="21"/>
                  <w:lang w:val="es-ES"/>
                </w:rPr>
                <w:t>(Limaylla-Lunarejo, Condori-Fernandez, Rodríguez Luaces y Karras, 2026)</w:t>
              </w:r>
            </w:fldSimple>
          </w:p>
        </w:tc>
        <w:tc>
          <w:tcPr>
            <w:tcW w:type="dxa" w:w="158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Dirigida</w:t>
            </w:r>
          </w:p>
        </w:tc>
        <w:tc>
          <w:tcPr>
            <w:tcW w:type="dxa" w:w="4752"/>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Clasificación; BETO y fastText, vectores SBWCE y generación auxiliar con ChatGPT; datos traducidos, nativos y sintéticos.</w:t>
            </w:r>
          </w:p>
        </w:tc>
      </w:tr>
      <w:tr>
        <w:trPr>
          <w:cantSplit/>
        </w:trPr>
        <w:tc>
          <w:tcPr>
            <w:tcW w:type="dxa" w:w="30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 xml:space="preserve">Criterios de priorización </w:t>
            </w:r>
            <w:fldSimple w:instr=" CITATION Lim26 \l 3082 " w:dirty="false" w:fldLock="true">
              <w:r>
                <w:rPr>
                  <w:rFonts w:ascii="Times New Roman" w:hAnsi="Times New Roman"/>
                  <w:b w:val="0"/>
                  <w:i w:val="0"/>
                  <w:color w:val="000000"/>
                  <w:sz w:val="21"/>
                  <w:lang w:val="es-ES"/>
                </w:rPr>
                <w:t>(Limaylla-Lunarejo, Condori-Fernandez y Luaces, 2026)</w:t>
              </w:r>
            </w:fldSimple>
          </w:p>
        </w:tc>
        <w:tc>
          <w:tcPr>
            <w:tcW w:type="dxa" w:w="158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Dirigida</w:t>
            </w:r>
          </w:p>
        </w:tc>
        <w:tc>
          <w:tcPr>
            <w:tcW w:type="dxa" w:w="4752"/>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Priorización sobre PrioReSpa; el resumen nombra modelos preentrenados sin identificar su versión.</w:t>
            </w:r>
          </w:p>
        </w:tc>
      </w:tr>
      <w:tr>
        <w:trPr>
          <w:cantSplit/>
        </w:trPr>
        <w:tc>
          <w:tcPr>
            <w:tcW w:type="dxa" w:w="3024"/>
            <w:vAlign w:val="center"/>
          </w:tcPr>
          <w:p>
            <w:pPr>
              <w:keepNext/>
              <w:widowControl/>
              <w:spacing w:before="0" w:after="0" w:line="240" w:lineRule="auto"/>
              <w:ind w:firstLine="0" w:left="0" w:right="0"/>
              <w:jc w:val="left"/>
            </w:pPr>
            <w:r>
              <w:rPr>
                <w:rFonts w:ascii="Times New Roman" w:hAnsi="Times New Roman"/>
                <w:b w:val="0"/>
                <w:i w:val="0"/>
                <w:color w:val="000000"/>
                <w:sz w:val="21"/>
                <w:lang w:val="es-ES"/>
              </w:rPr>
              <w:t xml:space="preserve">Clasificación no funcional </w:t>
            </w:r>
            <w:fldSimple w:instr=" CITATION Lim23a \l 3082 " w:dirty="false" w:fldLock="true">
              <w:r>
                <w:rPr>
                  <w:rFonts w:ascii="Times New Roman" w:hAnsi="Times New Roman"/>
                  <w:b w:val="0"/>
                  <w:i w:val="0"/>
                  <w:color w:val="000000"/>
                  <w:sz w:val="21"/>
                  <w:lang w:val="es-ES"/>
                </w:rPr>
                <w:t xml:space="preserve">(Limaylla-Lunarejo </w:t>
              </w:r>
              <w:r>
                <w:rPr>
                  <w:rFonts w:ascii="Times New Roman" w:hAnsi="Times New Roman"/>
                  <w:b w:val="0"/>
                  <w:i/>
                  <w:color w:val="000000"/>
                  <w:sz w:val="21"/>
                  <w:lang w:val="es-ES"/>
                </w:rPr>
                <w:t>et al.</w:t>
              </w:r>
              <w:r>
                <w:rPr>
                  <w:rFonts w:ascii="Times New Roman" w:hAnsi="Times New Roman"/>
                  <w:b w:val="0"/>
                  <w:i w:val="0"/>
                  <w:color w:val="000000"/>
                  <w:sz w:val="21"/>
                  <w:lang w:val="es-ES"/>
                </w:rPr>
                <w:t>, 2023a)</w:t>
              </w:r>
            </w:fldSimple>
          </w:p>
        </w:tc>
        <w:tc>
          <w:tcPr>
            <w:tcW w:type="dxa" w:w="1584"/>
            <w:vAlign w:val="center"/>
          </w:tcPr>
          <w:p>
            <w:pPr>
              <w:keepNext/>
              <w:widowControl/>
              <w:spacing w:before="0" w:after="0" w:line="240" w:lineRule="auto"/>
              <w:ind w:firstLine="0" w:left="0" w:right="0"/>
              <w:jc w:val="left"/>
            </w:pPr>
            <w:r>
              <w:rPr>
                <w:rFonts w:ascii="Times New Roman" w:hAnsi="Times New Roman"/>
                <w:b w:val="0"/>
                <w:i w:val="0"/>
                <w:color w:val="000000"/>
                <w:sz w:val="21"/>
                <w:lang w:val="es-ES"/>
              </w:rPr>
              <w:t>Ronda de kappa</w:t>
            </w:r>
          </w:p>
        </w:tc>
        <w:tc>
          <w:tcPr>
            <w:tcW w:type="dxa" w:w="4752"/>
            <w:vAlign w:val="center"/>
          </w:tcPr>
          <w:p>
            <w:pPr>
              <w:keepNext/>
              <w:widowControl/>
              <w:spacing w:before="0" w:after="0" w:line="240" w:lineRule="auto"/>
              <w:ind w:firstLine="0" w:left="0" w:right="0"/>
              <w:jc w:val="left"/>
            </w:pPr>
            <w:r>
              <w:rPr>
                <w:rFonts w:ascii="Times New Roman" w:hAnsi="Times New Roman"/>
                <w:b w:val="0"/>
                <w:i w:val="0"/>
                <w:color w:val="000000"/>
                <w:sz w:val="21"/>
                <w:lang w:val="es-ES"/>
              </w:rPr>
              <w:t>Clasificación con requisitos de PROMISE traducidos al español y comparación de enfoques.</w:t>
            </w:r>
          </w:p>
        </w:tc>
      </w:tr>
      <w:tr>
        <w:trPr>
          <w:cantSplit/>
        </w:trPr>
        <w:tc>
          <w:tcPr>
            <w:tcW w:type="dxa" w:w="302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 xml:space="preserve">Clasificación automática de requisitos </w:t>
            </w:r>
            <w:fldSimple w:instr=" CITATION Lim23e \l 3082 " w:dirty="false" w:fldLock="true">
              <w:r>
                <w:rPr>
                  <w:rFonts w:ascii="Times New Roman" w:hAnsi="Times New Roman"/>
                  <w:b w:val="0"/>
                  <w:i w:val="0"/>
                  <w:color w:val="000000"/>
                  <w:sz w:val="21"/>
                  <w:lang w:val="es-ES"/>
                </w:rPr>
                <w:t xml:space="preserve">(Limaylla-Lunarejo </w:t>
              </w:r>
              <w:r>
                <w:rPr>
                  <w:rFonts w:ascii="Times New Roman" w:hAnsi="Times New Roman"/>
                  <w:b w:val="0"/>
                  <w:i/>
                  <w:color w:val="000000"/>
                  <w:sz w:val="21"/>
                  <w:lang w:val="es-ES"/>
                </w:rPr>
                <w:t>et al.</w:t>
              </w:r>
              <w:r>
                <w:rPr>
                  <w:rFonts w:ascii="Times New Roman" w:hAnsi="Times New Roman"/>
                  <w:b w:val="0"/>
                  <w:i w:val="0"/>
                  <w:color w:val="000000"/>
                  <w:sz w:val="21"/>
                  <w:lang w:val="es-ES"/>
                </w:rPr>
                <w:t>, 2023d)</w:t>
              </w:r>
            </w:fldSimple>
          </w:p>
        </w:tc>
        <w:tc>
          <w:tcPr>
            <w:tcW w:type="dxa" w:w="1584"/>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Ronda de kappa</w:t>
            </w:r>
          </w:p>
        </w:tc>
        <w:tc>
          <w:tcPr>
            <w:tcW w:type="dxa" w:w="4752"/>
            <w:vAlign w:val="center"/>
          </w:tcPr>
          <w:p>
            <w:pPr>
              <w:keepNext w:val="0"/>
              <w:widowControl/>
              <w:spacing w:before="0" w:after="0" w:line="240" w:lineRule="auto"/>
              <w:ind w:firstLine="0" w:left="0" w:right="0"/>
              <w:jc w:val="left"/>
            </w:pPr>
            <w:r>
              <w:rPr>
                <w:rFonts w:ascii="Times New Roman" w:hAnsi="Times New Roman"/>
                <w:b w:val="0"/>
                <w:i w:val="0"/>
                <w:color w:val="000000"/>
                <w:sz w:val="21"/>
                <w:lang w:val="es-ES"/>
              </w:rPr>
              <w:t>Clasificación con BETO sobre un conjunto de requisitos españoles de proyectos académicos.</w:t>
            </w:r>
          </w:p>
        </w:tc>
      </w:tr>
    </w:tbl>
    <w:p>
      <w:pPr>
        <w:keepLines/>
        <w:widowControl/>
        <w:spacing w:before="80" w:after="160" w:line="240" w:lineRule="auto"/>
        <w:ind w:left="0" w:right="0" w:firstLine="0"/>
        <w:jc w:val="left"/>
      </w:pPr>
      <w:r>
        <w:rPr>
          <w:rFonts w:ascii="Times New Roman" w:hAnsi="Times New Roman"/>
          <w:b w:val="0"/>
          <w:i/>
          <w:color w:val="000000"/>
          <w:sz w:val="22"/>
          <w:lang w:val="es-ES"/>
        </w:rPr>
        <w:t>Nota.</w:t>
      </w:r>
      <w:r>
        <w:rPr>
          <w:rFonts w:ascii="Times New Roman" w:hAnsi="Times New Roman"/>
          <w:b w:val="0"/>
          <w:i w:val="0"/>
          <w:color w:val="000000"/>
          <w:sz w:val="22"/>
          <w:lang w:val="es-ES"/>
        </w:rPr>
        <w:t xml:space="preserve"> El artículo de balanceo apareció en línea en 2025 y pertenece al volumen de 2026; la referencia utiliza el año del volumen. Los ocho registros cumplen el protocolo aplicado, pero la selección global no ha recibido validación humana independiente.</w:t>
      </w:r>
    </w:p>
    <w:p>
      <w:pPr>
        <w:widowControl/>
        <w:spacing w:before="0" w:after="0" w:line="480" w:lineRule="auto"/>
        <w:ind w:left="0" w:right="0" w:firstLine="720"/>
        <w:jc w:val="left"/>
      </w:pPr>
      <w:r>
        <w:rPr>
          <w:rFonts w:ascii="Times New Roman" w:hAnsi="Times New Roman"/>
          <w:b w:val="0"/>
          <w:i w:val="0"/>
          <w:color w:val="000000"/>
          <w:sz w:val="24"/>
          <w:lang w:val="es-ES"/>
        </w:rPr>
        <w:t xml:space="preserve">Los recursos específicos de requisitos incluyen traducciones de PROMISE, ReSpaN y PrioReSpa, además de conjuntos propios. Se distinguen de recursos generales del idioma, como BETO y el corpus y vectores SBWCE </w:t>
      </w:r>
      <w:fldSimple w:instr=" CITATION Car16 \l 3082 " w:dirty="false" w:fldLock="true">
        <w:r>
          <w:rPr>
            <w:rFonts w:ascii="Times New Roman" w:hAnsi="Times New Roman"/>
            <w:b w:val="0"/>
            <w:i w:val="0"/>
            <w:color w:val="000000"/>
            <w:sz w:val="24"/>
            <w:lang w:val="es-ES"/>
          </w:rPr>
          <w:t>(Cardellino, 2016)</w:t>
        </w:r>
      </w:fldSimple>
      <w:r>
        <w:rPr>
          <w:rFonts w:ascii="Times New Roman" w:hAnsi="Times New Roman"/>
          <w:b w:val="0"/>
          <w:i w:val="0"/>
          <w:color w:val="000000"/>
          <w:sz w:val="24"/>
          <w:lang w:val="es-ES"/>
        </w:rPr>
        <w:t xml:space="preserve">. El trabajo que construye el conjunto FAIR de requisitos no funcionales </w:t>
      </w:r>
      <w:fldSimple w:instr=" CITATION Lim23c \l 3082 " w:dirty="false" w:fldLock="true">
        <w:r>
          <w:rPr>
            <w:rFonts w:ascii="Times New Roman" w:hAnsi="Times New Roman"/>
            <w:b w:val="0"/>
            <w:i w:val="0"/>
            <w:color w:val="000000"/>
            <w:sz w:val="24"/>
            <w:lang w:val="es-ES"/>
          </w:rPr>
          <w:t xml:space="preserve">(Limaylla-Lunarejo </w:t>
        </w:r>
        <w:r>
          <w:rPr>
            <w:rFonts w:ascii="Times New Roman" w:hAnsi="Times New Roman"/>
            <w:b w:val="0"/>
            <w:i/>
            <w:color w:val="000000"/>
            <w:sz w:val="24"/>
            <w:lang w:val="es-ES"/>
          </w:rPr>
          <w:t>et al.</w:t>
        </w:r>
        <w:r>
          <w:rPr>
            <w:rFonts w:ascii="Times New Roman" w:hAnsi="Times New Roman"/>
            <w:b w:val="0"/>
            <w:i w:val="0"/>
            <w:color w:val="000000"/>
            <w:sz w:val="24"/>
            <w:lang w:val="es-ES"/>
          </w:rPr>
          <w:t>, 2023c)</w:t>
        </w:r>
      </w:fldSimple>
      <w:r>
        <w:rPr>
          <w:rFonts w:ascii="Times New Roman" w:hAnsi="Times New Roman"/>
          <w:b w:val="0"/>
          <w:i w:val="0"/>
          <w:color w:val="000000"/>
          <w:sz w:val="24"/>
          <w:lang w:val="es-ES"/>
        </w:rPr>
        <w:t xml:space="preserve"> aporta contexto relevante, aunque queda fuera de la selección estricta por no aplicar procesamiento NLP al texto según CI1. Esta exclusión delimita el objeto del mapeo, no niega el valor del recurso.</w:t>
      </w:r>
    </w:p>
    <w:p>
      <w:pPr>
        <w:widowControl/>
        <w:spacing w:before="0" w:after="0" w:line="480" w:lineRule="auto"/>
        <w:ind w:left="0" w:right="0" w:firstLine="720"/>
        <w:jc w:val="left"/>
      </w:pPr>
      <w:r>
        <w:rPr>
          <w:rFonts w:ascii="Times New Roman" w:hAnsi="Times New Roman"/>
          <w:b w:val="0"/>
          <w:i w:val="0"/>
          <w:color w:val="000000"/>
          <w:sz w:val="24"/>
          <w:lang w:val="es-ES"/>
        </w:rPr>
        <w:t>El trabajo de balanceo utiliza generación de requisitos sintéticos como apoyo a la clasificación. Por ello, la ausencia de generación como tarea principal entre los ocho no equivale a ausencia de modelos generativos. Igualmente, una mejor puntuación de un clasificador estadístico en un experimento no elimina el uso de recursos semánticos comparados en el mismo estudio.</w:t>
      </w:r>
    </w:p>
    <w:p>
      <w:pPr>
        <w:widowControl/>
        <w:spacing w:before="0" w:after="0" w:line="480" w:lineRule="auto"/>
        <w:ind w:left="0" w:right="0" w:firstLine="720"/>
        <w:jc w:val="left"/>
      </w:pPr>
      <w:r>
        <w:rPr>
          <w:rFonts w:ascii="Times New Roman" w:hAnsi="Times New Roman"/>
          <w:b w:val="0"/>
          <w:i w:val="0"/>
          <w:color w:val="000000"/>
          <w:sz w:val="24"/>
          <w:lang w:val="es-ES"/>
        </w:rPr>
        <w:t>El predominio del idioma no declarado impide convertir 4/533 en la prevalencia real del español en el campo. Esa fracción, 0,75 %, expresa detección explícita dentro del flujo principal; no permite clasificar los otros 529 como estudios con datos ingleses.</w:t>
      </w:r>
    </w:p>
    <w:p>
      <w:pPr>
        <w:pStyle w:val="Heading2"/>
        <w:keepNext/>
        <w:keepLines/>
        <w:widowControl/>
        <w:spacing w:before="0" w:after="0" w:line="480" w:lineRule="auto"/>
        <w:ind w:left="0" w:right="0" w:firstLine="0"/>
        <w:jc w:val="left"/>
      </w:pPr>
      <w:r>
        <w:rPr>
          <w:rFonts w:ascii="Times New Roman" w:hAnsi="Times New Roman"/>
          <w:b/>
          <w:i w:val="0"/>
          <w:color w:val="000000"/>
          <w:sz w:val="24"/>
          <w:lang w:val="es-ES"/>
        </w:rPr>
        <w:t>6. Discusión de vacíos y transferencia</w:t>
      </w:r>
    </w:p>
    <w:p>
      <w:pPr>
        <w:pStyle w:val="Heading3"/>
        <w:keepNext/>
        <w:keepLines/>
        <w:widowControl/>
        <w:spacing w:before="0" w:after="0" w:line="480" w:lineRule="auto"/>
        <w:ind w:left="0" w:right="0" w:firstLine="0"/>
        <w:jc w:val="left"/>
      </w:pPr>
      <w:r>
        <w:rPr>
          <w:rFonts w:ascii="Times New Roman" w:hAnsi="Times New Roman"/>
          <w:b/>
          <w:i/>
          <w:color w:val="000000"/>
          <w:sz w:val="24"/>
          <w:lang w:val="es-ES"/>
        </w:rPr>
        <w:t>6.1 Vacíos observados y alcance de la evidencia (RQ5)</w:t>
      </w:r>
    </w:p>
    <w:p>
      <w:pPr>
        <w:widowControl/>
        <w:spacing w:before="0" w:after="0" w:line="480" w:lineRule="auto"/>
        <w:ind w:left="0" w:right="0" w:firstLine="720"/>
        <w:jc w:val="left"/>
      </w:pPr>
      <w:r>
        <w:rPr>
          <w:rFonts w:ascii="Times New Roman" w:hAnsi="Times New Roman"/>
          <w:b w:val="0"/>
          <w:i w:val="0"/>
          <w:color w:val="000000"/>
          <w:sz w:val="24"/>
          <w:lang w:val="es-ES"/>
        </w:rPr>
        <w:t>Los resultados cuestionan la idea de un vacío absoluto del español. Existen trabajos de ambigüedad anteriores a la expansión de LLM, clasificación con modelos contextuales, similitud y priorización. La aportación del mapeo consiste en describir su cobertura y las condiciones de evidencia, no en justificar una ausencia predeterminada.</w:t>
      </w:r>
    </w:p>
    <w:p>
      <w:pPr>
        <w:widowControl/>
        <w:spacing w:before="0" w:after="0" w:line="480" w:lineRule="auto"/>
        <w:ind w:left="0" w:right="0" w:firstLine="720"/>
        <w:jc w:val="left"/>
      </w:pPr>
      <w:r>
        <w:rPr>
          <w:rFonts w:ascii="Times New Roman" w:hAnsi="Times New Roman"/>
          <w:b w:val="0"/>
          <w:i w:val="0"/>
          <w:color w:val="000000"/>
          <w:sz w:val="24"/>
          <w:lang w:val="es-ES"/>
        </w:rPr>
        <w:t>La figura 5 sitúa las tareas del conjunto principal y las de los ocho estudios con datos españoles. Estos últimos se distribuyen en clasificación (cuatro), similitud y recuperación (dos), priorización (uno) y ambigüedad y calidad (uno). No se detecta extracción a modelos, generación como tarea principal ni trazabilidad entre ellos. Esas tres tareas reúnen 279 registros principales, pero los conjuntos comparados tienen distintas estrategias de recuperación y no fundamentan razones de prevalencia entre idiomas.</w:t>
      </w:r>
    </w:p>
    <w:p>
      <w:pPr>
        <w:keepNext/>
        <w:keepLines/>
        <w:widowControl/>
        <w:spacing w:before="200" w:after="40" w:line="288" w:lineRule="auto"/>
        <w:ind w:left="0" w:right="0" w:firstLine="0"/>
        <w:jc w:val="left"/>
      </w:pPr>
      <w:r>
        <w:rPr>
          <w:rFonts w:ascii="Times New Roman" w:hAnsi="Times New Roman"/>
          <w:b/>
          <w:i w:val="0"/>
          <w:color w:val="000000"/>
          <w:sz w:val="24"/>
          <w:lang w:val="es-ES"/>
        </w:rPr>
        <w:t>Figura 5</w:t>
      </w:r>
    </w:p>
    <w:p>
      <w:pPr>
        <w:keepNext/>
        <w:keepLines/>
        <w:widowControl/>
        <w:spacing w:before="0" w:after="80" w:line="288" w:lineRule="auto"/>
        <w:ind w:left="0" w:right="0" w:firstLine="0"/>
        <w:jc w:val="left"/>
      </w:pPr>
      <w:r>
        <w:rPr>
          <w:rFonts w:ascii="Times New Roman" w:hAnsi="Times New Roman"/>
          <w:b w:val="0"/>
          <w:i/>
          <w:color w:val="000000"/>
          <w:sz w:val="24"/>
          <w:lang w:val="es-ES"/>
        </w:rPr>
        <w:t>Tareas principales del flujo principal y de los estudios que declaran datos en español</w:t>
      </w:r>
    </w:p>
    <w:p>
      <w:pPr>
        <w:keepNext/>
        <w:spacing w:line="240" w:lineRule="auto" w:before="0" w:after="0"/>
        <w:ind w:firstLine="0"/>
        <w:jc w:val="center"/>
      </w:pPr>
      <w:r>
        <w:drawing>
          <wp:inline xmlns:a="http://schemas.openxmlformats.org/drawingml/2006/main" xmlns:pic="http://schemas.openxmlformats.org/drawingml/2006/picture">
            <wp:extent cx="5943600" cy="3089092"/>
            <wp:docPr id="5" name="Picture 5" descr="Tareas y cobertura del español"/>
            <wp:cNvGraphicFramePr>
              <a:graphicFrameLocks noChangeAspect="1"/>
            </wp:cNvGraphicFramePr>
            <a:graphic>
              <a:graphicData uri="http://schemas.openxmlformats.org/drawingml/2006/picture">
                <pic:pic>
                  <pic:nvPicPr>
                    <pic:cNvPr id="0" name="Figura_5_tareas_espanol.png"/>
                    <pic:cNvPicPr/>
                  </pic:nvPicPr>
                  <pic:blipFill>
                    <a:blip r:embed="rId13"/>
                    <a:stretch>
                      <a:fillRect/>
                    </a:stretch>
                  </pic:blipFill>
                  <pic:spPr>
                    <a:xfrm>
                      <a:off x="0" y="0"/>
                      <a:ext cx="5943600" cy="3089092"/>
                    </a:xfrm>
                    <a:prstGeom prst="rect"/>
                  </pic:spPr>
                </pic:pic>
              </a:graphicData>
            </a:graphic>
          </wp:inline>
        </w:drawing>
      </w:r>
    </w:p>
    <w:p>
      <w:pPr>
        <w:keepLines/>
        <w:widowControl/>
        <w:spacing w:before="80" w:after="160" w:line="240" w:lineRule="auto"/>
        <w:ind w:left="0" w:right="0" w:firstLine="0"/>
        <w:jc w:val="left"/>
      </w:pPr>
      <w:r>
        <w:rPr>
          <w:rFonts w:ascii="Times New Roman" w:hAnsi="Times New Roman"/>
          <w:b w:val="0"/>
          <w:i/>
          <w:color w:val="000000"/>
          <w:sz w:val="22"/>
          <w:lang w:val="es-ES"/>
        </w:rPr>
        <w:t>Nota.</w:t>
      </w:r>
      <w:r>
        <w:rPr>
          <w:rFonts w:ascii="Times New Roman" w:hAnsi="Times New Roman"/>
          <w:b w:val="0"/>
          <w:i w:val="0"/>
          <w:color w:val="000000"/>
          <w:sz w:val="22"/>
          <w:lang w:val="es-ES"/>
        </w:rPr>
        <w:t xml:space="preserve"> Panel izquierdo: 533 incluidos principales. Panel derecho: ocho incluidos con datos españoles de los tres flujos, cuatro de ellos también en el izquierdo. Las escalas horizontales son distintas y se indican expresamente. Los ceros describen la selección, no inexistencia de investigación.</w:t>
      </w:r>
    </w:p>
    <w:p>
      <w:pPr>
        <w:widowControl/>
        <w:spacing w:before="0" w:after="0" w:line="480" w:lineRule="auto"/>
        <w:ind w:left="0" w:right="0" w:firstLine="720"/>
        <w:jc w:val="left"/>
      </w:pPr>
      <w:r>
        <w:rPr>
          <w:rFonts w:ascii="Times New Roman" w:hAnsi="Times New Roman"/>
          <w:b w:val="0"/>
          <w:i w:val="0"/>
          <w:color w:val="000000"/>
          <w:sz w:val="24"/>
          <w:lang w:val="es-ES"/>
        </w:rPr>
        <w:t>La falta de lengua declarada y la identificación incompleta de versiones son vacíos de información distintos de un vacío temático. Tampoco el soporte documental del español equivale a validación sobre requisitos. El predominio de conjuntos propios y la ausencia de resultados comparables dificultan inferir transferencia entre proyectos, dominios e idiomas.</w:t>
      </w:r>
    </w:p>
    <w:p>
      <w:pPr>
        <w:widowControl/>
        <w:spacing w:before="0" w:after="0" w:line="480" w:lineRule="auto"/>
        <w:ind w:left="0" w:right="0" w:firstLine="720"/>
        <w:jc w:val="left"/>
      </w:pPr>
      <w:r>
        <w:rPr>
          <w:rFonts w:ascii="Times New Roman" w:hAnsi="Times New Roman"/>
          <w:b w:val="0"/>
          <w:i w:val="0"/>
          <w:color w:val="000000"/>
          <w:sz w:val="24"/>
          <w:lang w:val="es-ES"/>
        </w:rPr>
        <w:t xml:space="preserve">El contraste con Zhao y colaboradores </w:t>
      </w:r>
      <w:fldSimple w:instr=" CITATION Zha21 \l 3082 " w:dirty="false" w:fldLock="true">
        <w:r>
          <w:rPr>
            <w:rFonts w:ascii="Times New Roman" w:hAnsi="Times New Roman"/>
            <w:b w:val="0"/>
            <w:i w:val="0"/>
            <w:color w:val="000000"/>
            <w:sz w:val="24"/>
            <w:lang w:val="es-ES"/>
          </w:rPr>
          <w:t xml:space="preserve">(Zhao </w:t>
        </w:r>
        <w:r>
          <w:rPr>
            <w:rFonts w:ascii="Times New Roman" w:hAnsi="Times New Roman"/>
            <w:b w:val="0"/>
            <w:i/>
            <w:color w:val="000000"/>
            <w:sz w:val="24"/>
            <w:lang w:val="es-ES"/>
          </w:rPr>
          <w:t>et al.</w:t>
        </w:r>
        <w:r>
          <w:rPr>
            <w:rFonts w:ascii="Times New Roman" w:hAnsi="Times New Roman"/>
            <w:b w:val="0"/>
            <w:i w:val="0"/>
            <w:color w:val="000000"/>
            <w:sz w:val="24"/>
            <w:lang w:val="es-ES"/>
          </w:rPr>
          <w:t>, 2021)</w:t>
        </w:r>
      </w:fldSimple>
      <w:r>
        <w:rPr>
          <w:rFonts w:ascii="Times New Roman" w:hAnsi="Times New Roman"/>
          <w:b w:val="0"/>
          <w:i w:val="0"/>
          <w:color w:val="000000"/>
          <w:sz w:val="24"/>
          <w:lang w:val="es-ES"/>
        </w:rPr>
        <w:t xml:space="preserve"> es conceptual: ambas perspectivas organizan NLP4RE, mientras este análisis explicita idioma de los datos, versión del recurso y naturaleza de la evidencia. Las diferencias de volumen no se utilizan como prueba de mejora de cobertura. El presente diseño tampoco establece las causas de la menor presencia explícita del español; disponibilidad de datos, prácticas de publicación e incentivos son hipótesis para otra investigación.</w:t>
      </w:r>
    </w:p>
    <w:p>
      <w:pPr>
        <w:pStyle w:val="Heading3"/>
        <w:keepNext/>
        <w:keepLines/>
        <w:widowControl/>
        <w:spacing w:before="0" w:after="0" w:line="480" w:lineRule="auto"/>
        <w:ind w:left="0" w:right="0" w:firstLine="0"/>
        <w:jc w:val="left"/>
      </w:pPr>
      <w:r>
        <w:rPr>
          <w:rFonts w:ascii="Times New Roman" w:hAnsi="Times New Roman"/>
          <w:b/>
          <w:i/>
          <w:color w:val="000000"/>
          <w:sz w:val="24"/>
          <w:lang w:val="es-ES"/>
        </w:rPr>
        <w:t>6.2 Condiciones para transferir recursos y métodos (RQ6)</w:t>
      </w:r>
    </w:p>
    <w:p>
      <w:pPr>
        <w:widowControl/>
        <w:spacing w:before="0" w:after="0" w:line="480" w:lineRule="auto"/>
        <w:ind w:left="0" w:right="0" w:firstLine="720"/>
        <w:jc w:val="left"/>
      </w:pPr>
      <w:r>
        <w:rPr>
          <w:rFonts w:ascii="Times New Roman" w:hAnsi="Times New Roman"/>
          <w:b w:val="0"/>
          <w:i w:val="0"/>
          <w:color w:val="000000"/>
          <w:sz w:val="24"/>
          <w:lang w:val="es-ES"/>
        </w:rPr>
        <w:t xml:space="preserve">El inventario identifica candidatos para reutilización, sustitución o adaptación. BERT puede sustituirse por una variante entrenada en español como BETO; la familia MarIA ofrece modelos generales del idioma </w:t>
      </w:r>
      <w:fldSimple w:instr=" CITATION Gut22 \l 3082 " w:dirty="false" w:fldLock="true">
        <w:r>
          <w:rPr>
            <w:rFonts w:ascii="Times New Roman" w:hAnsi="Times New Roman"/>
            <w:b w:val="0"/>
            <w:i w:val="0"/>
            <w:color w:val="000000"/>
            <w:sz w:val="24"/>
            <w:lang w:val="es-ES"/>
          </w:rPr>
          <w:t xml:space="preserve">(Gutiérrez-Fandiño </w:t>
        </w:r>
        <w:r>
          <w:rPr>
            <w:rFonts w:ascii="Times New Roman" w:hAnsi="Times New Roman"/>
            <w:b w:val="0"/>
            <w:i/>
            <w:color w:val="000000"/>
            <w:sz w:val="24"/>
            <w:lang w:val="es-ES"/>
          </w:rPr>
          <w:t>et al.</w:t>
        </w:r>
        <w:r>
          <w:rPr>
            <w:rFonts w:ascii="Times New Roman" w:hAnsi="Times New Roman"/>
            <w:b w:val="0"/>
            <w:i w:val="0"/>
            <w:color w:val="000000"/>
            <w:sz w:val="24"/>
            <w:lang w:val="es-ES"/>
          </w:rPr>
          <w:t>, 2022)</w:t>
        </w:r>
      </w:fldSimple>
      <w:r>
        <w:rPr>
          <w:rFonts w:ascii="Times New Roman" w:hAnsi="Times New Roman"/>
          <w:b w:val="0"/>
          <w:i w:val="0"/>
          <w:color w:val="000000"/>
          <w:sz w:val="24"/>
          <w:lang w:val="es-ES"/>
        </w:rPr>
        <w:t xml:space="preserve">; y los modelos multilingües de oraciones permiten comparar textos en varios idiomas </w:t>
      </w:r>
      <w:fldSimple w:instr=" CITATION Rei20 \l 3082 " w:dirty="false" w:fldLock="true">
        <w:r>
          <w:rPr>
            <w:rFonts w:ascii="Times New Roman" w:hAnsi="Times New Roman"/>
            <w:b w:val="0"/>
            <w:i w:val="0"/>
            <w:color w:val="000000"/>
            <w:sz w:val="24"/>
            <w:lang w:val="es-ES"/>
          </w:rPr>
          <w:t>(Reimers y Gurevych, 2020)</w:t>
        </w:r>
      </w:fldSimple>
      <w:r>
        <w:rPr>
          <w:rFonts w:ascii="Times New Roman" w:hAnsi="Times New Roman"/>
          <w:b w:val="0"/>
          <w:i w:val="0"/>
          <w:color w:val="000000"/>
          <w:sz w:val="24"/>
          <w:lang w:val="es-ES"/>
        </w:rPr>
        <w:t>. Estas correspondencias describen posibilidades técnicas, no equivalencias comprobadas de rendimiento.</w:t>
      </w:r>
    </w:p>
    <w:p>
      <w:pPr>
        <w:widowControl/>
        <w:spacing w:before="0" w:after="0" w:line="480" w:lineRule="auto"/>
        <w:ind w:left="0" w:right="0" w:firstLine="720"/>
        <w:jc w:val="left"/>
      </w:pPr>
      <w:r>
        <w:rPr>
          <w:rFonts w:ascii="Times New Roman" w:hAnsi="Times New Roman"/>
          <w:b w:val="0"/>
          <w:i w:val="0"/>
          <w:color w:val="000000"/>
          <w:sz w:val="24"/>
          <w:lang w:val="es-ES"/>
        </w:rPr>
        <w:t xml:space="preserve">Los 37 recursos con una adaptación, versión multilingüe o alternativa reúnen 195 de 318 usos (61,3 %). Cambiar el recurso puede afectar tokenización, vocabulario, representaciones, categorías y umbrales de decisión. La comparación debe mantener la tarea y los datos de prueba constantes y controlar la separación entre entrenamiento y evaluación. La traducción constituye una estrategia que debe contrastarse con procesamiento nativo y multilingüe, sin asumir </w:t>
      </w:r>
      <w:r>
        <w:rPr>
          <w:rFonts w:ascii="Times New Roman" w:hAnsi="Times New Roman"/>
          <w:b w:val="0"/>
          <w:i/>
          <w:color w:val="000000"/>
          <w:sz w:val="24"/>
          <w:lang w:val="es-ES"/>
        </w:rPr>
        <w:t>a priori</w:t>
      </w:r>
      <w:r>
        <w:rPr>
          <w:rFonts w:ascii="Times New Roman" w:hAnsi="Times New Roman"/>
          <w:b w:val="0"/>
          <w:i w:val="0"/>
          <w:color w:val="000000"/>
          <w:sz w:val="24"/>
          <w:lang w:val="es-ES"/>
        </w:rPr>
        <w:t xml:space="preserve"> cuál será superior.</w:t>
      </w:r>
    </w:p>
    <w:p>
      <w:pPr>
        <w:widowControl/>
        <w:spacing w:before="0" w:after="0" w:line="480" w:lineRule="auto"/>
        <w:ind w:left="0" w:right="0" w:firstLine="720"/>
        <w:jc w:val="left"/>
      </w:pPr>
      <w:r>
        <w:rPr>
          <w:rFonts w:ascii="Times New Roman" w:hAnsi="Times New Roman"/>
          <w:b w:val="0"/>
          <w:i w:val="0"/>
          <w:color w:val="000000"/>
          <w:sz w:val="24"/>
          <w:lang w:val="es-ES"/>
        </w:rPr>
        <w:t>La evidencia de seguridad en español o su presencia en datos de entrenamiento no basta para afirmar que un recurso puede utilizarse sin cambios para todas las tareas. Incluso las declaraciones del proveedor requieren comprobación en el dominio y versión elegidos. El mapeo propone candidatos de transferencia; la eficacia de esa transferencia permanece como pregunta experimental.</w:t>
      </w:r>
    </w:p>
    <w:p>
      <w:pPr>
        <w:pStyle w:val="Heading2"/>
        <w:keepNext/>
        <w:keepLines/>
        <w:widowControl/>
        <w:spacing w:before="0" w:after="0" w:line="480" w:lineRule="auto"/>
        <w:ind w:left="0" w:right="0" w:firstLine="0"/>
        <w:jc w:val="left"/>
      </w:pPr>
      <w:r>
        <w:rPr>
          <w:rFonts w:ascii="Times New Roman" w:hAnsi="Times New Roman"/>
          <w:b/>
          <w:i w:val="0"/>
          <w:color w:val="000000"/>
          <w:sz w:val="24"/>
          <w:lang w:val="es-ES"/>
        </w:rPr>
        <w:t>7. Implicaciones y agenda de investigación</w:t>
      </w:r>
    </w:p>
    <w:p>
      <w:pPr>
        <w:widowControl/>
        <w:spacing w:before="0" w:after="0" w:line="480" w:lineRule="auto"/>
        <w:ind w:left="0" w:right="0" w:firstLine="720"/>
        <w:jc w:val="left"/>
      </w:pPr>
      <w:r>
        <w:rPr>
          <w:rFonts w:ascii="Times New Roman" w:hAnsi="Times New Roman"/>
          <w:b w:val="0"/>
          <w:i w:val="0"/>
          <w:color w:val="000000"/>
          <w:sz w:val="24"/>
          <w:lang w:val="es-ES"/>
        </w:rPr>
        <w:t>Para la práctica, la selección de un recurso debe partir de la tarea, la lengua y procedencia de los datos, la versión y las condiciones de acceso. Una evaluación con requisitos de un proyecto diferente del empleado en el desarrollo proporciona evidencia más pertinente para reutilización que la frecuencia de menciones de un modelo. El inventario y las citas permiten localizar esos candidatos y reconocer información ausente.</w:t>
      </w:r>
    </w:p>
    <w:p>
      <w:pPr>
        <w:widowControl/>
        <w:spacing w:before="0" w:after="0" w:line="480" w:lineRule="auto"/>
        <w:ind w:left="0" w:right="0" w:firstLine="720"/>
        <w:jc w:val="left"/>
      </w:pPr>
      <w:r>
        <w:rPr>
          <w:rFonts w:ascii="Times New Roman" w:hAnsi="Times New Roman"/>
          <w:b w:val="0"/>
          <w:i w:val="0"/>
          <w:color w:val="000000"/>
          <w:sz w:val="24"/>
          <w:lang w:val="es-ES"/>
        </w:rPr>
        <w:t>La agenda prioriza conjuntos españoles con trazabilidad de proyectos, reglas de anotación y particiones que eviten contaminación entre entrenamiento y prueba. Los datos nativos, traducidos y sintéticos deben identificarse por separado. Sobre esa base, resulta pertinente comparar recursos españoles, multilingües y procesamiento mediante traducción para una tarea delimitada, como ambigüedad, similitud o trazabilidad, con métricas y revisión experta coherentes con su propósito.</w:t>
      </w:r>
    </w:p>
    <w:p>
      <w:pPr>
        <w:widowControl/>
        <w:spacing w:before="0" w:after="0" w:line="480" w:lineRule="auto"/>
        <w:ind w:left="0" w:right="0" w:firstLine="720"/>
        <w:jc w:val="left"/>
      </w:pPr>
      <w:r>
        <w:rPr>
          <w:rFonts w:ascii="Times New Roman" w:hAnsi="Times New Roman"/>
          <w:b w:val="0"/>
          <w:i w:val="0"/>
          <w:color w:val="000000"/>
          <w:sz w:val="24"/>
          <w:lang w:val="es-ES"/>
        </w:rPr>
        <w:t>La validación de la selección constituye otra prioridad. Una muestra humana estratificada por decisión, flujo y base textual permitiría examinar falsos positivos y negativos del cribado y valorar los casos incluidos solo por título. Ese trabajo debe registrar desacuerdos y criterios aplicados, sin ajustar retrospectivamente las decisiones para elevar kappa. El presente artículo no reporta esa validación como realizada.</w:t>
      </w:r>
    </w:p>
    <w:p>
      <w:pPr>
        <w:pStyle w:val="Heading2"/>
        <w:keepNext/>
        <w:keepLines/>
        <w:widowControl/>
        <w:spacing w:before="0" w:after="0" w:line="480" w:lineRule="auto"/>
        <w:ind w:left="0" w:right="0" w:firstLine="0"/>
        <w:jc w:val="left"/>
      </w:pPr>
      <w:r>
        <w:rPr>
          <w:rFonts w:ascii="Times New Roman" w:hAnsi="Times New Roman"/>
          <w:b/>
          <w:i w:val="0"/>
          <w:color w:val="000000"/>
          <w:sz w:val="24"/>
          <w:lang w:val="es-ES"/>
        </w:rPr>
        <w:t>8. Amenazas a la validez</w:t>
      </w:r>
    </w:p>
    <w:p>
      <w:pPr>
        <w:widowControl/>
        <w:spacing w:before="0" w:after="0" w:line="480" w:lineRule="auto"/>
        <w:ind w:left="0" w:right="0" w:firstLine="720"/>
        <w:jc w:val="left"/>
      </w:pPr>
      <w:r>
        <w:rPr>
          <w:rFonts w:ascii="Times New Roman" w:hAnsi="Times New Roman"/>
          <w:b w:val="0"/>
          <w:i w:val="0"/>
          <w:color w:val="000000"/>
          <w:sz w:val="24"/>
          <w:lang w:val="es-ES"/>
        </w:rPr>
        <w:t>La validez de cobertura está limitada por OpenAlex, los términos de consulta, los tipos bibliográficos filtrados y el corte parcial de 2026. Las búsquedas principales y dirigidas se realizaron en fechas diferentes y sus recuentos se mantienen separados. El registro histórico de procedencia sustenta las fechas declaradas, pero no equivale a una reproducción independiente de las respuestas de la API.</w:t>
      </w:r>
    </w:p>
    <w:p>
      <w:pPr>
        <w:widowControl/>
        <w:spacing w:before="0" w:after="0" w:line="480" w:lineRule="auto"/>
        <w:ind w:left="0" w:right="0" w:firstLine="720"/>
        <w:jc w:val="left"/>
      </w:pPr>
      <w:r>
        <w:rPr>
          <w:rFonts w:ascii="Times New Roman" w:hAnsi="Times New Roman"/>
          <w:b w:val="0"/>
          <w:i w:val="0"/>
          <w:color w:val="000000"/>
          <w:sz w:val="24"/>
          <w:lang w:val="es-ES"/>
        </w:rPr>
        <w:t>La selección y la extracción son automatizadas. Las citas verificadas reducen errores de transcripción y atribución, pero no garantizan interpretación correcta, elegibilidad o identidad documental. Persisten 36 incluidos solo por título y 267 no evaluados. La deduplicación de versiones relacionadas puede conservar o retirar informes de forma imperfecta. La condición de revisión por pares tampoco ha sido comprobada independientemente para cada incluido.</w:t>
      </w:r>
    </w:p>
    <w:p>
      <w:pPr>
        <w:widowControl/>
        <w:spacing w:before="0" w:after="0" w:line="480" w:lineRule="auto"/>
        <w:ind w:left="0" w:right="0" w:firstLine="720"/>
        <w:jc w:val="left"/>
      </w:pPr>
      <w:r>
        <w:rPr>
          <w:rFonts w:ascii="Times New Roman" w:hAnsi="Times New Roman"/>
          <w:b w:val="0"/>
          <w:i w:val="0"/>
          <w:color w:val="000000"/>
          <w:sz w:val="24"/>
          <w:lang w:val="es-ES"/>
        </w:rPr>
        <w:t>La validez de constructo depende de los criterios CI1 y CI2 y de la normalización de recursos. El protocolo excluye construcción de datos sin procesamiento NLP y agrupa algunas variantes de modelos; otro alcance produciría un inventario diferente. Los algoritmos, las familias sin versión, los productos y los recursos específicos no deben intercambiarse como unidades. Los atributos del inventario tienen fuerza heterogénea y algunos proceden de fragmentos indexados.</w:t>
      </w:r>
    </w:p>
    <w:p>
      <w:pPr>
        <w:widowControl/>
        <w:spacing w:before="0" w:after="0" w:line="480" w:lineRule="auto"/>
        <w:ind w:left="0" w:right="0" w:firstLine="720"/>
        <w:jc w:val="left"/>
      </w:pPr>
      <w:r>
        <w:rPr>
          <w:rFonts w:ascii="Times New Roman" w:hAnsi="Times New Roman"/>
          <w:b w:val="0"/>
          <w:i w:val="0"/>
          <w:color w:val="000000"/>
          <w:sz w:val="24"/>
          <w:lang w:val="es-ES"/>
        </w:rPr>
        <w:t>La información ausente limita las inferencias lingüísticas: 499 de los 533 estudios principales no declaran la lengua de los datos en el texto analizado. La proporción de recursos de RQ3 se restringe a 90 unidades identificadas en 196 estudios. Por ello, los porcentajes no representan todo el campo, ni permiten asumir datos ingleses donde la lengua no consta. La falta de un equivalente localizado tampoco demuestra inexistencia.</w:t>
      </w:r>
    </w:p>
    <w:p>
      <w:pPr>
        <w:widowControl/>
        <w:spacing w:before="0" w:after="0" w:line="480" w:lineRule="auto"/>
        <w:ind w:left="0" w:right="0" w:firstLine="720"/>
        <w:jc w:val="left"/>
      </w:pPr>
      <w:r>
        <w:rPr>
          <w:rFonts w:ascii="Times New Roman" w:hAnsi="Times New Roman"/>
          <w:b w:val="0"/>
          <w:i w:val="0"/>
          <w:color w:val="000000"/>
          <w:sz w:val="24"/>
          <w:lang w:val="es-ES"/>
        </w:rPr>
        <w:t>La evaluación describe diseños, datos e indicadores; no sintetiza tamaños de efecto ni compara calidad experimental. La ronda humana de 18 registros no valida el corpus global y utilizó un protocolo parcialmente diferente. Estas limitaciones restringen las conclusiones a una caracterización documental, útil para orientar nuevas comprobaciones y estudios empíricos.</w:t>
      </w:r>
    </w:p>
    <w:p>
      <w:pPr>
        <w:pStyle w:val="Heading2"/>
        <w:keepNext/>
        <w:keepLines/>
        <w:widowControl/>
        <w:spacing w:before="0" w:after="0" w:line="480" w:lineRule="auto"/>
        <w:ind w:left="0" w:right="0" w:firstLine="0"/>
        <w:jc w:val="left"/>
      </w:pPr>
      <w:r>
        <w:rPr>
          <w:rFonts w:ascii="Times New Roman" w:hAnsi="Times New Roman"/>
          <w:b/>
          <w:i w:val="0"/>
          <w:color w:val="000000"/>
          <w:sz w:val="24"/>
          <w:lang w:val="es-ES"/>
        </w:rPr>
        <w:t>9. Conclusiones</w:t>
      </w:r>
    </w:p>
    <w:p>
      <w:pPr>
        <w:widowControl/>
        <w:spacing w:before="0" w:after="0" w:line="480" w:lineRule="auto"/>
        <w:ind w:left="0" w:right="0" w:firstLine="720"/>
        <w:jc w:val="left"/>
      </w:pPr>
      <w:r>
        <w:rPr>
          <w:rFonts w:ascii="Times New Roman" w:hAnsi="Times New Roman"/>
          <w:b w:val="0"/>
          <w:i w:val="0"/>
          <w:color w:val="000000"/>
          <w:sz w:val="24"/>
          <w:lang w:val="es-ES"/>
        </w:rPr>
        <w:t>Respecto de RQ1, el mapeo identifica diversidad de recursos léxico-semánticos y predominio de modelos generativos y codificadores contextuales en el flujo principal. La identificación concreta alcanza 90 unidades en 196 de 533 estudios; en los restantes solo se dispone de familias, algoritmos o categorías genéricas. El objetivo de caracterizar se cumple para las dimensiones y coberturas documentadas, sin equivaler a una descripción exhaustiva de todos los textos completos.</w:t>
      </w:r>
    </w:p>
    <w:p>
      <w:pPr>
        <w:widowControl/>
        <w:spacing w:before="0" w:after="0" w:line="480" w:lineRule="auto"/>
        <w:ind w:left="0" w:right="0" w:firstLine="720"/>
        <w:jc w:val="left"/>
      </w:pPr>
      <w:r>
        <w:rPr>
          <w:rFonts w:ascii="Times New Roman" w:hAnsi="Times New Roman"/>
          <w:b w:val="0"/>
          <w:i w:val="0"/>
          <w:color w:val="000000"/>
          <w:sz w:val="24"/>
          <w:lang w:val="es-ES"/>
        </w:rPr>
        <w:t>Para RQ2, la extracción a modelos u ontologías, la clasificación y la generación son las tareas principales más frecuentes. El cruce con familias admite varios recursos por estudio y conserva tareas auxiliares. La evaluación descrita está respaldada por pasajes localizados en 441 estudios principales, aunque no se extrajeron resultados numéricos comparables para establecer superioridad de métodos.</w:t>
      </w:r>
    </w:p>
    <w:p>
      <w:pPr>
        <w:widowControl/>
        <w:spacing w:before="0" w:after="0" w:line="480" w:lineRule="auto"/>
        <w:ind w:left="0" w:right="0" w:firstLine="720"/>
        <w:jc w:val="left"/>
      </w:pPr>
      <w:r>
        <w:rPr>
          <w:rFonts w:ascii="Times New Roman" w:hAnsi="Times New Roman"/>
          <w:b w:val="0"/>
          <w:i w:val="0"/>
          <w:color w:val="000000"/>
          <w:sz w:val="24"/>
          <w:lang w:val="es-ES"/>
        </w:rPr>
        <w:t>En RQ3, 37 de los 90 recursos presentan evidencia documental directa de español según el criterio amplio adoptado y otros 37 cuentan con una adaptación, versión multilingüe o alternativa. Quince carecen de equivalente identificado y uno depende de la versión. El 41,1 % de evidencia directa y su 29,6 % de usos se refieren al inventario identificado, con tipos de evidencia de distinta fuerza; no representan eficacia demostrada sobre requisitos españoles.</w:t>
      </w:r>
    </w:p>
    <w:p>
      <w:pPr>
        <w:widowControl/>
        <w:spacing w:before="0" w:after="0" w:line="480" w:lineRule="auto"/>
        <w:ind w:left="0" w:right="0" w:firstLine="720"/>
        <w:jc w:val="left"/>
      </w:pPr>
      <w:r>
        <w:rPr>
          <w:rFonts w:ascii="Times New Roman" w:hAnsi="Times New Roman"/>
          <w:b w:val="0"/>
          <w:i w:val="0"/>
          <w:color w:val="000000"/>
          <w:sz w:val="24"/>
          <w:lang w:val="es-ES"/>
        </w:rPr>
        <w:t>Para RQ4, ocho incluidos de los tres flujos declaran datos en español y documentan clasificación, similitud, priorización y ambigüedad. Se identifican recursos generales del idioma, conjuntos específicos y generación auxiliar de datos sintéticos. La distinción entre recurso, conjunto de datos, tarea principal y actividad auxiliar evita reducir esos trabajos a una única etiqueta.</w:t>
      </w:r>
    </w:p>
    <w:p>
      <w:pPr>
        <w:widowControl/>
        <w:spacing w:before="0" w:after="0" w:line="480" w:lineRule="auto"/>
        <w:ind w:left="0" w:right="0" w:firstLine="720"/>
        <w:jc w:val="left"/>
      </w:pPr>
      <w:r>
        <w:rPr>
          <w:rFonts w:ascii="Times New Roman" w:hAnsi="Times New Roman"/>
          <w:b w:val="0"/>
          <w:i w:val="0"/>
          <w:color w:val="000000"/>
          <w:sz w:val="24"/>
          <w:lang w:val="es-ES"/>
        </w:rPr>
        <w:t>En RQ5, las ausencias observadas corresponden a la selección y deben interpretarse junto con los registros no evaluados y la elevada falta de información lingüística. Los resultados no sustentan un vacío absoluto del español ni explican causalmente su presencia reducida. Sí delimitan tareas y dimensiones que requieren mejores datos y comprobación.</w:t>
      </w:r>
    </w:p>
    <w:p>
      <w:pPr>
        <w:widowControl/>
        <w:spacing w:before="0" w:after="0" w:line="480" w:lineRule="auto"/>
        <w:ind w:left="0" w:right="0" w:firstLine="720"/>
        <w:jc w:val="left"/>
      </w:pPr>
      <w:r>
        <w:rPr>
          <w:rFonts w:ascii="Times New Roman" w:hAnsi="Times New Roman"/>
          <w:b w:val="0"/>
          <w:i w:val="0"/>
          <w:color w:val="000000"/>
          <w:sz w:val="24"/>
          <w:lang w:val="es-ES"/>
        </w:rPr>
        <w:t>En RQ6, el inventario ofrece candidatos para reutilizar o sustituir recursos, pero la transferencia de métodos necesita evaluación con requisitos españoles y control de dominio, versión y procedencia de los datos. La siguiente contribución empírica debe vincular un recurso y una tarea concreta con evidencia reproducible de desempeño, además de completar la validación humana del mapeo.</w:t>
      </w:r>
    </w:p>
    <w:p>
      <w:pPr>
        <w:pStyle w:val="Heading2"/>
        <w:keepNext/>
        <w:keepLines/>
        <w:widowControl/>
        <w:spacing w:before="0" w:after="0" w:line="480" w:lineRule="auto"/>
        <w:ind w:left="0" w:right="0" w:firstLine="0"/>
        <w:jc w:val="left"/>
      </w:pPr>
      <w:r>
        <w:rPr>
          <w:rFonts w:ascii="Times New Roman" w:hAnsi="Times New Roman"/>
          <w:b/>
          <w:i w:val="0"/>
          <w:color w:val="000000"/>
          <w:sz w:val="24"/>
          <w:lang w:val="es-ES"/>
        </w:rPr>
        <w:t>Disponibilidad del material complementario</w:t>
      </w:r>
    </w:p>
    <w:p>
      <w:pPr>
        <w:widowControl/>
        <w:spacing w:before="0" w:after="0" w:line="480" w:lineRule="auto"/>
        <w:ind w:left="0" w:right="0" w:firstLine="720"/>
        <w:jc w:val="left"/>
      </w:pPr>
      <w:r>
        <w:rPr>
          <w:rFonts w:ascii="Times New Roman" w:hAnsi="Times New Roman"/>
          <w:b w:val="0"/>
          <w:i w:val="0"/>
          <w:color w:val="000000"/>
          <w:sz w:val="24"/>
          <w:lang w:val="es-ES"/>
        </w:rPr>
        <w:t>El material complementario reúne la selección de 1.746 registros, la extracción de 539 incluidos, los textos utilizados, el inventario de recursos, los pares estudio–unidad, las incidencias, el cierre de recuperación y los cambios aplicados. Los gráficos y tablas se calculan desde esa versión identificada de los datos.</w:t>
      </w:r>
    </w:p>
    <w:p>
      <w:pPr>
        <w:pStyle w:val="Heading2"/>
        <w:keepNext/>
        <w:keepLines/>
        <w:widowControl/>
        <w:spacing w:before="0" w:after="0" w:line="480" w:lineRule="auto"/>
        <w:ind w:left="0" w:right="0" w:firstLine="0"/>
        <w:jc w:val="left"/>
      </w:pPr>
      <w:r>
        <w:rPr>
          <w:rFonts w:ascii="Times New Roman" w:hAnsi="Times New Roman"/>
          <w:b/>
          <w:i w:val="0"/>
          <w:color w:val="000000"/>
          <w:sz w:val="24"/>
          <w:lang w:val="es-ES"/>
        </w:rPr>
        <w:t>Referencias</w:t>
      </w:r>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Baker, C. F., Fillmore, C. J., &amp; Lowe, J. B. (1998). </w:t>
      </w:r>
      <w:r>
        <w:rPr>
          <w:rFonts w:ascii="Times New Roman" w:hAnsi="Times New Roman"/>
          <w:b w:val="0"/>
          <w:i/>
          <w:color w:val="000000"/>
          <w:sz w:val="24"/>
          <w:lang w:val="es-ES"/>
        </w:rPr>
        <w:t>The Berkeley FrameNet project</w:t>
      </w:r>
      <w:r>
        <w:rPr>
          <w:rFonts w:ascii="Times New Roman" w:hAnsi="Times New Roman"/>
          <w:b w:val="0"/>
          <w:i w:val="0"/>
          <w:color w:val="000000"/>
          <w:sz w:val="24"/>
          <w:lang w:val="es-ES"/>
        </w:rPr>
        <w:t xml:space="preserve">. En </w:t>
      </w:r>
      <w:r>
        <w:rPr>
          <w:rFonts w:ascii="Times New Roman" w:hAnsi="Times New Roman"/>
          <w:b w:val="0"/>
          <w:i/>
          <w:color w:val="000000"/>
          <w:sz w:val="24"/>
          <w:lang w:val="es-ES"/>
        </w:rPr>
        <w:t>Proceedings of the 36th Annual Meeting of the Association for Computational Linguistics and 17th International Conference on Computational Linguistics</w:t>
      </w:r>
      <w:r>
        <w:rPr>
          <w:rFonts w:ascii="Times New Roman" w:hAnsi="Times New Roman"/>
          <w:b w:val="0"/>
          <w:i w:val="0"/>
          <w:color w:val="000000"/>
          <w:sz w:val="24"/>
          <w:lang w:val="es-ES"/>
        </w:rPr>
        <w:t xml:space="preserve"> (pp. 86-90). Association for Computational Linguistics. </w:t>
      </w:r>
      <w:hyperlink r:id="rId14">
        <w:r>
          <w:rPr>
            <w:rFonts w:ascii="Times New Roman" w:hAnsi="Times New Roman"/>
            <w:b w:val="0"/>
            <w:i w:val="0"/>
            <w:color w:val="000000"/>
            <w:sz w:val="24"/>
            <w:lang w:val="es-ES"/>
          </w:rPr>
          <w:t>https://doi.org/10.3115/980845.980860</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Bojanowski, P., Grave, E., Joulin, A., &amp; Mikolov, T. (2017). </w:t>
      </w:r>
      <w:r>
        <w:rPr>
          <w:rFonts w:ascii="Times New Roman" w:hAnsi="Times New Roman"/>
          <w:b w:val="0"/>
          <w:i/>
          <w:color w:val="000000"/>
          <w:sz w:val="24"/>
          <w:lang w:val="es-ES"/>
        </w:rPr>
        <w:t>Enriching word vectors with subword information</w:t>
      </w:r>
      <w:r>
        <w:rPr>
          <w:rFonts w:ascii="Times New Roman" w:hAnsi="Times New Roman"/>
          <w:b w:val="0"/>
          <w:i w:val="0"/>
          <w:color w:val="000000"/>
          <w:sz w:val="24"/>
          <w:lang w:val="es-ES"/>
        </w:rPr>
        <w:t xml:space="preserve">. </w:t>
      </w:r>
      <w:r>
        <w:rPr>
          <w:rFonts w:ascii="Times New Roman" w:hAnsi="Times New Roman"/>
          <w:b w:val="0"/>
          <w:i/>
          <w:color w:val="000000"/>
          <w:sz w:val="24"/>
          <w:lang w:val="es-ES"/>
        </w:rPr>
        <w:t>Transactions of the Association for Computational Linguistics, 5</w:t>
      </w:r>
      <w:r>
        <w:rPr>
          <w:rFonts w:ascii="Times New Roman" w:hAnsi="Times New Roman"/>
          <w:b w:val="0"/>
          <w:i w:val="0"/>
          <w:color w:val="000000"/>
          <w:sz w:val="24"/>
          <w:lang w:val="es-ES"/>
        </w:rPr>
        <w:t xml:space="preserve">, 135-146. </w:t>
      </w:r>
      <w:hyperlink r:id="rId15">
        <w:r>
          <w:rPr>
            <w:rFonts w:ascii="Times New Roman" w:hAnsi="Times New Roman"/>
            <w:b w:val="0"/>
            <w:i w:val="0"/>
            <w:color w:val="000000"/>
            <w:sz w:val="24"/>
            <w:lang w:val="es-ES"/>
          </w:rPr>
          <w:t>https://doi.org/10.1162/tacl_a_00051</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Cañete, J., Chaperon, G., Fuentes, R., Ho, J.-H., Kang, H., &amp; Pérez, J. (2023). </w:t>
      </w:r>
      <w:r>
        <w:rPr>
          <w:rFonts w:ascii="Times New Roman" w:hAnsi="Times New Roman"/>
          <w:b w:val="0"/>
          <w:i/>
          <w:color w:val="000000"/>
          <w:sz w:val="24"/>
          <w:lang w:val="es-ES"/>
        </w:rPr>
        <w:t>Spanish pre-trained BERT model and evaluation data</w:t>
      </w:r>
      <w:r>
        <w:rPr>
          <w:rFonts w:ascii="Times New Roman" w:hAnsi="Times New Roman"/>
          <w:b w:val="0"/>
          <w:i w:val="0"/>
          <w:color w:val="000000"/>
          <w:sz w:val="24"/>
          <w:lang w:val="es-ES"/>
        </w:rPr>
        <w:t xml:space="preserve">. [Informe]. arXiv. </w:t>
      </w:r>
      <w:hyperlink r:id="rId16">
        <w:r>
          <w:rPr>
            <w:rFonts w:ascii="Times New Roman" w:hAnsi="Times New Roman"/>
            <w:b w:val="0"/>
            <w:i w:val="0"/>
            <w:color w:val="000000"/>
            <w:sz w:val="24"/>
            <w:lang w:val="es-ES"/>
          </w:rPr>
          <w:t>https://doi.org/10.48550/arXiv.2308.02976</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Cardellino, C. (2016). </w:t>
      </w:r>
      <w:r>
        <w:rPr>
          <w:rFonts w:ascii="Times New Roman" w:hAnsi="Times New Roman"/>
          <w:b w:val="0"/>
          <w:i/>
          <w:color w:val="000000"/>
          <w:sz w:val="24"/>
          <w:lang w:val="es-ES"/>
        </w:rPr>
        <w:t>Spanish Billion Words Corpus and Embeddings</w:t>
      </w:r>
      <w:r>
        <w:rPr>
          <w:rFonts w:ascii="Times New Roman" w:hAnsi="Times New Roman"/>
          <w:b w:val="0"/>
          <w:i w:val="0"/>
          <w:color w:val="000000"/>
          <w:sz w:val="24"/>
          <w:lang w:val="es-ES"/>
        </w:rPr>
        <w:t xml:space="preserve">. [Corpus y representaciones vectoriales]. </w:t>
      </w:r>
      <w:hyperlink r:id="rId17">
        <w:r>
          <w:rPr>
            <w:rFonts w:ascii="Times New Roman" w:hAnsi="Times New Roman"/>
            <w:b w:val="0"/>
            <w:i w:val="0"/>
            <w:color w:val="000000"/>
            <w:sz w:val="24"/>
            <w:lang w:val="es-ES"/>
          </w:rPr>
          <w:t>https://crscardellino.net/SBWCE/</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Cohen, J. (1960). </w:t>
      </w:r>
      <w:r>
        <w:rPr>
          <w:rFonts w:ascii="Times New Roman" w:hAnsi="Times New Roman"/>
          <w:b w:val="0"/>
          <w:i/>
          <w:color w:val="000000"/>
          <w:sz w:val="24"/>
          <w:lang w:val="es-ES"/>
        </w:rPr>
        <w:t>A coefficient of agreement for nominal scales</w:t>
      </w:r>
      <w:r>
        <w:rPr>
          <w:rFonts w:ascii="Times New Roman" w:hAnsi="Times New Roman"/>
          <w:b w:val="0"/>
          <w:i w:val="0"/>
          <w:color w:val="000000"/>
          <w:sz w:val="24"/>
          <w:lang w:val="es-ES"/>
        </w:rPr>
        <w:t xml:space="preserve">. </w:t>
      </w:r>
      <w:r>
        <w:rPr>
          <w:rFonts w:ascii="Times New Roman" w:hAnsi="Times New Roman"/>
          <w:b w:val="0"/>
          <w:i/>
          <w:color w:val="000000"/>
          <w:sz w:val="24"/>
          <w:lang w:val="es-ES"/>
        </w:rPr>
        <w:t>Educational and Psychological Measurement, 20</w:t>
      </w:r>
      <w:r>
        <w:rPr>
          <w:rFonts w:ascii="Times New Roman" w:hAnsi="Times New Roman"/>
          <w:b w:val="0"/>
          <w:i w:val="0"/>
          <w:color w:val="000000"/>
          <w:sz w:val="24"/>
          <w:lang w:val="es-ES"/>
        </w:rPr>
        <w:t xml:space="preserve">(1), 37-46. </w:t>
      </w:r>
      <w:hyperlink r:id="rId18">
        <w:r>
          <w:rPr>
            <w:rFonts w:ascii="Times New Roman" w:hAnsi="Times New Roman"/>
            <w:b w:val="0"/>
            <w:i w:val="0"/>
            <w:color w:val="000000"/>
            <w:sz w:val="24"/>
            <w:lang w:val="es-ES"/>
          </w:rPr>
          <w:t>https://doi.org/10.1177/001316446002000104</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Devlin, J., Chang, M.-W., Lee, K., &amp; Toutanova, K. (2019). </w:t>
      </w:r>
      <w:r>
        <w:rPr>
          <w:rFonts w:ascii="Times New Roman" w:hAnsi="Times New Roman"/>
          <w:b w:val="0"/>
          <w:i/>
          <w:color w:val="000000"/>
          <w:sz w:val="24"/>
          <w:lang w:val="es-ES"/>
        </w:rPr>
        <w:t>BERT: Pre-training of deep bidirectional transformers for language understanding</w:t>
      </w:r>
      <w:r>
        <w:rPr>
          <w:rFonts w:ascii="Times New Roman" w:hAnsi="Times New Roman"/>
          <w:b w:val="0"/>
          <w:i w:val="0"/>
          <w:color w:val="000000"/>
          <w:sz w:val="24"/>
          <w:lang w:val="es-ES"/>
        </w:rPr>
        <w:t xml:space="preserve">. En </w:t>
      </w:r>
      <w:r>
        <w:rPr>
          <w:rFonts w:ascii="Times New Roman" w:hAnsi="Times New Roman"/>
          <w:b w:val="0"/>
          <w:i/>
          <w:color w:val="000000"/>
          <w:sz w:val="24"/>
          <w:lang w:val="es-ES"/>
        </w:rPr>
        <w:t>Proceedings of the 2019 Conference of the North American Chapter of the Association for Computational Linguistics: Human Language Technologies, Volume 1 (Long and Short Papers)</w:t>
      </w:r>
      <w:r>
        <w:rPr>
          <w:rFonts w:ascii="Times New Roman" w:hAnsi="Times New Roman"/>
          <w:b w:val="0"/>
          <w:i w:val="0"/>
          <w:color w:val="000000"/>
          <w:sz w:val="24"/>
          <w:lang w:val="es-ES"/>
        </w:rPr>
        <w:t xml:space="preserve"> (pp. 4171-4186). Association for Computational Linguistics. </w:t>
      </w:r>
      <w:hyperlink r:id="rId19">
        <w:r>
          <w:rPr>
            <w:rFonts w:ascii="Times New Roman" w:hAnsi="Times New Roman"/>
            <w:b w:val="0"/>
            <w:i w:val="0"/>
            <w:color w:val="000000"/>
            <w:sz w:val="24"/>
            <w:lang w:val="es-ES"/>
          </w:rPr>
          <w:t>https://doi.org/10.18653/v1/N19-1423</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Feinstein, A. R., &amp; Cicchetti, D. V. (1990). </w:t>
      </w:r>
      <w:r>
        <w:rPr>
          <w:rFonts w:ascii="Times New Roman" w:hAnsi="Times New Roman"/>
          <w:b w:val="0"/>
          <w:i/>
          <w:color w:val="000000"/>
          <w:sz w:val="24"/>
          <w:lang w:val="es-ES"/>
        </w:rPr>
        <w:t>High agreement but low kappa: I. The problems of two paradoxes</w:t>
      </w:r>
      <w:r>
        <w:rPr>
          <w:rFonts w:ascii="Times New Roman" w:hAnsi="Times New Roman"/>
          <w:b w:val="0"/>
          <w:i w:val="0"/>
          <w:color w:val="000000"/>
          <w:sz w:val="24"/>
          <w:lang w:val="es-ES"/>
        </w:rPr>
        <w:t xml:space="preserve">. </w:t>
      </w:r>
      <w:r>
        <w:rPr>
          <w:rFonts w:ascii="Times New Roman" w:hAnsi="Times New Roman"/>
          <w:b w:val="0"/>
          <w:i/>
          <w:color w:val="000000"/>
          <w:sz w:val="24"/>
          <w:lang w:val="es-ES"/>
        </w:rPr>
        <w:t>Journal of Clinical Epidemiology, 43</w:t>
      </w:r>
      <w:r>
        <w:rPr>
          <w:rFonts w:ascii="Times New Roman" w:hAnsi="Times New Roman"/>
          <w:b w:val="0"/>
          <w:i w:val="0"/>
          <w:color w:val="000000"/>
          <w:sz w:val="24"/>
          <w:lang w:val="es-ES"/>
        </w:rPr>
        <w:t xml:space="preserve">(6), 543-549. </w:t>
      </w:r>
      <w:hyperlink r:id="rId20">
        <w:r>
          <w:rPr>
            <w:rFonts w:ascii="Times New Roman" w:hAnsi="Times New Roman"/>
            <w:b w:val="0"/>
            <w:i w:val="0"/>
            <w:color w:val="000000"/>
            <w:sz w:val="24"/>
            <w:lang w:val="es-ES"/>
          </w:rPr>
          <w:t>https://doi.org/10.1016/0895-4356(90)90158-L</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Gutiérrez-Fandiño, A., Armengol-Estapé, J., Pàmies, M., Llop-Palao, J., Silveira-Ocampo, J., Carrino, C. P., Armentano-Oller, C., Rodríguez-Penagos, C., Gonzalez-Agirre, A., &amp; Villegas, M. (2022). </w:t>
      </w:r>
      <w:r>
        <w:rPr>
          <w:rFonts w:ascii="Times New Roman" w:hAnsi="Times New Roman"/>
          <w:b w:val="0"/>
          <w:i/>
          <w:color w:val="000000"/>
          <w:sz w:val="24"/>
          <w:lang w:val="es-ES"/>
        </w:rPr>
        <w:t>MarIA: Spanish language models</w:t>
      </w:r>
      <w:r>
        <w:rPr>
          <w:rFonts w:ascii="Times New Roman" w:hAnsi="Times New Roman"/>
          <w:b w:val="0"/>
          <w:i w:val="0"/>
          <w:color w:val="000000"/>
          <w:sz w:val="24"/>
          <w:lang w:val="es-ES"/>
        </w:rPr>
        <w:t xml:space="preserve">. </w:t>
      </w:r>
      <w:r>
        <w:rPr>
          <w:rFonts w:ascii="Times New Roman" w:hAnsi="Times New Roman"/>
          <w:b w:val="0"/>
          <w:i/>
          <w:color w:val="000000"/>
          <w:sz w:val="24"/>
          <w:lang w:val="es-ES"/>
        </w:rPr>
        <w:t>Procesamiento del Lenguaje Natural, 68</w:t>
      </w:r>
      <w:r>
        <w:rPr>
          <w:rFonts w:ascii="Times New Roman" w:hAnsi="Times New Roman"/>
          <w:b w:val="0"/>
          <w:i w:val="0"/>
          <w:color w:val="000000"/>
          <w:sz w:val="24"/>
          <w:lang w:val="es-ES"/>
        </w:rPr>
        <w:t xml:space="preserve">, 39-60. </w:t>
      </w:r>
      <w:hyperlink r:id="rId21">
        <w:r>
          <w:rPr>
            <w:rFonts w:ascii="Times New Roman" w:hAnsi="Times New Roman"/>
            <w:b w:val="0"/>
            <w:i w:val="0"/>
            <w:color w:val="000000"/>
            <w:sz w:val="24"/>
            <w:lang w:val="es-ES"/>
          </w:rPr>
          <w:t>https://journal.sepln.org/sepln/ojs/ojs/index.php/pln/article/view/6405</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Guzmán Luna, J. A., Gómez Arias, S. A., &amp; Vélez Carvajal, C. A. (2015). Un modelo de procesamiento de lenguaje natural para la detección de errores en requisitos de </w:t>
      </w:r>
      <w:r>
        <w:rPr>
          <w:rFonts w:ascii="Times New Roman" w:hAnsi="Times New Roman"/>
          <w:b w:val="0"/>
          <w:i/>
          <w:color w:val="000000"/>
          <w:sz w:val="24"/>
          <w:lang w:val="es-ES"/>
        </w:rPr>
        <w:t>software</w:t>
      </w:r>
      <w:r>
        <w:rPr>
          <w:rFonts w:ascii="Times New Roman" w:hAnsi="Times New Roman"/>
          <w:b w:val="0"/>
          <w:i w:val="0"/>
          <w:color w:val="000000"/>
          <w:sz w:val="24"/>
          <w:lang w:val="es-ES"/>
        </w:rPr>
        <w:t xml:space="preserve">. </w:t>
      </w:r>
      <w:r>
        <w:rPr>
          <w:rFonts w:ascii="Times New Roman" w:hAnsi="Times New Roman"/>
          <w:b w:val="0"/>
          <w:i/>
          <w:color w:val="000000"/>
          <w:sz w:val="24"/>
          <w:lang w:val="es-ES"/>
        </w:rPr>
        <w:t>Revista Virtual Universidad Católica del Norte</w:t>
      </w:r>
      <w:r>
        <w:rPr>
          <w:rFonts w:ascii="Times New Roman" w:hAnsi="Times New Roman"/>
          <w:b w:val="0"/>
          <w:i w:val="0"/>
          <w:color w:val="000000"/>
          <w:sz w:val="24"/>
          <w:lang w:val="es-ES"/>
        </w:rPr>
        <w:t xml:space="preserve">(46), 169-186. </w:t>
      </w:r>
      <w:hyperlink r:id="rId22">
        <w:r>
          <w:rPr>
            <w:rFonts w:ascii="Times New Roman" w:hAnsi="Times New Roman"/>
            <w:b w:val="0"/>
            <w:i w:val="0"/>
            <w:color w:val="000000"/>
            <w:sz w:val="24"/>
            <w:lang w:val="es-ES"/>
          </w:rPr>
          <w:t>https://revistavirtual.ucn.edu.co/index.php/RevistaUCN/article/view/707</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Limaylla-Lunarejo, M. I., Condori-Fernandez, N., &amp; Luaces, M. R. (2023a). </w:t>
      </w:r>
      <w:r>
        <w:rPr>
          <w:rFonts w:ascii="Times New Roman" w:hAnsi="Times New Roman"/>
          <w:b w:val="0"/>
          <w:i/>
          <w:color w:val="000000"/>
          <w:sz w:val="24"/>
          <w:lang w:val="es-ES"/>
        </w:rPr>
        <w:t>Evaluating non-functional requirements classification for Spanish text: Traditional vs. deep learning approaches</w:t>
      </w:r>
      <w:r>
        <w:rPr>
          <w:rFonts w:ascii="Times New Roman" w:hAnsi="Times New Roman"/>
          <w:b w:val="0"/>
          <w:i w:val="0"/>
          <w:color w:val="000000"/>
          <w:sz w:val="24"/>
          <w:lang w:val="es-ES"/>
        </w:rPr>
        <w:t xml:space="preserve">. En </w:t>
      </w:r>
      <w:r>
        <w:rPr>
          <w:rFonts w:ascii="Times New Roman" w:hAnsi="Times New Roman"/>
          <w:b w:val="0"/>
          <w:i/>
          <w:color w:val="000000"/>
          <w:sz w:val="24"/>
          <w:lang w:val="es-ES"/>
        </w:rPr>
        <w:t>LatinX in AI Workshop</w:t>
      </w:r>
      <w:r>
        <w:rPr>
          <w:rFonts w:ascii="Times New Roman" w:hAnsi="Times New Roman"/>
          <w:b w:val="0"/>
          <w:i w:val="0"/>
          <w:color w:val="000000"/>
          <w:sz w:val="24"/>
          <w:lang w:val="es-ES"/>
        </w:rPr>
        <w:t xml:space="preserve">. </w:t>
      </w:r>
      <w:hyperlink r:id="rId23">
        <w:r>
          <w:rPr>
            <w:rFonts w:ascii="Times New Roman" w:hAnsi="Times New Roman"/>
            <w:b w:val="0"/>
            <w:i w:val="0"/>
            <w:color w:val="000000"/>
            <w:sz w:val="24"/>
            <w:lang w:val="es-ES"/>
          </w:rPr>
          <w:t>https://doi.org/10.52591/lxai202312103</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Limaylla-Lunarejo, M. I., Condori-Fernandez, N., &amp; Luaces, M. R. (2023b). </w:t>
      </w:r>
      <w:r>
        <w:rPr>
          <w:rFonts w:ascii="Times New Roman" w:hAnsi="Times New Roman"/>
          <w:b w:val="0"/>
          <w:i/>
          <w:color w:val="000000"/>
          <w:sz w:val="24"/>
          <w:lang w:val="es-ES"/>
        </w:rPr>
        <w:t>Requirements classification using FastText and BETO in Spanish documents</w:t>
      </w:r>
      <w:r>
        <w:rPr>
          <w:rFonts w:ascii="Times New Roman" w:hAnsi="Times New Roman"/>
          <w:b w:val="0"/>
          <w:i w:val="0"/>
          <w:color w:val="000000"/>
          <w:sz w:val="24"/>
          <w:lang w:val="es-ES"/>
        </w:rPr>
        <w:t xml:space="preserve">. En </w:t>
      </w:r>
      <w:r>
        <w:rPr>
          <w:rFonts w:ascii="Times New Roman" w:hAnsi="Times New Roman"/>
          <w:b w:val="0"/>
          <w:i/>
          <w:color w:val="000000"/>
          <w:sz w:val="24"/>
          <w:lang w:val="es-ES"/>
        </w:rPr>
        <w:t xml:space="preserve">Requirements Engineering: Foundation for </w:t>
      </w:r>
      <w:r>
        <w:rPr>
          <w:rFonts w:ascii="Times New Roman" w:hAnsi="Times New Roman"/>
          <w:b w:val="0"/>
          <w:i/>
          <w:color w:val="000000"/>
          <w:sz w:val="24"/>
          <w:lang w:val="es-ES"/>
        </w:rPr>
        <w:t>Software</w:t>
      </w:r>
      <w:r>
        <w:rPr>
          <w:rFonts w:ascii="Times New Roman" w:hAnsi="Times New Roman"/>
          <w:b w:val="0"/>
          <w:i/>
          <w:color w:val="000000"/>
          <w:sz w:val="24"/>
          <w:lang w:val="es-ES"/>
        </w:rPr>
        <w:t xml:space="preserve"> Quality (REFSQ 2023), Lecture Notes in Computer Science, vol. 13975</w:t>
      </w:r>
      <w:r>
        <w:rPr>
          <w:rFonts w:ascii="Times New Roman" w:hAnsi="Times New Roman"/>
          <w:b w:val="0"/>
          <w:i w:val="0"/>
          <w:color w:val="000000"/>
          <w:sz w:val="24"/>
          <w:lang w:val="es-ES"/>
        </w:rPr>
        <w:t xml:space="preserve"> (pp. 159-176). Springer. </w:t>
      </w:r>
      <w:hyperlink r:id="rId24">
        <w:r>
          <w:rPr>
            <w:rFonts w:ascii="Times New Roman" w:hAnsi="Times New Roman"/>
            <w:b w:val="0"/>
            <w:i w:val="0"/>
            <w:color w:val="000000"/>
            <w:sz w:val="24"/>
            <w:lang w:val="es-ES"/>
          </w:rPr>
          <w:t>https://doi.org/10.1007/978-3-031-29786-1_11</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Limaylla-Lunarejo, M. I., Condori-Fernandez, N., &amp; Luaces, M. R. (2023c). </w:t>
      </w:r>
      <w:r>
        <w:rPr>
          <w:rFonts w:ascii="Times New Roman" w:hAnsi="Times New Roman"/>
          <w:b w:val="0"/>
          <w:i/>
          <w:color w:val="000000"/>
          <w:sz w:val="24"/>
          <w:lang w:val="es-ES"/>
        </w:rPr>
        <w:t>Towards a FAIR dataset for non-functional requirements</w:t>
      </w:r>
      <w:r>
        <w:rPr>
          <w:rFonts w:ascii="Times New Roman" w:hAnsi="Times New Roman"/>
          <w:b w:val="0"/>
          <w:i w:val="0"/>
          <w:color w:val="000000"/>
          <w:sz w:val="24"/>
          <w:lang w:val="es-ES"/>
        </w:rPr>
        <w:t xml:space="preserve">. En </w:t>
      </w:r>
      <w:r>
        <w:rPr>
          <w:rFonts w:ascii="Times New Roman" w:hAnsi="Times New Roman"/>
          <w:b w:val="0"/>
          <w:i/>
          <w:color w:val="000000"/>
          <w:sz w:val="24"/>
          <w:lang w:val="es-ES"/>
        </w:rPr>
        <w:t>Proceedings of the 38th ACM/SIGAPP Symposium on Applied Computing</w:t>
      </w:r>
      <w:r>
        <w:rPr>
          <w:rFonts w:ascii="Times New Roman" w:hAnsi="Times New Roman"/>
          <w:b w:val="0"/>
          <w:i w:val="0"/>
          <w:color w:val="000000"/>
          <w:sz w:val="24"/>
          <w:lang w:val="es-ES"/>
        </w:rPr>
        <w:t xml:space="preserve"> (pp. 1414-1421). ACM. </w:t>
      </w:r>
      <w:hyperlink r:id="rId25">
        <w:r>
          <w:rPr>
            <w:rFonts w:ascii="Times New Roman" w:hAnsi="Times New Roman"/>
            <w:b w:val="0"/>
            <w:i w:val="0"/>
            <w:color w:val="000000"/>
            <w:sz w:val="24"/>
            <w:lang w:val="es-ES"/>
          </w:rPr>
          <w:t>https://doi.org/10.1145/3555776.3578611</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Limaylla-Lunarejo, M. I., Condori-Fernandez, N., &amp; Luaces, M. R. (2023d). </w:t>
      </w:r>
      <w:r>
        <w:rPr>
          <w:rFonts w:ascii="Times New Roman" w:hAnsi="Times New Roman"/>
          <w:b w:val="0"/>
          <w:i/>
          <w:color w:val="000000"/>
          <w:sz w:val="24"/>
          <w:lang w:val="es-ES"/>
        </w:rPr>
        <w:t xml:space="preserve">Towards an automatic classification for </w:t>
      </w:r>
      <w:r>
        <w:rPr>
          <w:rFonts w:ascii="Times New Roman" w:hAnsi="Times New Roman"/>
          <w:b w:val="0"/>
          <w:i/>
          <w:color w:val="000000"/>
          <w:sz w:val="24"/>
          <w:lang w:val="es-ES"/>
        </w:rPr>
        <w:t>Spanish software requirements</w:t>
      </w:r>
      <w:r>
        <w:rPr>
          <w:rFonts w:ascii="Times New Roman" w:hAnsi="Times New Roman"/>
          <w:b w:val="0"/>
          <w:i w:val="0"/>
          <w:color w:val="000000"/>
          <w:sz w:val="24"/>
          <w:lang w:val="es-ES"/>
        </w:rPr>
        <w:t xml:space="preserve">. </w:t>
      </w:r>
      <w:r>
        <w:rPr>
          <w:rFonts w:ascii="Times New Roman" w:hAnsi="Times New Roman"/>
          <w:b w:val="0"/>
          <w:i/>
          <w:color w:val="000000"/>
          <w:sz w:val="24"/>
          <w:lang w:val="es-ES"/>
        </w:rPr>
        <w:t>Kalpa Publications in Computing, 14</w:t>
      </w:r>
      <w:r>
        <w:rPr>
          <w:rFonts w:ascii="Times New Roman" w:hAnsi="Times New Roman"/>
          <w:b w:val="0"/>
          <w:i w:val="0"/>
          <w:color w:val="000000"/>
          <w:sz w:val="24"/>
          <w:lang w:val="es-ES"/>
        </w:rPr>
        <w:t xml:space="preserve">, 124-126. </w:t>
      </w:r>
      <w:hyperlink r:id="rId26">
        <w:r>
          <w:rPr>
            <w:rFonts w:ascii="Times New Roman" w:hAnsi="Times New Roman"/>
            <w:b w:val="0"/>
            <w:i w:val="0"/>
            <w:color w:val="000000"/>
            <w:sz w:val="24"/>
            <w:lang w:val="es-ES"/>
          </w:rPr>
          <w:t>https://doi.org/10.29007/b8sk</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Limaylla-Lunarejo, M. I., Condori-Fernandez, N., &amp; Luaces, M. R. (2025). </w:t>
      </w:r>
      <w:r>
        <w:rPr>
          <w:rFonts w:ascii="Times New Roman" w:hAnsi="Times New Roman"/>
          <w:b w:val="0"/>
          <w:i/>
          <w:color w:val="000000"/>
          <w:sz w:val="24"/>
          <w:lang w:val="es-ES"/>
        </w:rPr>
        <w:t xml:space="preserve">SimRE: A requirements similarity tool for </w:t>
      </w:r>
      <w:r>
        <w:rPr>
          <w:rFonts w:ascii="Times New Roman" w:hAnsi="Times New Roman"/>
          <w:b w:val="0"/>
          <w:i/>
          <w:color w:val="000000"/>
          <w:sz w:val="24"/>
          <w:lang w:val="es-ES"/>
        </w:rPr>
        <w:t>software</w:t>
      </w:r>
      <w:r>
        <w:rPr>
          <w:rFonts w:ascii="Times New Roman" w:hAnsi="Times New Roman"/>
          <w:b w:val="0"/>
          <w:i/>
          <w:color w:val="000000"/>
          <w:sz w:val="24"/>
          <w:lang w:val="es-ES"/>
        </w:rPr>
        <w:t xml:space="preserve"> product lines</w:t>
      </w:r>
      <w:r>
        <w:rPr>
          <w:rFonts w:ascii="Times New Roman" w:hAnsi="Times New Roman"/>
          <w:b w:val="0"/>
          <w:i w:val="0"/>
          <w:color w:val="000000"/>
          <w:sz w:val="24"/>
          <w:lang w:val="es-ES"/>
        </w:rPr>
        <w:t xml:space="preserve">. En </w:t>
      </w:r>
      <w:r>
        <w:rPr>
          <w:rFonts w:ascii="Times New Roman" w:hAnsi="Times New Roman"/>
          <w:b w:val="0"/>
          <w:i/>
          <w:color w:val="000000"/>
          <w:sz w:val="24"/>
          <w:lang w:val="es-ES"/>
        </w:rPr>
        <w:t>Proceedings of the 40th ACM/SIGAPP Symposium on Applied Computing</w:t>
      </w:r>
      <w:r>
        <w:rPr>
          <w:rFonts w:ascii="Times New Roman" w:hAnsi="Times New Roman"/>
          <w:b w:val="0"/>
          <w:i w:val="0"/>
          <w:color w:val="000000"/>
          <w:sz w:val="24"/>
          <w:lang w:val="es-ES"/>
        </w:rPr>
        <w:t xml:space="preserve"> (pp. 1473-1480). ACM. </w:t>
      </w:r>
      <w:hyperlink r:id="rId27">
        <w:r>
          <w:rPr>
            <w:rFonts w:ascii="Times New Roman" w:hAnsi="Times New Roman"/>
            <w:b w:val="0"/>
            <w:i w:val="0"/>
            <w:color w:val="000000"/>
            <w:sz w:val="24"/>
            <w:lang w:val="es-ES"/>
          </w:rPr>
          <w:t>https://doi.org/10.1145/3672608.3707758</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Limaylla-Lunarejo, M. I., Condori-Fernandez, N., &amp; Luaces, M. R. (2026). </w:t>
      </w:r>
      <w:r>
        <w:rPr>
          <w:rFonts w:ascii="Times New Roman" w:hAnsi="Times New Roman"/>
          <w:b w:val="0"/>
          <w:i/>
          <w:color w:val="000000"/>
          <w:sz w:val="24"/>
          <w:lang w:val="es-ES"/>
        </w:rPr>
        <w:t xml:space="preserve">Automatic criteria for prioritizing </w:t>
      </w:r>
      <w:r>
        <w:rPr>
          <w:rFonts w:ascii="Times New Roman" w:hAnsi="Times New Roman"/>
          <w:b w:val="0"/>
          <w:i/>
          <w:color w:val="000000"/>
          <w:sz w:val="24"/>
          <w:lang w:val="es-ES"/>
        </w:rPr>
        <w:t>software</w:t>
      </w:r>
      <w:r>
        <w:rPr>
          <w:rFonts w:ascii="Times New Roman" w:hAnsi="Times New Roman"/>
          <w:b w:val="0"/>
          <w:i/>
          <w:color w:val="000000"/>
          <w:sz w:val="24"/>
          <w:lang w:val="es-ES"/>
        </w:rPr>
        <w:t xml:space="preserve"> </w:t>
      </w:r>
      <w:r>
        <w:rPr>
          <w:rFonts w:ascii="Times New Roman" w:hAnsi="Times New Roman"/>
          <w:b w:val="0"/>
          <w:i/>
          <w:color w:val="000000"/>
          <w:sz w:val="24"/>
          <w:lang w:val="es-ES"/>
        </w:rPr>
        <w:t>requirements in Spanish</w:t>
      </w:r>
      <w:r>
        <w:rPr>
          <w:rFonts w:ascii="Times New Roman" w:hAnsi="Times New Roman"/>
          <w:b w:val="0"/>
          <w:i/>
          <w:color w:val="000000"/>
          <w:sz w:val="24"/>
          <w:lang w:val="es-ES"/>
        </w:rPr>
        <w:t xml:space="preserve"> projects</w:t>
      </w:r>
      <w:r>
        <w:rPr>
          <w:rFonts w:ascii="Times New Roman" w:hAnsi="Times New Roman"/>
          <w:b w:val="0"/>
          <w:i w:val="0"/>
          <w:color w:val="000000"/>
          <w:sz w:val="24"/>
          <w:lang w:val="es-ES"/>
        </w:rPr>
        <w:t xml:space="preserve">. </w:t>
      </w:r>
      <w:r>
        <w:rPr>
          <w:rFonts w:ascii="Times New Roman" w:hAnsi="Times New Roman"/>
          <w:b w:val="0"/>
          <w:i/>
          <w:color w:val="000000"/>
          <w:sz w:val="24"/>
          <w:lang w:val="es-ES"/>
        </w:rPr>
        <w:t xml:space="preserve">Journal of Systems and </w:t>
      </w:r>
      <w:r>
        <w:rPr>
          <w:rFonts w:ascii="Times New Roman" w:hAnsi="Times New Roman"/>
          <w:b w:val="0"/>
          <w:i/>
          <w:color w:val="000000"/>
          <w:sz w:val="24"/>
          <w:lang w:val="es-ES"/>
        </w:rPr>
        <w:t>Software</w:t>
      </w:r>
      <w:r>
        <w:rPr>
          <w:rFonts w:ascii="Times New Roman" w:hAnsi="Times New Roman"/>
          <w:b w:val="0"/>
          <w:i/>
          <w:color w:val="000000"/>
          <w:sz w:val="24"/>
          <w:lang w:val="es-ES"/>
        </w:rPr>
        <w:t>, 238</w:t>
      </w:r>
      <w:r>
        <w:rPr>
          <w:rFonts w:ascii="Times New Roman" w:hAnsi="Times New Roman"/>
          <w:b w:val="0"/>
          <w:i w:val="0"/>
          <w:color w:val="000000"/>
          <w:sz w:val="24"/>
          <w:lang w:val="es-ES"/>
        </w:rPr>
        <w:t xml:space="preserve">, Artículo 112858. </w:t>
      </w:r>
      <w:hyperlink r:id="rId28">
        <w:r>
          <w:rPr>
            <w:rFonts w:ascii="Times New Roman" w:hAnsi="Times New Roman"/>
            <w:b w:val="0"/>
            <w:i w:val="0"/>
            <w:color w:val="000000"/>
            <w:sz w:val="24"/>
            <w:lang w:val="es-ES"/>
          </w:rPr>
          <w:t>https://doi.org/10.1016/j.jss.2026.112858</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Limaylla-Lunarejo, M. I., Condori-Fernandez, N., Rodríguez Luaces, M., &amp; Karras, O. (2026). </w:t>
      </w:r>
      <w:r>
        <w:rPr>
          <w:rFonts w:ascii="Times New Roman" w:hAnsi="Times New Roman"/>
          <w:b w:val="0"/>
          <w:i/>
          <w:color w:val="000000"/>
          <w:sz w:val="24"/>
          <w:lang w:val="es-ES"/>
        </w:rPr>
        <w:t xml:space="preserve">Improving the multi-class classification of non-functional </w:t>
      </w:r>
      <w:r>
        <w:rPr>
          <w:rFonts w:ascii="Times New Roman" w:hAnsi="Times New Roman"/>
          <w:b w:val="0"/>
          <w:i/>
          <w:color w:val="000000"/>
          <w:sz w:val="24"/>
          <w:lang w:val="es-ES"/>
        </w:rPr>
        <w:t>requirements in Spanish</w:t>
      </w:r>
      <w:r>
        <w:rPr>
          <w:rFonts w:ascii="Times New Roman" w:hAnsi="Times New Roman"/>
          <w:b w:val="0"/>
          <w:i/>
          <w:color w:val="000000"/>
          <w:sz w:val="24"/>
          <w:lang w:val="es-ES"/>
        </w:rPr>
        <w:t>: A study of dataset balancing and performance</w:t>
      </w:r>
      <w:r>
        <w:rPr>
          <w:rFonts w:ascii="Times New Roman" w:hAnsi="Times New Roman"/>
          <w:b w:val="0"/>
          <w:i w:val="0"/>
          <w:color w:val="000000"/>
          <w:sz w:val="24"/>
          <w:lang w:val="es-ES"/>
        </w:rPr>
        <w:t xml:space="preserve">. </w:t>
      </w:r>
      <w:r>
        <w:rPr>
          <w:rFonts w:ascii="Times New Roman" w:hAnsi="Times New Roman"/>
          <w:b w:val="0"/>
          <w:i/>
          <w:color w:val="000000"/>
          <w:sz w:val="24"/>
          <w:lang w:val="es-ES"/>
        </w:rPr>
        <w:t xml:space="preserve">Empirical </w:t>
      </w:r>
      <w:r>
        <w:rPr>
          <w:rFonts w:ascii="Times New Roman" w:hAnsi="Times New Roman"/>
          <w:b w:val="0"/>
          <w:i/>
          <w:color w:val="000000"/>
          <w:sz w:val="24"/>
          <w:lang w:val="es-ES"/>
        </w:rPr>
        <w:t>Software</w:t>
      </w:r>
      <w:r>
        <w:rPr>
          <w:rFonts w:ascii="Times New Roman" w:hAnsi="Times New Roman"/>
          <w:b w:val="0"/>
          <w:i/>
          <w:color w:val="000000"/>
          <w:sz w:val="24"/>
          <w:lang w:val="es-ES"/>
        </w:rPr>
        <w:t xml:space="preserve"> Engineering, 31</w:t>
      </w:r>
      <w:r>
        <w:rPr>
          <w:rFonts w:ascii="Times New Roman" w:hAnsi="Times New Roman"/>
          <w:b w:val="0"/>
          <w:i w:val="0"/>
          <w:color w:val="000000"/>
          <w:sz w:val="24"/>
          <w:lang w:val="es-ES"/>
        </w:rPr>
        <w:t xml:space="preserve">(1), Artículo 6. </w:t>
      </w:r>
      <w:hyperlink r:id="rId29">
        <w:r>
          <w:rPr>
            <w:rFonts w:ascii="Times New Roman" w:hAnsi="Times New Roman"/>
            <w:b w:val="0"/>
            <w:i w:val="0"/>
            <w:color w:val="000000"/>
            <w:sz w:val="24"/>
            <w:lang w:val="es-ES"/>
          </w:rPr>
          <w:t>https://doi.org/10.1007/s10664-025-10736-9</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Miller, G. A. (1995). </w:t>
      </w:r>
      <w:r>
        <w:rPr>
          <w:rFonts w:ascii="Times New Roman" w:hAnsi="Times New Roman"/>
          <w:b w:val="0"/>
          <w:i/>
          <w:color w:val="000000"/>
          <w:sz w:val="24"/>
          <w:lang w:val="es-ES"/>
        </w:rPr>
        <w:t>WordNet: A lexical database for English</w:t>
      </w:r>
      <w:r>
        <w:rPr>
          <w:rFonts w:ascii="Times New Roman" w:hAnsi="Times New Roman"/>
          <w:b w:val="0"/>
          <w:i w:val="0"/>
          <w:color w:val="000000"/>
          <w:sz w:val="24"/>
          <w:lang w:val="es-ES"/>
        </w:rPr>
        <w:t xml:space="preserve">. </w:t>
      </w:r>
      <w:r>
        <w:rPr>
          <w:rFonts w:ascii="Times New Roman" w:hAnsi="Times New Roman"/>
          <w:b w:val="0"/>
          <w:i/>
          <w:color w:val="000000"/>
          <w:sz w:val="24"/>
          <w:lang w:val="es-ES"/>
        </w:rPr>
        <w:t>Communications of the ACM, 38</w:t>
      </w:r>
      <w:r>
        <w:rPr>
          <w:rFonts w:ascii="Times New Roman" w:hAnsi="Times New Roman"/>
          <w:b w:val="0"/>
          <w:i w:val="0"/>
          <w:color w:val="000000"/>
          <w:sz w:val="24"/>
          <w:lang w:val="es-ES"/>
        </w:rPr>
        <w:t xml:space="preserve">(11), 39-41. </w:t>
      </w:r>
      <w:hyperlink r:id="rId30">
        <w:r>
          <w:rPr>
            <w:rFonts w:ascii="Times New Roman" w:hAnsi="Times New Roman"/>
            <w:b w:val="0"/>
            <w:i w:val="0"/>
            <w:color w:val="000000"/>
            <w:sz w:val="24"/>
            <w:lang w:val="es-ES"/>
          </w:rPr>
          <w:t>https://doi.org/10.1145/219717.219748</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OpenAI. (2023). </w:t>
      </w:r>
      <w:r>
        <w:rPr>
          <w:rFonts w:ascii="Times New Roman" w:hAnsi="Times New Roman"/>
          <w:b w:val="0"/>
          <w:i/>
          <w:color w:val="000000"/>
          <w:sz w:val="24"/>
          <w:lang w:val="es-ES"/>
        </w:rPr>
        <w:t>GPT-4 technical report</w:t>
      </w:r>
      <w:r>
        <w:rPr>
          <w:rFonts w:ascii="Times New Roman" w:hAnsi="Times New Roman"/>
          <w:b w:val="0"/>
          <w:i w:val="0"/>
          <w:color w:val="000000"/>
          <w:sz w:val="24"/>
          <w:lang w:val="es-ES"/>
        </w:rPr>
        <w:t xml:space="preserve">. [Informe]. arXiv. </w:t>
      </w:r>
      <w:hyperlink r:id="rId31">
        <w:r>
          <w:rPr>
            <w:rFonts w:ascii="Times New Roman" w:hAnsi="Times New Roman"/>
            <w:b w:val="0"/>
            <w:i w:val="0"/>
            <w:color w:val="000000"/>
            <w:sz w:val="24"/>
            <w:lang w:val="es-ES"/>
          </w:rPr>
          <w:t>https://doi.org/10.48550/arXiv.2303.08774</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Pérez, G., Mostaccio, C. A., Maltempo, G., &amp; Antonelli, L. (2025). </w:t>
      </w:r>
      <w:r>
        <w:rPr>
          <w:rFonts w:ascii="Times New Roman" w:hAnsi="Times New Roman"/>
          <w:b w:val="0"/>
          <w:i/>
          <w:color w:val="000000"/>
          <w:sz w:val="24"/>
          <w:lang w:val="es-ES"/>
        </w:rPr>
        <w:t>Evaluation of natural language processing models to measure similarity between scenarios written in Spanish</w:t>
      </w:r>
      <w:r>
        <w:rPr>
          <w:rFonts w:ascii="Times New Roman" w:hAnsi="Times New Roman"/>
          <w:b w:val="0"/>
          <w:i w:val="0"/>
          <w:color w:val="000000"/>
          <w:sz w:val="24"/>
          <w:lang w:val="es-ES"/>
        </w:rPr>
        <w:t xml:space="preserve">. </w:t>
      </w:r>
      <w:r>
        <w:rPr>
          <w:rFonts w:ascii="Times New Roman" w:hAnsi="Times New Roman"/>
          <w:b w:val="0"/>
          <w:i/>
          <w:color w:val="000000"/>
          <w:sz w:val="24"/>
          <w:lang w:val="es-ES"/>
        </w:rPr>
        <w:t>Cadernos do IME - Série Informática, 50</w:t>
      </w:r>
      <w:r>
        <w:rPr>
          <w:rFonts w:ascii="Times New Roman" w:hAnsi="Times New Roman"/>
          <w:b w:val="0"/>
          <w:i w:val="0"/>
          <w:color w:val="000000"/>
          <w:sz w:val="24"/>
          <w:lang w:val="es-ES"/>
        </w:rPr>
        <w:t xml:space="preserve">. </w:t>
      </w:r>
      <w:hyperlink r:id="rId32">
        <w:r>
          <w:rPr>
            <w:rFonts w:ascii="Times New Roman" w:hAnsi="Times New Roman"/>
            <w:b w:val="0"/>
            <w:i w:val="0"/>
            <w:color w:val="000000"/>
            <w:sz w:val="24"/>
            <w:lang w:val="es-ES"/>
          </w:rPr>
          <w:t>https://doi.org/10.12957/cadinf.2024.87935</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Petersen, K., Feldt, R., Mujtaba, S., &amp; Mattsson, M. (2008). </w:t>
      </w:r>
      <w:r>
        <w:rPr>
          <w:rFonts w:ascii="Times New Roman" w:hAnsi="Times New Roman"/>
          <w:b w:val="0"/>
          <w:i/>
          <w:color w:val="000000"/>
          <w:sz w:val="24"/>
          <w:lang w:val="es-ES"/>
        </w:rPr>
        <w:t xml:space="preserve">Systematic mapping studies in </w:t>
      </w:r>
      <w:r>
        <w:rPr>
          <w:rFonts w:ascii="Times New Roman" w:hAnsi="Times New Roman"/>
          <w:b w:val="0"/>
          <w:i/>
          <w:color w:val="000000"/>
          <w:sz w:val="24"/>
          <w:lang w:val="es-ES"/>
        </w:rPr>
        <w:t>software</w:t>
      </w:r>
      <w:r>
        <w:rPr>
          <w:rFonts w:ascii="Times New Roman" w:hAnsi="Times New Roman"/>
          <w:b w:val="0"/>
          <w:i/>
          <w:color w:val="000000"/>
          <w:sz w:val="24"/>
          <w:lang w:val="es-ES"/>
        </w:rPr>
        <w:t xml:space="preserve"> engineering</w:t>
      </w:r>
      <w:r>
        <w:rPr>
          <w:rFonts w:ascii="Times New Roman" w:hAnsi="Times New Roman"/>
          <w:b w:val="0"/>
          <w:i w:val="0"/>
          <w:color w:val="000000"/>
          <w:sz w:val="24"/>
          <w:lang w:val="es-ES"/>
        </w:rPr>
        <w:t xml:space="preserve">. En </w:t>
      </w:r>
      <w:r>
        <w:rPr>
          <w:rFonts w:ascii="Times New Roman" w:hAnsi="Times New Roman"/>
          <w:b w:val="0"/>
          <w:i/>
          <w:color w:val="000000"/>
          <w:sz w:val="24"/>
          <w:lang w:val="es-ES"/>
        </w:rPr>
        <w:t xml:space="preserve">Proceedings of the 12th International Conference on Evaluation and Assessment in </w:t>
      </w:r>
      <w:r>
        <w:rPr>
          <w:rFonts w:ascii="Times New Roman" w:hAnsi="Times New Roman"/>
          <w:b w:val="0"/>
          <w:i/>
          <w:color w:val="000000"/>
          <w:sz w:val="24"/>
          <w:lang w:val="es-ES"/>
        </w:rPr>
        <w:t>Software</w:t>
      </w:r>
      <w:r>
        <w:rPr>
          <w:rFonts w:ascii="Times New Roman" w:hAnsi="Times New Roman"/>
          <w:b w:val="0"/>
          <w:i/>
          <w:color w:val="000000"/>
          <w:sz w:val="24"/>
          <w:lang w:val="es-ES"/>
        </w:rPr>
        <w:t xml:space="preserve"> Engineering</w:t>
      </w:r>
      <w:r>
        <w:rPr>
          <w:rFonts w:ascii="Times New Roman" w:hAnsi="Times New Roman"/>
          <w:b w:val="0"/>
          <w:i w:val="0"/>
          <w:color w:val="000000"/>
          <w:sz w:val="24"/>
          <w:lang w:val="es-ES"/>
        </w:rPr>
        <w:t xml:space="preserve"> (pp. 68-77). BCS Learning &amp; Development. </w:t>
      </w:r>
      <w:hyperlink r:id="rId33">
        <w:r>
          <w:rPr>
            <w:rFonts w:ascii="Times New Roman" w:hAnsi="Times New Roman"/>
            <w:b w:val="0"/>
            <w:i w:val="0"/>
            <w:color w:val="000000"/>
            <w:sz w:val="24"/>
            <w:lang w:val="es-ES"/>
          </w:rPr>
          <w:t>https://doi.org/10.14236/ewic/EASE2008.8</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Petersen, K., Vakkalanka, S., &amp; Kuzniarz, L. (2015). </w:t>
      </w:r>
      <w:r>
        <w:rPr>
          <w:rFonts w:ascii="Times New Roman" w:hAnsi="Times New Roman"/>
          <w:b w:val="0"/>
          <w:i/>
          <w:color w:val="000000"/>
          <w:sz w:val="24"/>
          <w:lang w:val="es-ES"/>
        </w:rPr>
        <w:t xml:space="preserve">Guidelines for conducting systematic mapping studies in </w:t>
      </w:r>
      <w:r>
        <w:rPr>
          <w:rFonts w:ascii="Times New Roman" w:hAnsi="Times New Roman"/>
          <w:b w:val="0"/>
          <w:i/>
          <w:color w:val="000000"/>
          <w:sz w:val="24"/>
          <w:lang w:val="es-ES"/>
        </w:rPr>
        <w:t>software</w:t>
      </w:r>
      <w:r>
        <w:rPr>
          <w:rFonts w:ascii="Times New Roman" w:hAnsi="Times New Roman"/>
          <w:b w:val="0"/>
          <w:i/>
          <w:color w:val="000000"/>
          <w:sz w:val="24"/>
          <w:lang w:val="es-ES"/>
        </w:rPr>
        <w:t xml:space="preserve"> engineering: An update</w:t>
      </w:r>
      <w:r>
        <w:rPr>
          <w:rFonts w:ascii="Times New Roman" w:hAnsi="Times New Roman"/>
          <w:b w:val="0"/>
          <w:i w:val="0"/>
          <w:color w:val="000000"/>
          <w:sz w:val="24"/>
          <w:lang w:val="es-ES"/>
        </w:rPr>
        <w:t xml:space="preserve">. </w:t>
      </w:r>
      <w:r>
        <w:rPr>
          <w:rFonts w:ascii="Times New Roman" w:hAnsi="Times New Roman"/>
          <w:b w:val="0"/>
          <w:i/>
          <w:color w:val="000000"/>
          <w:sz w:val="24"/>
          <w:lang w:val="es-ES"/>
        </w:rPr>
        <w:t xml:space="preserve">Information and </w:t>
      </w:r>
      <w:r>
        <w:rPr>
          <w:rFonts w:ascii="Times New Roman" w:hAnsi="Times New Roman"/>
          <w:b w:val="0"/>
          <w:i/>
          <w:color w:val="000000"/>
          <w:sz w:val="24"/>
          <w:lang w:val="es-ES"/>
        </w:rPr>
        <w:t>Software</w:t>
      </w:r>
      <w:r>
        <w:rPr>
          <w:rFonts w:ascii="Times New Roman" w:hAnsi="Times New Roman"/>
          <w:b w:val="0"/>
          <w:i/>
          <w:color w:val="000000"/>
          <w:sz w:val="24"/>
          <w:lang w:val="es-ES"/>
        </w:rPr>
        <w:t xml:space="preserve"> Technology, 64</w:t>
      </w:r>
      <w:r>
        <w:rPr>
          <w:rFonts w:ascii="Times New Roman" w:hAnsi="Times New Roman"/>
          <w:b w:val="0"/>
          <w:i w:val="0"/>
          <w:color w:val="000000"/>
          <w:sz w:val="24"/>
          <w:lang w:val="es-ES"/>
        </w:rPr>
        <w:t xml:space="preserve">, 1-18. </w:t>
      </w:r>
      <w:hyperlink r:id="rId34">
        <w:r>
          <w:rPr>
            <w:rFonts w:ascii="Times New Roman" w:hAnsi="Times New Roman"/>
            <w:b w:val="0"/>
            <w:i w:val="0"/>
            <w:color w:val="000000"/>
            <w:sz w:val="24"/>
            <w:lang w:val="es-ES"/>
          </w:rPr>
          <w:t>https://doi.org/10.1016/j.infsof.2015.03.007</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Priem, J., Piwowar, H., &amp; Orr, R. (2022). </w:t>
      </w:r>
      <w:r>
        <w:rPr>
          <w:rFonts w:ascii="Times New Roman" w:hAnsi="Times New Roman"/>
          <w:b w:val="0"/>
          <w:i/>
          <w:color w:val="000000"/>
          <w:sz w:val="24"/>
          <w:lang w:val="es-ES"/>
        </w:rPr>
        <w:t>OpenAlex: A fully-open index of scholarly works, authors, venues, institutions, and concepts</w:t>
      </w:r>
      <w:r>
        <w:rPr>
          <w:rFonts w:ascii="Times New Roman" w:hAnsi="Times New Roman"/>
          <w:b w:val="0"/>
          <w:i w:val="0"/>
          <w:color w:val="000000"/>
          <w:sz w:val="24"/>
          <w:lang w:val="es-ES"/>
        </w:rPr>
        <w:t xml:space="preserve">. En </w:t>
      </w:r>
      <w:r>
        <w:rPr>
          <w:rFonts w:ascii="Times New Roman" w:hAnsi="Times New Roman"/>
          <w:b w:val="0"/>
          <w:i/>
          <w:color w:val="000000"/>
          <w:sz w:val="24"/>
          <w:lang w:val="es-ES"/>
        </w:rPr>
        <w:t>26th International Conference on Science, Technology and Innovation Indicators (STI 2022)</w:t>
      </w:r>
      <w:r>
        <w:rPr>
          <w:rFonts w:ascii="Times New Roman" w:hAnsi="Times New Roman"/>
          <w:b w:val="0"/>
          <w:i w:val="0"/>
          <w:color w:val="000000"/>
          <w:sz w:val="24"/>
          <w:lang w:val="es-ES"/>
        </w:rPr>
        <w:t xml:space="preserve">. </w:t>
      </w:r>
      <w:hyperlink r:id="rId35">
        <w:r>
          <w:rPr>
            <w:rFonts w:ascii="Times New Roman" w:hAnsi="Times New Roman"/>
            <w:b w:val="0"/>
            <w:i w:val="0"/>
            <w:color w:val="000000"/>
            <w:sz w:val="24"/>
            <w:lang w:val="es-ES"/>
          </w:rPr>
          <w:t>https://doi.org/10.5281/zenodo.6936227</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Reimers, N., &amp; Gurevych, I. (2020). </w:t>
      </w:r>
      <w:r>
        <w:rPr>
          <w:rFonts w:ascii="Times New Roman" w:hAnsi="Times New Roman"/>
          <w:b w:val="0"/>
          <w:i/>
          <w:color w:val="000000"/>
          <w:sz w:val="24"/>
          <w:lang w:val="es-ES"/>
        </w:rPr>
        <w:t>Making monolingual sentence embeddings multilingual using knowledge distillation</w:t>
      </w:r>
      <w:r>
        <w:rPr>
          <w:rFonts w:ascii="Times New Roman" w:hAnsi="Times New Roman"/>
          <w:b w:val="0"/>
          <w:i w:val="0"/>
          <w:color w:val="000000"/>
          <w:sz w:val="24"/>
          <w:lang w:val="es-ES"/>
        </w:rPr>
        <w:t xml:space="preserve">. En </w:t>
      </w:r>
      <w:r>
        <w:rPr>
          <w:rFonts w:ascii="Times New Roman" w:hAnsi="Times New Roman"/>
          <w:b w:val="0"/>
          <w:i/>
          <w:color w:val="000000"/>
          <w:sz w:val="24"/>
          <w:lang w:val="es-ES"/>
        </w:rPr>
        <w:t>Proceedings of the 2020 Conference on Empirical Methods in Natural Language Processing (EMNLP)</w:t>
      </w:r>
      <w:r>
        <w:rPr>
          <w:rFonts w:ascii="Times New Roman" w:hAnsi="Times New Roman"/>
          <w:b w:val="0"/>
          <w:i w:val="0"/>
          <w:color w:val="000000"/>
          <w:sz w:val="24"/>
          <w:lang w:val="es-ES"/>
        </w:rPr>
        <w:t xml:space="preserve"> (pp. 4512-4525). Association for Computational Linguistics. </w:t>
      </w:r>
      <w:hyperlink r:id="rId36">
        <w:r>
          <w:rPr>
            <w:rFonts w:ascii="Times New Roman" w:hAnsi="Times New Roman"/>
            <w:b w:val="0"/>
            <w:i w:val="0"/>
            <w:color w:val="000000"/>
            <w:sz w:val="24"/>
            <w:lang w:val="es-ES"/>
          </w:rPr>
          <w:t>https://doi.org/10.18653/v1/2020.emnlp-main.365</w:t>
        </w:r>
      </w:hyperlink>
    </w:p>
    <w:p>
      <w:pPr>
        <w:keepLines/>
        <w:widowControl/>
        <w:spacing w:before="0" w:after="0" w:line="480" w:lineRule="auto"/>
        <w:ind w:left="720" w:right="0" w:hanging="720"/>
        <w:jc w:val="left"/>
      </w:pPr>
      <w:r>
        <w:rPr>
          <w:rFonts w:ascii="Times New Roman" w:hAnsi="Times New Roman"/>
          <w:b w:val="0"/>
          <w:i w:val="0"/>
          <w:color w:val="000000"/>
          <w:sz w:val="24"/>
          <w:lang w:val="es-ES"/>
        </w:rPr>
        <w:t xml:space="preserve">Zhao, L., Alhoshan, W., Ferrari, A., Letsholo, K. J., Ajagbe, M. A., Chioasca, E.-V., &amp; Batista-Navarro, R. T. (2021). </w:t>
      </w:r>
      <w:r>
        <w:rPr>
          <w:rFonts w:ascii="Times New Roman" w:hAnsi="Times New Roman"/>
          <w:b w:val="0"/>
          <w:i/>
          <w:color w:val="000000"/>
          <w:sz w:val="24"/>
          <w:lang w:val="es-ES"/>
        </w:rPr>
        <w:t>Natural language processing for requirements engineering: A systematic mapping study</w:t>
      </w:r>
      <w:r>
        <w:rPr>
          <w:rFonts w:ascii="Times New Roman" w:hAnsi="Times New Roman"/>
          <w:b w:val="0"/>
          <w:i w:val="0"/>
          <w:color w:val="000000"/>
          <w:sz w:val="24"/>
          <w:lang w:val="es-ES"/>
        </w:rPr>
        <w:t xml:space="preserve">. </w:t>
      </w:r>
      <w:r>
        <w:rPr>
          <w:rFonts w:ascii="Times New Roman" w:hAnsi="Times New Roman"/>
          <w:b w:val="0"/>
          <w:i/>
          <w:color w:val="000000"/>
          <w:sz w:val="24"/>
          <w:lang w:val="es-ES"/>
        </w:rPr>
        <w:t>ACM Computing Surveys, 54</w:t>
      </w:r>
      <w:r>
        <w:rPr>
          <w:rFonts w:ascii="Times New Roman" w:hAnsi="Times New Roman"/>
          <w:b w:val="0"/>
          <w:i w:val="0"/>
          <w:color w:val="000000"/>
          <w:sz w:val="24"/>
          <w:lang w:val="es-ES"/>
        </w:rPr>
        <w:t xml:space="preserve">(3), Artículo 55. </w:t>
      </w:r>
      <w:hyperlink r:id="rId37">
        <w:r>
          <w:rPr>
            <w:rFonts w:ascii="Times New Roman" w:hAnsi="Times New Roman"/>
            <w:b w:val="0"/>
            <w:i w:val="0"/>
            <w:color w:val="000000"/>
            <w:sz w:val="24"/>
            <w:lang w:val="es-ES"/>
          </w:rPr>
          <w:t>https://doi.org/10.1145/3444689</w:t>
        </w:r>
      </w:hyperlink>
    </w:p>
    <w:sectPr w:rsidR="009651C1" w:rsidRPr="00EB0CD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92875">
    <w:abstractNumId w:val="8"/>
  </w:num>
  <w:num w:numId="2" w16cid:durableId="1768428100">
    <w:abstractNumId w:val="6"/>
  </w:num>
  <w:num w:numId="3" w16cid:durableId="495078443">
    <w:abstractNumId w:val="5"/>
  </w:num>
  <w:num w:numId="4" w16cid:durableId="668867727">
    <w:abstractNumId w:val="4"/>
  </w:num>
  <w:num w:numId="5" w16cid:durableId="1582519793">
    <w:abstractNumId w:val="7"/>
  </w:num>
  <w:num w:numId="6" w16cid:durableId="1431466852">
    <w:abstractNumId w:val="3"/>
  </w:num>
  <w:num w:numId="7" w16cid:durableId="1282802478">
    <w:abstractNumId w:val="2"/>
  </w:num>
  <w:num w:numId="8" w16cid:durableId="162287394">
    <w:abstractNumId w:val="1"/>
  </w:num>
  <w:num w:numId="9" w16cid:durableId="11677506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166"/>
    <w:rsid w:val="0029639D"/>
    <w:rsid w:val="00326F90"/>
    <w:rsid w:val="003911C4"/>
    <w:rsid w:val="00522741"/>
    <w:rsid w:val="00533843"/>
    <w:rsid w:val="006B7ACA"/>
    <w:rsid w:val="007A35BD"/>
    <w:rsid w:val="009651C1"/>
    <w:rsid w:val="00972F6E"/>
    <w:rsid w:val="00AA1D8D"/>
    <w:rsid w:val="00B47730"/>
    <w:rsid w:val="00C8037C"/>
    <w:rsid w:val="00CB0664"/>
    <w:rsid w:val="00D21146"/>
    <w:rsid w:val="00DA12EE"/>
    <w:rsid w:val="00DF463A"/>
    <w:rsid w:val="00E7649A"/>
    <w:rsid w:val="00EB0CD9"/>
    <w:rsid w:val="00EE2A92"/>
    <w:rsid w:val="00F75080"/>
    <w:rsid w:val="00FC693F"/>
    <w:rsid w:val="00FD0A34"/>
    <w:rsid w:val="00FE23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05F9C"/>
  <w14:defaultImageDpi w14:val="300"/>
  <w15:docId w15:val="{0C87A05C-59AE-FC4C-8B22-3B8507DF68C6}"/>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27116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27116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99"/>
    <w:rsid w:val="002711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4"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s://doi.org/10.3115/980845.980860" TargetMode="External"/><Relationship Id="rId15" Type="http://schemas.openxmlformats.org/officeDocument/2006/relationships/hyperlink" Target="https://doi.org/10.1162/tacl_a_00051" TargetMode="External"/><Relationship Id="rId16" Type="http://schemas.openxmlformats.org/officeDocument/2006/relationships/hyperlink" Target="https://doi.org/10.48550/arXiv.2308.02976" TargetMode="External"/><Relationship Id="rId17" Type="http://schemas.openxmlformats.org/officeDocument/2006/relationships/hyperlink" Target="https://crscardellino.net/SBWCE/" TargetMode="External"/><Relationship Id="rId18" Type="http://schemas.openxmlformats.org/officeDocument/2006/relationships/hyperlink" Target="https://doi.org/10.1177/001316446002000104" TargetMode="External"/><Relationship Id="rId19" Type="http://schemas.openxmlformats.org/officeDocument/2006/relationships/hyperlink" Target="https://doi.org/10.18653/v1/N19-1423" TargetMode="External"/><Relationship Id="rId20" Type="http://schemas.openxmlformats.org/officeDocument/2006/relationships/hyperlink" Target="https://doi.org/10.1016/0895-4356(90)90158-L" TargetMode="External"/><Relationship Id="rId21" Type="http://schemas.openxmlformats.org/officeDocument/2006/relationships/hyperlink" Target="https://journal.sepln.org/sepln/ojs/ojs/index.php/pln/article/view/6405" TargetMode="External"/><Relationship Id="rId22" Type="http://schemas.openxmlformats.org/officeDocument/2006/relationships/hyperlink" Target="https://revistavirtual.ucn.edu.co/index.php/RevistaUCN/article/view/707" TargetMode="External"/><Relationship Id="rId23" Type="http://schemas.openxmlformats.org/officeDocument/2006/relationships/hyperlink" Target="https://doi.org/10.52591/lxai202312103" TargetMode="External"/><Relationship Id="rId24" Type="http://schemas.openxmlformats.org/officeDocument/2006/relationships/hyperlink" Target="https://doi.org/10.1007/978-3-031-29786-1_11" TargetMode="External"/><Relationship Id="rId25" Type="http://schemas.openxmlformats.org/officeDocument/2006/relationships/hyperlink" Target="https://doi.org/10.1145/3555776.3578611" TargetMode="External"/><Relationship Id="rId26" Type="http://schemas.openxmlformats.org/officeDocument/2006/relationships/hyperlink" Target="https://doi.org/10.29007/b8sk" TargetMode="External"/><Relationship Id="rId27" Type="http://schemas.openxmlformats.org/officeDocument/2006/relationships/hyperlink" Target="https://doi.org/10.1145/3672608.3707758" TargetMode="External"/><Relationship Id="rId28" Type="http://schemas.openxmlformats.org/officeDocument/2006/relationships/hyperlink" Target="https://doi.org/10.1016/j.jss.2026.112858" TargetMode="External"/><Relationship Id="rId29" Type="http://schemas.openxmlformats.org/officeDocument/2006/relationships/hyperlink" Target="https://doi.org/10.1007/s10664-025-10736-9" TargetMode="External"/><Relationship Id="rId30" Type="http://schemas.openxmlformats.org/officeDocument/2006/relationships/hyperlink" Target="https://doi.org/10.1145/219717.219748" TargetMode="External"/><Relationship Id="rId31" Type="http://schemas.openxmlformats.org/officeDocument/2006/relationships/hyperlink" Target="https://doi.org/10.48550/arXiv.2303.08774" TargetMode="External"/><Relationship Id="rId32" Type="http://schemas.openxmlformats.org/officeDocument/2006/relationships/hyperlink" Target="https://doi.org/10.12957/cadinf.2024.87935" TargetMode="External"/><Relationship Id="rId33" Type="http://schemas.openxmlformats.org/officeDocument/2006/relationships/hyperlink" Target="https://doi.org/10.14236/ewic/EASE2008.8" TargetMode="External"/><Relationship Id="rId34" Type="http://schemas.openxmlformats.org/officeDocument/2006/relationships/hyperlink" Target="https://doi.org/10.1016/j.infsof.2015.03.007" TargetMode="External"/><Relationship Id="rId35" Type="http://schemas.openxmlformats.org/officeDocument/2006/relationships/hyperlink" Target="https://doi.org/10.5281/zenodo.6936227" TargetMode="External"/><Relationship Id="rId36" Type="http://schemas.openxmlformats.org/officeDocument/2006/relationships/hyperlink" Target="https://doi.org/10.18653/v1/2020.emnlp-main.365" TargetMode="External"/><Relationship Id="rId37" Type="http://schemas.openxmlformats.org/officeDocument/2006/relationships/hyperlink" Target="https://doi.org/10.1145/3444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XSL" StyleName="APA" Version="6">
  <b:Source>
    <b:Tag>Bak98</b:Tag>
    <b:SourceType>ConferenceProceedings</b:SourceType>
    <b:Guid>{7E42D9B1-3A6F-4C28-9D15-B2E8C4F0A001}</b:Guid>
    <b:Author>
      <b:Author>
        <b:NameList>
          <b:Person>
            <b:Last>Baker</b:Last>
            <b:First>C. F.</b:First>
          </b:Person>
          <b:Person>
            <b:Last>Fillmore</b:Last>
            <b:First>C. J.</b:First>
          </b:Person>
          <b:Person>
            <b:Last>Lowe</b:Last>
            <b:First>J. B.</b:First>
          </b:Person>
        </b:NameList>
      </b:Author>
    </b:Author>
    <b:Title>The Berkeley FrameNet project</b:Title>
    <b:Year>1998</b:Year>
    <b:ConferenceName>Proceedings of the 36th Annual Meeting of the Association for Computational Linguistics and 17th International Conference on Computational Linguistics</b:ConferenceName>
    <b:Publisher>Association for Computational Linguistics</b:Publisher>
    <b:Pages>86-90</b:Pages>
    <b:URL>https://doi.org/10.3115/980845.980860</b:URL>
  </b:Source>
  <b:Source>
    <b:Tag>Boj17</b:Tag>
    <b:SourceType>JournalArticle</b:SourceType>
    <b:Guid>{7E42D9B1-3A6F-4C28-9D15-B2E8C4F0A002}</b:Guid>
    <b:Author>
      <b:Author>
        <b:NameList>
          <b:Person>
            <b:Last>Bojanowski</b:Last>
            <b:First>P.</b:First>
          </b:Person>
          <b:Person>
            <b:Last>Grave</b:Last>
            <b:First>E.</b:First>
          </b:Person>
          <b:Person>
            <b:Last>Joulin</b:Last>
            <b:First>A.</b:First>
          </b:Person>
          <b:Person>
            <b:Last>Mikolov</b:Last>
            <b:First>T.</b:First>
          </b:Person>
        </b:NameList>
      </b:Author>
    </b:Author>
    <b:Title>Enriching word vectors with subword information</b:Title>
    <b:Year>2017</b:Year>
    <b:JournalName>Transactions of the Association for Computational Linguistics</b:JournalName>
    <b:Volume>5</b:Volume>
    <b:Pages>135-146</b:Pages>
    <b:URL>https://doi.org/10.1162/tacl_a_00051</b:URL>
  </b:Source>
  <b:Source>
    <b:Tag>Can23</b:Tag>
    <b:SourceType>Report</b:SourceType>
    <b:Guid>{7E42D9B1-3A6F-4C28-9D15-B2E8C4F0A003}</b:Guid>
    <b:Author>
      <b:Author>
        <b:NameList>
          <b:Person>
            <b:Last>Cañete</b:Last>
            <b:First>J.</b:First>
          </b:Person>
          <b:Person>
            <b:Last>Chaperon</b:Last>
            <b:First>G.</b:First>
          </b:Person>
          <b:Person>
            <b:Last>Fuentes</b:Last>
            <b:First>R.</b:First>
          </b:Person>
          <b:Person>
            <b:Last>Ho</b:Last>
            <b:First>J.-H.</b:First>
          </b:Person>
          <b:Person>
            <b:Last>Kang</b:Last>
            <b:First>H.</b:First>
          </b:Person>
          <b:Person>
            <b:Last>Pérez</b:Last>
            <b:First>J.</b:First>
          </b:Person>
        </b:NameList>
      </b:Author>
    </b:Author>
    <b:Title>Spanish pre-trained BERT model and evaluation data</b:Title>
    <b:Year>2023</b:Year>
    <b:URL>https://doi.org/10.48550/arXiv.2308.02976</b:URL>
    <b:Publisher>arXiv</b:Publisher>
    <b:Comments>Versión arXiv de 2023; trabajo presentado originalmente en ICLR 2020.</b:Comments>
  </b:Source>
  <b:Source>
    <b:Tag>Car16</b:Tag>
    <b:SourceType>ElectronicSource</b:SourceType>
    <b:Guid>{2CC2D4D2-C908-4F9F-A50A-31F1464F1636}</b:Guid>
    <b:Author>
      <b:Author>
        <b:NameList>
          <b:Person>
            <b:Last>Cardellino</b:Last>
            <b:First>C.</b:First>
          </b:Person>
        </b:NameList>
      </b:Author>
    </b:Author>
    <b:Title>Spanish Billion Words Corpus and Embeddings</b:Title>
    <b:Year>2016</b:Year>
    <b:URL>https://crscardellino.net/SBWCE/</b:URL>
    <b:Comments>Corpus y representaciones vectoriales</b:Comments>
  </b:Source>
  <b:Source>
    <b:Tag>Coh60</b:Tag>
    <b:SourceType>JournalArticle</b:SourceType>
    <b:Guid>{7E42D9B1-3A6F-4C28-9D15-B2E8C4F0A004}</b:Guid>
    <b:Author>
      <b:Author>
        <b:NameList>
          <b:Person>
            <b:Last>Cohen</b:Last>
            <b:First>J.</b:First>
          </b:Person>
        </b:NameList>
      </b:Author>
    </b:Author>
    <b:Title>A coefficient of agreement for nominal scales</b:Title>
    <b:Year>1960</b:Year>
    <b:JournalName>Educational and Psychological Measurement</b:JournalName>
    <b:Volume>20</b:Volume>
    <b:Issue>1</b:Issue>
    <b:Pages>37-46</b:Pages>
    <b:URL>https://doi.org/10.1177/001316446002000104</b:URL>
  </b:Source>
  <b:Source>
    <b:Tag>Dev19</b:Tag>
    <b:SourceType>ConferenceProceedings</b:SourceType>
    <b:Guid>{7E42D9B1-3A6F-4C28-9D15-B2E8C4F0A005}</b:Guid>
    <b:Author>
      <b:Author>
        <b:NameList>
          <b:Person>
            <b:Last>Devlin</b:Last>
            <b:First>J.</b:First>
          </b:Person>
          <b:Person>
            <b:Last>Chang</b:Last>
            <b:First>M.-W.</b:First>
          </b:Person>
          <b:Person>
            <b:Last>Lee</b:Last>
            <b:First>K.</b:First>
          </b:Person>
          <b:Person>
            <b:Last>Toutanova</b:Last>
            <b:First>K.</b:First>
          </b:Person>
        </b:NameList>
      </b:Author>
    </b:Author>
    <b:Title>BERT: Pre-training of deep bidirectional transformers for language understanding</b:Title>
    <b:Year>2019</b:Year>
    <b:ConferenceName>Proceedings of the 2019 Conference of the North American Chapter of the Association for Computational Linguistics: Human Language Technologies, Volume 1 (Long and Short Papers)</b:ConferenceName>
    <b:Publisher>Association for Computational Linguistics</b:Publisher>
    <b:Pages>4171-4186</b:Pages>
    <b:URL>https://doi.org/10.18653/v1/N19-1423</b:URL>
  </b:Source>
  <b:Source>
    <b:Tag>Fei90</b:Tag>
    <b:SourceType>JournalArticle</b:SourceType>
    <b:Guid>{7E42D9B1-3A6F-4C28-9D15-B2E8C4F0A006}</b:Guid>
    <b:Author>
      <b:Author>
        <b:NameList>
          <b:Person>
            <b:Last>Feinstein</b:Last>
            <b:First>A. R.</b:First>
          </b:Person>
          <b:Person>
            <b:Last>Cicchetti</b:Last>
            <b:First>D. V.</b:First>
          </b:Person>
        </b:NameList>
      </b:Author>
    </b:Author>
    <b:Title>High agreement but low kappa: I. The problems of two paradoxes</b:Title>
    <b:Year>1990</b:Year>
    <b:JournalName>Journal of Clinical Epidemiology</b:JournalName>
    <b:Volume>43</b:Volume>
    <b:Issue>6</b:Issue>
    <b:Pages>543-549</b:Pages>
    <b:URL>https://doi.org/10.1016/0895-4356(90)90158-L</b:URL>
  </b:Source>
  <b:Source>
    <b:Tag>Gut22</b:Tag>
    <b:SourceType>JournalArticle</b:SourceType>
    <b:Guid>{7E42D9B1-3A6F-4C28-9D15-B2E8C4F0A007}</b:Guid>
    <b:Author>
      <b:Author>
        <b:NameList>
          <b:Person>
            <b:Last>Gutiérrez-Fandiño</b:Last>
            <b:First>A.</b:First>
          </b:Person>
          <b:Person>
            <b:Last>Armengol-Estapé</b:Last>
            <b:First>J.</b:First>
          </b:Person>
          <b:Person>
            <b:Last>Pàmies</b:Last>
            <b:First>M.</b:First>
          </b:Person>
          <b:Person>
            <b:Last>Llop-Palao</b:Last>
            <b:First>J.</b:First>
          </b:Person>
          <b:Person>
            <b:Last>Silveira-Ocampo</b:Last>
            <b:First>J.</b:First>
          </b:Person>
          <b:Person>
            <b:Last>Carrino</b:Last>
            <b:First>C. P.</b:First>
          </b:Person>
          <b:Person>
            <b:Last>Armentano-Oller</b:Last>
            <b:First>C.</b:First>
          </b:Person>
          <b:Person>
            <b:Last>Rodríguez-Penagos</b:Last>
            <b:First>C.</b:First>
          </b:Person>
          <b:Person>
            <b:Last>Gonzalez-Agirre</b:Last>
            <b:First>A.</b:First>
          </b:Person>
          <b:Person>
            <b:Last>Villegas</b:Last>
            <b:First>M.</b:First>
          </b:Person>
        </b:NameList>
      </b:Author>
    </b:Author>
    <b:Title>MarIA: Spanish language models</b:Title>
    <b:Year>2022</b:Year>
    <b:JournalName>Procesamiento del Lenguaje Natural</b:JournalName>
    <b:Volume>68</b:Volume>
    <b:Pages>39-60</b:Pages>
    <b:URL>https://journal.sepln.org/sepln/ojs/ojs/index.php/pln/article/view/6405</b:URL>
  </b:Source>
  <b:Source>
    <b:Tag>Guz15</b:Tag>
    <b:SourceType>JournalArticle</b:SourceType>
    <b:Guid>{F494F2B4-F0C5-4568-8EB5-7230745CD423}</b:Guid>
    <b:Author>
      <b:Author>
        <b:NameList>
          <b:Person>
            <b:Last>Guzmán Luna</b:Last>
            <b:First>J. A.</b:First>
          </b:Person>
          <b:Person>
            <b:Last>Gómez Arias</b:Last>
            <b:First>S. A.</b:First>
          </b:Person>
          <b:Person>
            <b:Last>Vélez Carvajal</b:Last>
            <b:First>C. A.</b:First>
          </b:Person>
        </b:NameList>
      </b:Author>
    </b:Author>
    <b:Title>Un modelo de procesamiento de lenguaje natural para la detección de errores en requisitos de software</b:Title>
    <b:Year>2015</b:Year>
    <b:JournalName>Revista Virtual Universidad Católica del Norte</b:JournalName>
    <b:Issue>46</b:Issue>
    <b:Pages>169-186</b:Pages>
    <b:URL>https://revistavirtual.ucn.edu.co/index.php/RevistaUCN/article/view/707</b:URL>
  </b:Source>
  <b:Source>
    <b:Tag>Lim23a</b:Tag>
    <b:SourceType>ConferenceProceedings</b:SourceType>
    <b:Guid>{7E42D9B1-3A6F-4C28-9D15-B2E8C4F0A010}</b:Guid>
    <b:Author>
      <b:Author>
        <b:NameList>
          <b:Person>
            <b:Last>Limaylla-Lunarejo</b:Last>
            <b:First>M. I.</b:First>
          </b:Person>
          <b:Person>
            <b:Last>Condori-Fernandez</b:Last>
            <b:First>N.</b:First>
          </b:Person>
          <b:Person>
            <b:Last>Luaces</b:Last>
            <b:First>M. R.</b:First>
          </b:Person>
        </b:NameList>
      </b:Author>
    </b:Author>
    <b:Title>Evaluating non-functional requirements classification for Spanish text: Traditional vs. deep learning approaches</b:Title>
    <b:Year>2023</b:Year>
    <b:ConferenceName>LatinX in AI Workshop</b:ConferenceName>
    <b:URL>https://doi.org/10.52591/lxai202312103</b:URL>
  </b:Source>
  <b:Source>
    <b:Tag>Lim23b</b:Tag>
    <b:SourceType>ConferenceProceedings</b:SourceType>
    <b:Guid>{7E42D9B1-3A6F-4C28-9D15-B2E8C4F0A011}</b:Guid>
    <b:Author>
      <b:Author>
        <b:NameList>
          <b:Person>
            <b:Last>Limaylla-Lunarejo</b:Last>
            <b:First>M. I.</b:First>
          </b:Person>
          <b:Person>
            <b:Last>Condori-Fernandez</b:Last>
            <b:First>N.</b:First>
          </b:Person>
          <b:Person>
            <b:Last>Luaces</b:Last>
            <b:First>M. R.</b:First>
          </b:Person>
        </b:NameList>
      </b:Author>
    </b:Author>
    <b:Title>Requirements classification using FastText and BETO in Spanish documents</b:Title>
    <b:Year>2023</b:Year>
    <b:ConferenceName>Requirements Engineering: Foundation for Software Quality (REFSQ 2023), Lecture Notes in Computer Science, vol. 13975</b:ConferenceName>
    <b:Publisher>Springer</b:Publisher>
    <b:Pages>159-176</b:Pages>
    <b:URL>https://doi.org/10.1007/978-3-031-29786-1_11</b:URL>
  </b:Source>
  <b:Source>
    <b:Tag>Lim23c</b:Tag>
    <b:SourceType>ConferenceProceedings</b:SourceType>
    <b:Guid>{7E42D9B1-3A6F-4C28-9D15-B2E8C4F0A012}</b:Guid>
    <b:Author>
      <b:Author>
        <b:NameList>
          <b:Person>
            <b:Last>Limaylla-Lunarejo</b:Last>
            <b:First>M. I.</b:First>
          </b:Person>
          <b:Person>
            <b:Last>Condori-Fernandez</b:Last>
            <b:First>N.</b:First>
          </b:Person>
          <b:Person>
            <b:Last>Luaces</b:Last>
            <b:First>M. R.</b:First>
          </b:Person>
        </b:NameList>
      </b:Author>
    </b:Author>
    <b:Title>Towards a FAIR dataset for non-functional requirements</b:Title>
    <b:Year>2023</b:Year>
    <b:ConferenceName>Proceedings of the 38th ACM/SIGAPP Symposium on Applied Computing</b:ConferenceName>
    <b:Publisher>ACM</b:Publisher>
    <b:Pages>1414-1421</b:Pages>
    <b:URL>https://doi.org/10.1145/3555776.3578611</b:URL>
  </b:Source>
  <b:Source>
    <b:Tag>Lim23e</b:Tag>
    <b:SourceType>JournalArticle</b:SourceType>
    <b:Guid>{7E42D9B1-3A6F-4C28-9D15-B2E8C4F0A014}</b:Guid>
    <b:Author>
      <b:Author>
        <b:NameList>
          <b:Person>
            <b:Last>Limaylla-Lunarejo</b:Last>
            <b:First>M. I.</b:First>
          </b:Person>
          <b:Person>
            <b:Last>Condori-Fernandez</b:Last>
            <b:First>N.</b:First>
          </b:Person>
          <b:Person>
            <b:Last>Luaces</b:Last>
            <b:First>M. R.</b:First>
          </b:Person>
        </b:NameList>
      </b:Author>
    </b:Author>
    <b:Title>Towards an automatic classification for Spanish software requirements</b:Title>
    <b:Year>2023</b:Year>
    <b:JournalName>Kalpa Publications in Computing</b:JournalName>
    <b:Volume>14</b:Volume>
    <b:Pages>124-126</b:Pages>
    <b:URL>https://doi.org/10.29007/b8sk</b:URL>
  </b:Source>
  <b:Source>
    <b:Tag>Lim25a</b:Tag>
    <b:SourceType>ConferenceProceedings</b:SourceType>
    <b:Guid>{7E42D9B1-3A6F-4C28-9D15-B2E8C4F0A015}</b:Guid>
    <b:Author>
      <b:Author>
        <b:NameList>
          <b:Person>
            <b:Last>Limaylla-Lunarejo</b:Last>
            <b:First>M. I.</b:First>
          </b:Person>
          <b:Person>
            <b:Last>Condori-Fernandez</b:Last>
            <b:First>N.</b:First>
          </b:Person>
          <b:Person>
            <b:Last>Luaces</b:Last>
            <b:First>M. R.</b:First>
          </b:Person>
        </b:NameList>
      </b:Author>
    </b:Author>
    <b:Title>SimRE: A requirements similarity tool for software product lines</b:Title>
    <b:Year>2025</b:Year>
    <b:ConferenceName>Proceedings of the 40th ACM/SIGAPP Symposium on Applied Computing</b:ConferenceName>
    <b:Publisher>ACM</b:Publisher>
    <b:Pages>1473-1480</b:Pages>
    <b:URL>https://doi.org/10.1145/3672608.3707758</b:URL>
  </b:Source>
  <b:Source>
    <b:Tag>Lim26</b:Tag>
    <b:SourceType>JournalArticle</b:SourceType>
    <b:Guid>{7E42D9B1-3A6F-4C28-9D15-B2E8C4F0A017}</b:Guid>
    <b:Author>
      <b:Author>
        <b:NameList>
          <b:Person>
            <b:Last>Limaylla-Lunarejo</b:Last>
            <b:First>M. I.</b:First>
          </b:Person>
          <b:Person>
            <b:Last>Condori-Fernandez</b:Last>
            <b:First>N.</b:First>
          </b:Person>
          <b:Person>
            <b:Last>Luaces</b:Last>
            <b:First>M. R.</b:First>
          </b:Person>
        </b:NameList>
      </b:Author>
    </b:Author>
    <b:Title>Automatic criteria for prioritizing software requirements in Spanish projects</b:Title>
    <b:Year>2026</b:Year>
    <b:JournalName>Journal of Systems and Software</b:JournalName>
    <b:Volume>238</b:Volume>
    <b:Pages>112858</b:Pages>
    <b:URL>https://doi.org/10.1016/j.jss.2026.112858</b:URL>
  </b:Source>
  <b:Source>
    <b:Tag>Lim25b</b:Tag>
    <b:SourceType>JournalArticle</b:SourceType>
    <b:Guid>{7E42D9B1-3A6F-4C28-9D15-B2E8C4F0A016}</b:Guid>
    <b:Author>
      <b:Author>
        <b:NameList>
          <b:Person>
            <b:Last>Limaylla-Lunarejo</b:Last>
            <b:First>M. I.</b:First>
          </b:Person>
          <b:Person>
            <b:Last>Condori-Fernandez</b:Last>
            <b:First>N.</b:First>
          </b:Person>
          <b:Person>
            <b:Last>Rodríguez Luaces</b:Last>
            <b:First>M.</b:First>
          </b:Person>
          <b:Person>
            <b:Last>Karras</b:Last>
            <b:First>O.</b:First>
          </b:Person>
        </b:NameList>
      </b:Author>
    </b:Author>
    <b:Title>Improving the multi-class classification of non-functional requirements in Spanish: A study of dataset balancing and performance</b:Title>
    <b:Year>2026</b:Year>
    <b:JournalName>Empirical Software Engineering</b:JournalName>
    <b:Volume>31</b:Volume>
    <b:Issue>1</b:Issue>
    <b:URL>https://doi.org/10.1007/s10664-025-10736-9</b:URL>
    <b:Pages>6</b:Pages>
    <b:Comments>Publicado en línea el 2 de noviembre de 2025; volumen 31, artículo 6, 2026.</b:Comments>
  </b:Source>
  <b:Source>
    <b:Tag>Mil95</b:Tag>
    <b:SourceType>JournalArticle</b:SourceType>
    <b:Guid>{7E42D9B1-3A6F-4C28-9D15-B2E8C4F0A020}</b:Guid>
    <b:Author>
      <b:Author>
        <b:NameList>
          <b:Person>
            <b:Last>Miller</b:Last>
            <b:First>G. A.</b:First>
          </b:Person>
        </b:NameList>
      </b:Author>
    </b:Author>
    <b:Title>WordNet: A lexical database for English</b:Title>
    <b:Year>1995</b:Year>
    <b:JournalName>Communications of the ACM</b:JournalName>
    <b:Volume>38</b:Volume>
    <b:Issue>11</b:Issue>
    <b:Pages>39-41</b:Pages>
    <b:URL>https://doi.org/10.1145/219717.219748</b:URL>
  </b:Source>
  <b:Source>
    <b:Tag>Ope23</b:Tag>
    <b:SourceType>Report</b:SourceType>
    <b:Guid>{ADB5AE81-5F30-4109-B620-9E4BA488B893}</b:Guid>
    <b:Author>
      <b:Author>
        <b:Corporate>OpenAI</b:Corporate>
      </b:Author>
    </b:Author>
    <b:Title>GPT-4 technical report</b:Title>
    <b:Year>2023</b:Year>
    <b:Publisher>arXiv</b:Publisher>
    <b:URL>https://doi.org/10.48550/arXiv.2303.08774</b:URL>
  </b:Source>
  <b:Source>
    <b:Tag>Per25</b:Tag>
    <b:SourceType>JournalArticle</b:SourceType>
    <b:Guid>{7E42D9B1-3A6F-4C28-9D15-B2E8C4F0A022}</b:Guid>
    <b:Author>
      <b:Author>
        <b:NameList>
          <b:Person>
            <b:Last>Pérez</b:Last>
            <b:First>G.</b:First>
          </b:Person>
          <b:Person>
            <b:Last>Mostaccio</b:Last>
            <b:First>C. A.</b:First>
          </b:Person>
          <b:Person>
            <b:Last>Maltempo</b:Last>
            <b:First>G.</b:First>
          </b:Person>
          <b:Person>
            <b:Last>Antonelli</b:Last>
            <b:First>L.</b:First>
          </b:Person>
        </b:NameList>
      </b:Author>
    </b:Author>
    <b:Title>Evaluation of natural language processing models to measure similarity between scenarios written in Spanish</b:Title>
    <b:Year>2025</b:Year>
    <b:JournalName>Cadernos do IME - Série Informática</b:JournalName>
    <b:Volume>50</b:Volume>
    <b:URL>https://doi.org/10.12957/cadinf.2024.87935</b:URL>
  </b:Source>
  <b:Source>
    <b:Tag>Pet08</b:Tag>
    <b:SourceType>ConferenceProceedings</b:SourceType>
    <b:Guid>{7E42D9B1-3A6F-4C28-9D15-B2E8C4F0A023}</b:Guid>
    <b:Author>
      <b:Author>
        <b:NameList>
          <b:Person>
            <b:Last>Petersen</b:Last>
            <b:First>K.</b:First>
          </b:Person>
          <b:Person>
            <b:Last>Feldt</b:Last>
            <b:First>R.</b:First>
          </b:Person>
          <b:Person>
            <b:Last>Mujtaba</b:Last>
            <b:First>S.</b:First>
          </b:Person>
          <b:Person>
            <b:Last>Mattsson</b:Last>
            <b:First>M.</b:First>
          </b:Person>
        </b:NameList>
      </b:Author>
    </b:Author>
    <b:Title>Systematic mapping studies in software engineering</b:Title>
    <b:Year>2008</b:Year>
    <b:ConferenceName>Proceedings of the 12th International Conference on Evaluation and Assessment in Software Engineering</b:ConferenceName>
    <b:Publisher>BCS Learning &amp; Development</b:Publisher>
    <b:Pages>68-77</b:Pages>
    <b:URL>https://doi.org/10.14236/ewic/EASE2008.8</b:URL>
  </b:Source>
  <b:Source>
    <b:Tag>Pet15</b:Tag>
    <b:SourceType>JournalArticle</b:SourceType>
    <b:Guid>{7E42D9B1-3A6F-4C28-9D15-B2E8C4F0A024}</b:Guid>
    <b:Author>
      <b:Author>
        <b:NameList>
          <b:Person>
            <b:Last>Petersen</b:Last>
            <b:First>K.</b:First>
          </b:Person>
          <b:Person>
            <b:Last>Vakkalanka</b:Last>
            <b:First>S.</b:First>
          </b:Person>
          <b:Person>
            <b:Last>Kuzniarz</b:Last>
            <b:First>L.</b:First>
          </b:Person>
        </b:NameList>
      </b:Author>
    </b:Author>
    <b:Title>Guidelines for conducting systematic mapping studies in software engineering: An update</b:Title>
    <b:Year>2015</b:Year>
    <b:JournalName>Information and Software Technology</b:JournalName>
    <b:Volume>64</b:Volume>
    <b:Pages>1-18</b:Pages>
    <b:URL>https://doi.org/10.1016/j.infsof.2015.03.007</b:URL>
  </b:Source>
  <b:Source>
    <b:Tag>Pri22</b:Tag>
    <b:SourceType>ConferenceProceedings</b:SourceType>
    <b:Guid>{7E42D9B1-3A6F-4C28-9D15-B2E8C4F0A025}</b:Guid>
    <b:Author>
      <b:Author>
        <b:NameList>
          <b:Person>
            <b:Last>Priem</b:Last>
            <b:First>J.</b:First>
          </b:Person>
          <b:Person>
            <b:Last>Piwowar</b:Last>
            <b:First>H.</b:First>
          </b:Person>
          <b:Person>
            <b:Last>Orr</b:Last>
            <b:First>R.</b:First>
          </b:Person>
        </b:NameList>
      </b:Author>
    </b:Author>
    <b:Title>OpenAlex: A fully-open index of scholarly works, authors, venues, institutions, and concepts</b:Title>
    <b:Year>2022</b:Year>
    <b:ConferenceName>26th International Conference on Science, Technology and Innovation Indicators (STI 2022)</b:ConferenceName>
    <b:City>Granada, España</b:City>
    <b:URL>https://doi.org/10.5281/zenodo.6936227</b:URL>
  </b:Source>
  <b:Source>
    <b:Tag>Rei20</b:Tag>
    <b:SourceType>ConferenceProceedings</b:SourceType>
    <b:Guid>{73DD23CF-D146-4F2B-8633-8DC57C9F898F}</b:Guid>
    <b:Author>
      <b:Author>
        <b:NameList>
          <b:Person>
            <b:Last>Reimers</b:Last>
            <b:First>N.</b:First>
          </b:Person>
          <b:Person>
            <b:Last>Gurevych</b:Last>
            <b:First>I.</b:First>
          </b:Person>
        </b:NameList>
      </b:Author>
    </b:Author>
    <b:Title>Making monolingual sentence embeddings multilingual using knowledge distillation</b:Title>
    <b:Year>2020</b:Year>
    <b:ConferenceName>Proceedings of the 2020 Conference on Empirical Methods in Natural Language Processing (EMNLP)</b:ConferenceName>
    <b:Publisher>Association for Computational Linguistics</b:Publisher>
    <b:Pages>4512-4525</b:Pages>
    <b:URL>https://doi.org/10.18653/v1/2020.emnlp-main.365</b:URL>
  </b:Source>
  <b:Source>
    <b:Tag>Zha21</b:Tag>
    <b:SourceType>JournalArticle</b:SourceType>
    <b:Guid>{7E42D9B1-3A6F-4C28-9D15-B2E8C4F0A026}</b:Guid>
    <b:Author>
      <b:Author>
        <b:NameList>
          <b:Person>
            <b:Last>Zhao</b:Last>
            <b:First>L.</b:First>
          </b:Person>
          <b:Person>
            <b:Last>Alhoshan</b:Last>
            <b:First>W.</b:First>
          </b:Person>
          <b:Person>
            <b:Last>Ferrari</b:Last>
            <b:First>A.</b:First>
          </b:Person>
          <b:Person>
            <b:Last>Letsholo</b:Last>
            <b:First>K. J.</b:First>
          </b:Person>
          <b:Person>
            <b:Last>Ajagbe</b:Last>
            <b:First>M. A.</b:First>
          </b:Person>
          <b:Person>
            <b:Last>Chioasca</b:Last>
            <b:First>E.-V.</b:First>
          </b:Person>
          <b:Person>
            <b:Last>Batista-Navarro</b:Last>
            <b:First>R. T.</b:First>
          </b:Person>
        </b:NameList>
      </b:Author>
    </b:Author>
    <b:Title>Natural language processing for requirements engineering: A systematic mapping study</b:Title>
    <b:Year>2021</b:Year>
    <b:JournalName>ACM Computing Surveys</b:JournalName>
    <b:Volume>54</b:Volume>
    <b:Issue>3</b:Issue>
    <b:Pages>Artículo 55</b:Pages>
    <b:URL>https://doi.org/10.1145/3444689</b:URL>
  </b:Source>
</b:Sourc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3C1A2E-4F5D-4E6A-9B7C-1D2E3F4A5B6C}">
  <ds:schemaRefs>
    <ds:schemaRef ds:uri="http://schemas.openxmlformats.org/officeDocument/2006/bibliography"/>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24</Pages>
  <Words>5842</Words>
  <Characters>28861</Characters>
  <Application>Microsoft Office Word</Application>
  <DocSecurity>0</DocSecurity>
  <Lines>601</Lines>
  <Paragraphs>286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Recursos léxico-semánticos en NLP4RE: un mapeo sistemático con atención al español</dc:title>
  <dc:subject>Revisión científica y conciliación de resultados NLP4RE</dc:subject>
  <dc:creator>python-docx</dc:creator>
  <cp:keywords/>
  <dc:description>Versión v6. Original preservado. Citas vinculadas y fuentes registradas.</dc:description>
  <cp:lastModifiedBy>Kenji Kawaida Villegas</cp:lastModifiedBy>
  <cp:revision>6</cp:revision>
  <dcterms:created xsi:type="dcterms:W3CDTF">2013-12-23T23:15:00Z</dcterms:created>
  <dcterms:modified xsi:type="dcterms:W3CDTF">2026-08-25T01:33:00Z</dcterms:modified>
  <cp:category/>
</cp:coreProperties>
</file>