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557506" w14:textId="77777777" w:rsidR="00A64FB0" w:rsidRPr="00D91CB9" w:rsidRDefault="00000000">
      <w:pPr>
        <w:pStyle w:val="Title"/>
        <w:rPr>
          <w:lang w:val="es-419"/>
        </w:rPr>
      </w:pPr>
      <w:r w:rsidRPr="00D91CB9">
        <w:rPr>
          <w:rFonts w:ascii="Times New Roman" w:hAnsi="Times New Roman"/>
          <w:lang w:val="es-419"/>
        </w:rPr>
        <w:t>Recursos léxico-semánticos en NLP4RE y evidencia para el procesamiento de requisitos en español</w:t>
      </w:r>
    </w:p>
    <w:p w14:paraId="4C774BCF" w14:textId="77777777" w:rsidR="00A64FB0" w:rsidRPr="00D91CB9" w:rsidRDefault="00000000">
      <w:pPr>
        <w:pStyle w:val="Heading1"/>
        <w:rPr>
          <w:lang w:val="es-419"/>
        </w:rPr>
      </w:pPr>
      <w:r w:rsidRPr="00D91CB9">
        <w:rPr>
          <w:rFonts w:ascii="Times New Roman" w:hAnsi="Times New Roman"/>
          <w:lang w:val="es-419"/>
        </w:rPr>
        <w:t>Resumen</w:t>
      </w:r>
    </w:p>
    <w:p w14:paraId="17A41BDE" w14:textId="77777777" w:rsidR="00A64FB0" w:rsidRPr="00D91CB9" w:rsidRDefault="00000000">
      <w:pPr>
        <w:keepLines/>
        <w:jc w:val="both"/>
        <w:rPr>
          <w:lang w:val="es-419"/>
        </w:rPr>
      </w:pPr>
      <w:r w:rsidRPr="00D91CB9">
        <w:rPr>
          <w:lang w:val="es-419"/>
        </w:rPr>
        <w:t>El procesamiento de lenguaje natural puede ayudar a organizar, revisar y redactar requisitos de software, pero elegir un recurso para trabajar en español exige conocer qué aplicaciones lo respaldan. Este mapeo relaciona recursos, tareas y evidencia lingüística en 550 estudios publicados entre 2015 y 2026, recuperados mediante OpenAlex y búsquedas complementarias. El análisis general comprende 544 estudios y el examen del español incorpora además seis de búsquedas dirigidas. La selección, extracción, clasificación y resultados de la base previa fueron validados por el autor, con un ejercicio adicional de concordancia por pares.</w:t>
      </w:r>
    </w:p>
    <w:p w14:paraId="0DCDDB0F" w14:textId="77777777" w:rsidR="00A64FB0" w:rsidRPr="00D91CB9" w:rsidRDefault="00000000">
      <w:pPr>
        <w:keepLines/>
        <w:jc w:val="both"/>
        <w:rPr>
          <w:lang w:val="es-419"/>
        </w:rPr>
      </w:pPr>
      <w:r w:rsidRPr="00D91CB9">
        <w:rPr>
          <w:lang w:val="es-419"/>
        </w:rPr>
        <w:t>El estudio identifica una diferencia entre la oferta tecnológica y su aplicación documentada al español. El 29,5 % de los recursos concretos tiene respaldo lingüístico directo y el 51,5 % cuenta con una vía de adaptación o sustitución. Esto permite organizar la selección según el trabajo necesario para trasladar cada método. Las aplicaciones en español ofrecen antecedentes para clasificar y comparar requisitos, mientras otras tareas requieren mayor comprobación. El aporte es una base para elegir qué experiencias reutilizar y qué evaluar antes de incorporar un recurso a un proyecto.</w:t>
      </w:r>
    </w:p>
    <w:p w14:paraId="2D5985E6" w14:textId="77777777" w:rsidR="00A64FB0" w:rsidRPr="00D91CB9" w:rsidRDefault="00000000">
      <w:pPr>
        <w:ind w:firstLine="0"/>
        <w:rPr>
          <w:lang w:val="es-419"/>
        </w:rPr>
      </w:pPr>
      <w:r w:rsidRPr="00D91CB9">
        <w:rPr>
          <w:lang w:val="es-419"/>
        </w:rPr>
        <w:t>Palabras clave: ingeniería de requisitos, procesamiento de lenguaje natural, recursos léxico-semánticos, español, mapeo sistemático.</w:t>
      </w:r>
    </w:p>
    <w:p w14:paraId="5E728BEA" w14:textId="77777777" w:rsidR="00A64FB0" w:rsidRDefault="00000000">
      <w:pPr>
        <w:pStyle w:val="Heading1"/>
      </w:pPr>
      <w:r>
        <w:rPr>
          <w:rFonts w:ascii="Times New Roman" w:hAnsi="Times New Roman"/>
        </w:rPr>
        <w:lastRenderedPageBreak/>
        <w:t>Abstract</w:t>
      </w:r>
    </w:p>
    <w:p w14:paraId="6B6E7529" w14:textId="77777777" w:rsidR="00A64FB0" w:rsidRDefault="00000000">
      <w:pPr>
        <w:keepNext/>
        <w:keepLines/>
        <w:jc w:val="both"/>
      </w:pPr>
      <w:r>
        <w:t>Natural language processing can help organize, review, and write software requirements, but selecting a resource for Spanish requires understanding the applications that support its use. This mapping links resources, tasks, and language evidence across 550 studies published between 2015 and 2026, retrieved through OpenAlex and supplementary searches. The general analysis covers 544 studies, while the Spanish-focused examination also draws on six studies from targeted searches. Selection, extraction, classification, and results in the previous dataset were validated by the author, with an additional inter-rater agreement exercise.</w:t>
      </w:r>
    </w:p>
    <w:p w14:paraId="079187FB" w14:textId="77777777" w:rsidR="00A64FB0" w:rsidRDefault="00000000">
      <w:pPr>
        <w:keepLines/>
        <w:jc w:val="both"/>
      </w:pPr>
      <w:r>
        <w:t>The study identifies a gap between available technology and its documented application to Spanish requirements. Direct language support is documented for 29.5% of identifiable resources, while 51.5% have an adaptation or substitution route. These findings help organize resource selection around the work needed to transfer each method. Spanish applications provide precedents for classifying and comparing requirements, while other tasks need further investigation. The contribution is a basis for choosing which experiences to reuse and what to evaluate before introducing a resource into a project.</w:t>
      </w:r>
    </w:p>
    <w:p w14:paraId="751A52D1" w14:textId="77777777" w:rsidR="00A64FB0" w:rsidRDefault="00000000">
      <w:pPr>
        <w:ind w:firstLine="0"/>
      </w:pPr>
      <w:r>
        <w:t>Keywords: requirements engineering, natural language processing, lexical-semantic resources, Spanish, systematic mapping.</w:t>
      </w:r>
    </w:p>
    <w:p w14:paraId="0DE80355" w14:textId="77777777" w:rsidR="00A64FB0" w:rsidRPr="00D91CB9" w:rsidRDefault="00000000">
      <w:pPr>
        <w:pStyle w:val="Heading1"/>
        <w:rPr>
          <w:lang w:val="es-419"/>
        </w:rPr>
      </w:pPr>
      <w:r w:rsidRPr="00D91CB9">
        <w:rPr>
          <w:rFonts w:ascii="Times New Roman" w:hAnsi="Times New Roman"/>
          <w:lang w:val="es-419"/>
        </w:rPr>
        <w:t>Introducción</w:t>
      </w:r>
    </w:p>
    <w:p w14:paraId="18D47A78" w14:textId="77777777" w:rsidR="00A64FB0" w:rsidRPr="00D91CB9" w:rsidRDefault="00000000">
      <w:pPr>
        <w:keepLines/>
        <w:jc w:val="both"/>
        <w:rPr>
          <w:lang w:val="es-419"/>
        </w:rPr>
      </w:pPr>
      <w:r w:rsidRPr="00D91CB9">
        <w:rPr>
          <w:lang w:val="es-419"/>
        </w:rPr>
        <w:t>Un requisito expresa una necesidad o una regla que un sistema debe cumplir, como proteger la información de sus usuarios o permitirles realizar una operación. Cuando esas necesidades se redactan de forma ambigua, repetida o incompleta, resulta difícil decidir qué construir y cómo comprobarlo. El procesamiento de lenguaje natural aplicado a la ingeniería de requisitos, conocido como NLP4RE, estudia formas de apoyar ese trabajo mediante el análisis automático del texto.</w:t>
      </w:r>
    </w:p>
    <w:p w14:paraId="2A6B15FA" w14:textId="77777777" w:rsidR="00A64FB0" w:rsidRPr="00D91CB9" w:rsidRDefault="00000000">
      <w:pPr>
        <w:keepLines/>
        <w:jc w:val="both"/>
        <w:rPr>
          <w:lang w:val="es-419"/>
        </w:rPr>
      </w:pPr>
      <w:r w:rsidRPr="00D91CB9">
        <w:rPr>
          <w:lang w:val="es-419"/>
        </w:rPr>
        <w:t>Los recursos léxico-semánticos representan palabras, significados y relaciones para hacer posible ese análisis. Algunos organizan conocimiento explícito, como WordNet y FrameNet (Miller, 1995; Baker et al., 1998). Otros aprenden representaciones a partir de textos, como fastText y BERT (Bojanowski et al., 2017; Devlin et al., 2019), o permiten generar contenido mediante modelos de lenguaje. Su utilidad depende de la tarea: reconocer requisitos parecidos exige operaciones distintas de redactar una especificación o detectar una contradicción.</w:t>
      </w:r>
    </w:p>
    <w:p w14:paraId="6936DD20" w14:textId="77777777" w:rsidR="00A64FB0" w:rsidRPr="00D91CB9" w:rsidRDefault="00000000">
      <w:pPr>
        <w:keepLines/>
        <w:jc w:val="both"/>
        <w:rPr>
          <w:lang w:val="es-419"/>
        </w:rPr>
      </w:pPr>
      <w:r w:rsidRPr="00D91CB9">
        <w:rPr>
          <w:lang w:val="es-419"/>
        </w:rPr>
        <w:lastRenderedPageBreak/>
        <w:t>Trabajar en español añade una decisión: determinar cuánto de una experiencia previa puede aprovecharse con textos de otro idioma. Existen aplicaciones a la ambigüedad, la clasificación y la similitud (Guzmán Luna et al., 2015; Limaylla-Lunarejo et al., 2023b; Pérez et al., 2025), pero aparecen dispersas entre recursos, conjuntos de datos y tareas diferentes. Reunirlas permite reconocer puntos de partida y distinguir cuándo hace falta adaptar un método, comprobarlo con nuevos datos o investigar una tarea poco cubierta.</w:t>
      </w:r>
    </w:p>
    <w:p w14:paraId="78CE1580" w14:textId="77777777" w:rsidR="00A64FB0" w:rsidRPr="00D91CB9" w:rsidRDefault="00000000">
      <w:pPr>
        <w:keepLines/>
        <w:jc w:val="both"/>
        <w:rPr>
          <w:lang w:val="es-419"/>
        </w:rPr>
      </w:pPr>
      <w:r w:rsidRPr="00D91CB9">
        <w:rPr>
          <w:lang w:val="es-419"/>
        </w:rPr>
        <w:t xml:space="preserve">Los mapeos sistemáticos organizan estas relaciones para reconocer tendencias y vacíos de investigación </w:t>
      </w:r>
      <w:r>
        <w:fldChar w:fldCharType="begin" w:fldLock="1"/>
      </w:r>
      <w:r w:rsidRPr="00CC5822">
        <w:rPr>
          <w:lang w:val="es-419"/>
        </w:rPr>
        <w:instrText xml:space="preserve"> CITATION Pet08 \l 3082 \m Pet15 </w:instrText>
      </w:r>
      <w:r>
        <w:fldChar w:fldCharType="separate"/>
      </w:r>
      <w:r>
        <w:rPr>
          <w:lang w:val="es-ES"/>
        </w:rPr>
        <w:t xml:space="preserve">(Petersen </w:t>
      </w:r>
      <w:r>
        <w:rPr>
          <w:i/>
          <w:lang w:val="es-ES"/>
        </w:rPr>
        <w:t>et al.</w:t>
      </w:r>
      <w:r>
        <w:rPr>
          <w:lang w:val="es-ES"/>
        </w:rPr>
        <w:t xml:space="preserve">, 2008; Petersen </w:t>
      </w:r>
      <w:r>
        <w:rPr>
          <w:i/>
          <w:lang w:val="es-ES"/>
        </w:rPr>
        <w:t>et al.</w:t>
      </w:r>
      <w:r>
        <w:rPr>
          <w:lang w:val="es-ES"/>
        </w:rPr>
        <w:t>, 2015)</w:t>
      </w:r>
      <w:r>
        <w:rPr>
          <w:lang w:val="es-ES"/>
        </w:rPr>
        <w:fldChar w:fldCharType="end"/>
      </w:r>
      <w:r w:rsidRPr="00D91CB9">
        <w:rPr>
          <w:lang w:val="es-419"/>
        </w:rPr>
        <w:t xml:space="preserve">. A partir de la caracterización de NLP4RE de Zhao y colaboradores </w:t>
      </w:r>
      <w:r>
        <w:fldChar w:fldCharType="begin" w:fldLock="1"/>
      </w:r>
      <w:r w:rsidRPr="00CC5822">
        <w:rPr>
          <w:lang w:val="es-419"/>
        </w:rPr>
        <w:instrText xml:space="preserve"> CITATION Zha21 \l 3082 </w:instrText>
      </w:r>
      <w:r>
        <w:fldChar w:fldCharType="separate"/>
      </w:r>
      <w:r>
        <w:rPr>
          <w:lang w:val="es-ES"/>
        </w:rPr>
        <w:t xml:space="preserve">(Zhao </w:t>
      </w:r>
      <w:r>
        <w:rPr>
          <w:i/>
          <w:lang w:val="es-ES"/>
        </w:rPr>
        <w:t>et al.</w:t>
      </w:r>
      <w:r>
        <w:rPr>
          <w:lang w:val="es-ES"/>
        </w:rPr>
        <w:t>, 2021)</w:t>
      </w:r>
      <w:r>
        <w:rPr>
          <w:lang w:val="es-ES"/>
        </w:rPr>
        <w:fldChar w:fldCharType="end"/>
      </w:r>
      <w:r w:rsidRPr="00D91CB9">
        <w:rPr>
          <w:lang w:val="es-419"/>
        </w:rPr>
        <w:t>, este estudio incorpora el vínculo entre recursos y evidencia del español. Su objetivo es establecer qué puede aportar la investigación disponible al procesamiento de requisitos en esa lengua. Las preguntas de la tabla 1 conectan la descripción del campo con las posibilidades concretas de reutilizar sus resultados.</w:t>
      </w:r>
    </w:p>
    <w:p w14:paraId="151BB987" w14:textId="77777777" w:rsidR="00A64FB0" w:rsidRDefault="00000000">
      <w:pPr>
        <w:keepNext/>
        <w:spacing w:before="120" w:line="288" w:lineRule="auto"/>
        <w:ind w:firstLine="0"/>
      </w:pPr>
      <w:r>
        <w:rPr>
          <w:b/>
        </w:rPr>
        <w:t>Tabla 1</w:t>
      </w:r>
    </w:p>
    <w:p w14:paraId="63A9246A" w14:textId="77777777" w:rsidR="00A64FB0" w:rsidRDefault="00000000">
      <w:pPr>
        <w:keepNext/>
        <w:spacing w:after="120" w:line="288" w:lineRule="auto"/>
        <w:ind w:firstLine="0"/>
      </w:pPr>
      <w:r>
        <w:rPr>
          <w:i/>
        </w:rPr>
        <w:t>Preguntas de investigación</w:t>
      </w:r>
    </w:p>
    <w:tbl>
      <w:tblPr>
        <w:tblW w:w="0" w:type="auto"/>
        <w:jc w:val="center"/>
        <w:tblBorders>
          <w:top w:val="single" w:sz="6" w:space="0" w:color="000000"/>
          <w:left w:val="nil"/>
          <w:bottom w:val="single" w:sz="6" w:space="0" w:color="000000"/>
          <w:right w:val="nil"/>
          <w:insideH w:val="nil"/>
          <w:insideV w:val="nil"/>
        </w:tblBorders>
        <w:tblLayout w:type="fixed"/>
        <w:tblCellMar>
          <w:top w:w="65" w:type="dxa"/>
          <w:left w:w="65" w:type="dxa"/>
          <w:bottom w:w="65" w:type="dxa"/>
          <w:right w:w="65" w:type="dxa"/>
        </w:tblCellMar>
        <w:tblLook w:val="04A0" w:firstRow="1" w:lastRow="0" w:firstColumn="1" w:lastColumn="0" w:noHBand="0" w:noVBand="1"/>
      </w:tblPr>
      <w:tblGrid>
        <w:gridCol w:w="936"/>
        <w:gridCol w:w="8424"/>
      </w:tblGrid>
      <w:tr w:rsidR="00382836" w14:paraId="166D97B5" w14:textId="77777777">
        <w:trPr>
          <w:cantSplit/>
          <w:tblHeader/>
          <w:jc w:val="center"/>
        </w:trPr>
        <w:tc>
          <w:tcPr>
            <w:tcW w:w="936" w:type="dxa"/>
            <w:tcBorders>
              <w:bottom w:val="single" w:sz="6" w:space="0" w:color="auto"/>
            </w:tcBorders>
            <w:vAlign w:val="center"/>
          </w:tcPr>
          <w:p w14:paraId="6AE6F56F" w14:textId="77777777" w:rsidR="00382836" w:rsidRDefault="00000000">
            <w:pPr>
              <w:keepNext/>
              <w:spacing w:before="60" w:after="60" w:line="264" w:lineRule="auto"/>
              <w:ind w:firstLine="0"/>
            </w:pPr>
            <w:r>
              <w:rPr>
                <w:b/>
                <w:sz w:val="22"/>
                <w:lang w:val="es-ES"/>
              </w:rPr>
              <w:t>Código</w:t>
            </w:r>
          </w:p>
        </w:tc>
        <w:tc>
          <w:tcPr>
            <w:tcW w:w="8424" w:type="dxa"/>
            <w:tcBorders>
              <w:bottom w:val="single" w:sz="6" w:space="0" w:color="auto"/>
            </w:tcBorders>
            <w:vAlign w:val="center"/>
          </w:tcPr>
          <w:p w14:paraId="396297FD" w14:textId="77777777" w:rsidR="00382836" w:rsidRDefault="00000000">
            <w:pPr>
              <w:keepNext/>
              <w:spacing w:before="60" w:after="60" w:line="264" w:lineRule="auto"/>
              <w:ind w:firstLine="0"/>
            </w:pPr>
            <w:r>
              <w:rPr>
                <w:b/>
                <w:sz w:val="22"/>
                <w:lang w:val="es-ES"/>
              </w:rPr>
              <w:t>Pregunta</w:t>
            </w:r>
          </w:p>
        </w:tc>
      </w:tr>
      <w:tr w:rsidR="00382836" w:rsidRPr="00D91CB9" w14:paraId="0C91E24B" w14:textId="77777777">
        <w:trPr>
          <w:cantSplit/>
          <w:jc w:val="center"/>
        </w:trPr>
        <w:tc>
          <w:tcPr>
            <w:tcW w:w="936" w:type="dxa"/>
            <w:vAlign w:val="center"/>
          </w:tcPr>
          <w:p w14:paraId="0561C995" w14:textId="77777777" w:rsidR="00382836" w:rsidRDefault="00000000">
            <w:pPr>
              <w:keepNext/>
              <w:spacing w:before="60" w:after="60" w:line="264" w:lineRule="auto"/>
              <w:ind w:firstLine="0"/>
            </w:pPr>
            <w:r>
              <w:rPr>
                <w:sz w:val="22"/>
                <w:lang w:val="es-ES"/>
              </w:rPr>
              <w:t>RQ1</w:t>
            </w:r>
          </w:p>
        </w:tc>
        <w:tc>
          <w:tcPr>
            <w:tcW w:w="8424" w:type="dxa"/>
            <w:vAlign w:val="center"/>
          </w:tcPr>
          <w:p w14:paraId="137F0FE8" w14:textId="77777777" w:rsidR="00382836" w:rsidRPr="00CC5822" w:rsidRDefault="00000000">
            <w:pPr>
              <w:keepNext/>
              <w:spacing w:before="60" w:after="60" w:line="264" w:lineRule="auto"/>
              <w:ind w:firstLine="0"/>
              <w:rPr>
                <w:lang w:val="es-419"/>
              </w:rPr>
            </w:pPr>
            <w:r>
              <w:rPr>
                <w:sz w:val="22"/>
                <w:lang w:val="es-ES"/>
              </w:rPr>
              <w:t xml:space="preserve">¿Qué recursos léxico-semánticos se han aplicado a la ingeniería de requisitos de </w:t>
            </w:r>
            <w:r>
              <w:rPr>
                <w:i/>
                <w:sz w:val="22"/>
                <w:lang w:val="es-ES"/>
              </w:rPr>
              <w:t>software</w:t>
            </w:r>
            <w:r>
              <w:rPr>
                <w:sz w:val="22"/>
                <w:lang w:val="es-ES"/>
              </w:rPr>
              <w:t>?</w:t>
            </w:r>
          </w:p>
        </w:tc>
      </w:tr>
      <w:tr w:rsidR="00382836" w:rsidRPr="00D91CB9" w14:paraId="35A4FA7A" w14:textId="77777777">
        <w:trPr>
          <w:cantSplit/>
          <w:jc w:val="center"/>
        </w:trPr>
        <w:tc>
          <w:tcPr>
            <w:tcW w:w="936" w:type="dxa"/>
            <w:vAlign w:val="center"/>
          </w:tcPr>
          <w:p w14:paraId="53A314C3" w14:textId="77777777" w:rsidR="00382836" w:rsidRDefault="00000000">
            <w:pPr>
              <w:keepNext/>
              <w:spacing w:before="60" w:after="60" w:line="264" w:lineRule="auto"/>
              <w:ind w:firstLine="0"/>
            </w:pPr>
            <w:r>
              <w:rPr>
                <w:sz w:val="22"/>
                <w:lang w:val="es-ES"/>
              </w:rPr>
              <w:t>RQ2</w:t>
            </w:r>
          </w:p>
        </w:tc>
        <w:tc>
          <w:tcPr>
            <w:tcW w:w="8424" w:type="dxa"/>
            <w:vAlign w:val="center"/>
          </w:tcPr>
          <w:p w14:paraId="32605B8D" w14:textId="77777777" w:rsidR="00382836" w:rsidRPr="00CC5822" w:rsidRDefault="00000000">
            <w:pPr>
              <w:keepNext/>
              <w:spacing w:before="60" w:after="60" w:line="264" w:lineRule="auto"/>
              <w:ind w:firstLine="0"/>
              <w:rPr>
                <w:lang w:val="es-419"/>
              </w:rPr>
            </w:pPr>
            <w:r>
              <w:rPr>
                <w:sz w:val="22"/>
                <w:lang w:val="es-ES"/>
              </w:rPr>
              <w:t>¿Para qué tareas de ingeniería de requisitos se emplean?</w:t>
            </w:r>
          </w:p>
        </w:tc>
      </w:tr>
      <w:tr w:rsidR="00382836" w:rsidRPr="00D91CB9" w14:paraId="2F71C3BD" w14:textId="77777777">
        <w:trPr>
          <w:cantSplit/>
          <w:jc w:val="center"/>
        </w:trPr>
        <w:tc>
          <w:tcPr>
            <w:tcW w:w="936" w:type="dxa"/>
            <w:vAlign w:val="center"/>
          </w:tcPr>
          <w:p w14:paraId="1529F463" w14:textId="77777777" w:rsidR="00382836" w:rsidRDefault="00000000">
            <w:pPr>
              <w:keepNext/>
              <w:spacing w:before="60" w:after="60" w:line="264" w:lineRule="auto"/>
              <w:ind w:firstLine="0"/>
            </w:pPr>
            <w:r>
              <w:rPr>
                <w:sz w:val="22"/>
                <w:lang w:val="es-ES"/>
              </w:rPr>
              <w:t>RQ3</w:t>
            </w:r>
          </w:p>
        </w:tc>
        <w:tc>
          <w:tcPr>
            <w:tcW w:w="8424" w:type="dxa"/>
            <w:vAlign w:val="center"/>
          </w:tcPr>
          <w:p w14:paraId="05913A2F" w14:textId="77777777" w:rsidR="00382836" w:rsidRPr="00CC5822" w:rsidRDefault="00000000">
            <w:pPr>
              <w:keepNext/>
              <w:spacing w:before="60" w:after="60" w:line="264" w:lineRule="auto"/>
              <w:ind w:firstLine="0"/>
              <w:rPr>
                <w:lang w:val="es-419"/>
              </w:rPr>
            </w:pPr>
            <w:r>
              <w:rPr>
                <w:sz w:val="22"/>
                <w:lang w:val="es-ES"/>
              </w:rPr>
              <w:t>¿Qué proporción de los recursos identificados dispone de evidencia de soporte del español o de una adaptación, versión multilingüe o alternativa?</w:t>
            </w:r>
          </w:p>
        </w:tc>
      </w:tr>
      <w:tr w:rsidR="00382836" w:rsidRPr="00D91CB9" w14:paraId="7A91E3AE" w14:textId="77777777">
        <w:trPr>
          <w:cantSplit/>
          <w:jc w:val="center"/>
        </w:trPr>
        <w:tc>
          <w:tcPr>
            <w:tcW w:w="936" w:type="dxa"/>
            <w:vAlign w:val="center"/>
          </w:tcPr>
          <w:p w14:paraId="3A6EF903" w14:textId="77777777" w:rsidR="00382836" w:rsidRDefault="00000000">
            <w:pPr>
              <w:keepNext/>
              <w:spacing w:before="60" w:after="60" w:line="264" w:lineRule="auto"/>
              <w:ind w:firstLine="0"/>
            </w:pPr>
            <w:r>
              <w:rPr>
                <w:sz w:val="22"/>
                <w:lang w:val="es-ES"/>
              </w:rPr>
              <w:t>RQ4</w:t>
            </w:r>
          </w:p>
        </w:tc>
        <w:tc>
          <w:tcPr>
            <w:tcW w:w="8424" w:type="dxa"/>
            <w:vAlign w:val="center"/>
          </w:tcPr>
          <w:p w14:paraId="4E53A947" w14:textId="77777777" w:rsidR="00382836" w:rsidRPr="00CC5822" w:rsidRDefault="00000000">
            <w:pPr>
              <w:keepNext/>
              <w:spacing w:before="60" w:after="60" w:line="264" w:lineRule="auto"/>
              <w:ind w:firstLine="0"/>
              <w:rPr>
                <w:lang w:val="es-419"/>
              </w:rPr>
            </w:pPr>
            <w:r>
              <w:rPr>
                <w:sz w:val="22"/>
                <w:lang w:val="es-ES"/>
              </w:rPr>
              <w:t>¿Qué recursos y aplicaciones se han documentado específicamente para requisitos en español y qué cubren?</w:t>
            </w:r>
          </w:p>
        </w:tc>
      </w:tr>
      <w:tr w:rsidR="00382836" w:rsidRPr="00D91CB9" w14:paraId="45C79B9A" w14:textId="77777777">
        <w:trPr>
          <w:cantSplit/>
          <w:jc w:val="center"/>
        </w:trPr>
        <w:tc>
          <w:tcPr>
            <w:tcW w:w="936" w:type="dxa"/>
            <w:vAlign w:val="center"/>
          </w:tcPr>
          <w:p w14:paraId="49D870B6" w14:textId="77777777" w:rsidR="00382836" w:rsidRDefault="00000000">
            <w:pPr>
              <w:keepNext/>
              <w:spacing w:before="60" w:after="60" w:line="264" w:lineRule="auto"/>
              <w:ind w:firstLine="0"/>
            </w:pPr>
            <w:r>
              <w:rPr>
                <w:sz w:val="22"/>
                <w:lang w:val="es-ES"/>
              </w:rPr>
              <w:t>RQ5</w:t>
            </w:r>
          </w:p>
        </w:tc>
        <w:tc>
          <w:tcPr>
            <w:tcW w:w="8424" w:type="dxa"/>
            <w:vAlign w:val="center"/>
          </w:tcPr>
          <w:p w14:paraId="0F68E28B" w14:textId="77777777" w:rsidR="00382836" w:rsidRPr="00CC5822" w:rsidRDefault="00000000">
            <w:pPr>
              <w:keepNext/>
              <w:spacing w:before="60" w:after="60" w:line="264" w:lineRule="auto"/>
              <w:ind w:firstLine="0"/>
              <w:rPr>
                <w:lang w:val="es-419"/>
              </w:rPr>
            </w:pPr>
            <w:r>
              <w:rPr>
                <w:sz w:val="22"/>
                <w:lang w:val="es-ES"/>
              </w:rPr>
              <w:t xml:space="preserve">¿Qué vacíos se observan en la intersección entre recursos léxico-semánticos, español y requisitos de </w:t>
            </w:r>
            <w:r>
              <w:rPr>
                <w:i/>
                <w:sz w:val="22"/>
                <w:lang w:val="es-ES"/>
              </w:rPr>
              <w:t>software</w:t>
            </w:r>
            <w:r>
              <w:rPr>
                <w:sz w:val="22"/>
                <w:lang w:val="es-ES"/>
              </w:rPr>
              <w:t>?</w:t>
            </w:r>
          </w:p>
        </w:tc>
      </w:tr>
      <w:tr w:rsidR="00382836" w:rsidRPr="00D91CB9" w14:paraId="3D824C3B" w14:textId="77777777">
        <w:trPr>
          <w:cantSplit/>
          <w:jc w:val="center"/>
        </w:trPr>
        <w:tc>
          <w:tcPr>
            <w:tcW w:w="936" w:type="dxa"/>
            <w:vAlign w:val="center"/>
          </w:tcPr>
          <w:p w14:paraId="15A94A20" w14:textId="77777777" w:rsidR="00382836" w:rsidRDefault="00000000">
            <w:pPr>
              <w:keepNext/>
              <w:spacing w:before="60" w:after="60" w:line="264" w:lineRule="auto"/>
              <w:ind w:firstLine="0"/>
            </w:pPr>
            <w:r>
              <w:rPr>
                <w:sz w:val="22"/>
                <w:lang w:val="es-ES"/>
              </w:rPr>
              <w:t>RQ6</w:t>
            </w:r>
          </w:p>
        </w:tc>
        <w:tc>
          <w:tcPr>
            <w:tcW w:w="8424" w:type="dxa"/>
            <w:vAlign w:val="center"/>
          </w:tcPr>
          <w:p w14:paraId="1A8D65AD" w14:textId="77777777" w:rsidR="00382836" w:rsidRPr="00CC5822" w:rsidRDefault="00000000">
            <w:pPr>
              <w:keepNext/>
              <w:spacing w:before="60" w:after="60" w:line="264" w:lineRule="auto"/>
              <w:ind w:firstLine="0"/>
              <w:rPr>
                <w:lang w:val="es-419"/>
              </w:rPr>
            </w:pPr>
            <w:r>
              <w:rPr>
                <w:sz w:val="22"/>
                <w:lang w:val="es-ES"/>
              </w:rPr>
              <w:t xml:space="preserve">¿Qué recursos y métodos son candidatos para transferirse al español y </w:t>
            </w:r>
            <w:proofErr w:type="gramStart"/>
            <w:r>
              <w:rPr>
                <w:sz w:val="22"/>
                <w:lang w:val="es-ES"/>
              </w:rPr>
              <w:t>bajo qué condiciones</w:t>
            </w:r>
            <w:proofErr w:type="gramEnd"/>
            <w:r>
              <w:rPr>
                <w:sz w:val="22"/>
                <w:lang w:val="es-ES"/>
              </w:rPr>
              <w:t>?</w:t>
            </w:r>
          </w:p>
        </w:tc>
      </w:tr>
    </w:tbl>
    <w:p w14:paraId="4AB3379E" w14:textId="77777777" w:rsidR="00A64FB0" w:rsidRPr="00D91CB9" w:rsidRDefault="00000000">
      <w:pPr>
        <w:keepLines/>
        <w:spacing w:after="160" w:line="276" w:lineRule="auto"/>
        <w:ind w:firstLine="0"/>
        <w:rPr>
          <w:lang w:val="es-419"/>
        </w:rPr>
      </w:pPr>
      <w:r w:rsidRPr="00D91CB9">
        <w:rPr>
          <w:sz w:val="20"/>
          <w:lang w:val="es-419"/>
        </w:rPr>
        <w:t>Nota. RQ significa pregunta de investigación. La transferencia se examina a partir de la evidencia documental y de las aplicaciones identificadas.</w:t>
      </w:r>
    </w:p>
    <w:p w14:paraId="58698D7A" w14:textId="77777777" w:rsidR="00A64FB0" w:rsidRPr="00D91CB9" w:rsidRDefault="00000000">
      <w:pPr>
        <w:pStyle w:val="Heading1"/>
        <w:rPr>
          <w:lang w:val="es-419"/>
        </w:rPr>
      </w:pPr>
      <w:r w:rsidRPr="00D91CB9">
        <w:rPr>
          <w:rFonts w:ascii="Times New Roman" w:hAnsi="Times New Roman"/>
          <w:lang w:val="es-419"/>
        </w:rPr>
        <w:lastRenderedPageBreak/>
        <w:t>Método</w:t>
      </w:r>
    </w:p>
    <w:p w14:paraId="64655C6E" w14:textId="5372ED8B" w:rsidR="00A64FB0" w:rsidRPr="00D91CB9" w:rsidRDefault="00000000">
      <w:pPr>
        <w:keepLines/>
        <w:jc w:val="both"/>
        <w:rPr>
          <w:lang w:val="es-419"/>
        </w:rPr>
      </w:pPr>
      <w:r w:rsidRPr="00D91CB9">
        <w:rPr>
          <w:lang w:val="es-419"/>
        </w:rPr>
        <w:t xml:space="preserve">Se realizó un mapeo sistemático de estudios publicados entre 2015 y 2026, siguiendo las orientaciones de Petersen y colaboradores </w:t>
      </w:r>
      <w:r>
        <w:fldChar w:fldCharType="begin" w:fldLock="1"/>
      </w:r>
      <w:r w:rsidRPr="00CC5822">
        <w:rPr>
          <w:lang w:val="es-419"/>
        </w:rPr>
        <w:instrText xml:space="preserve"> CITATION Pet15 \l 3082 </w:instrText>
      </w:r>
      <w:r>
        <w:fldChar w:fldCharType="separate"/>
      </w:r>
      <w:r>
        <w:rPr>
          <w:lang w:val="es-ES"/>
        </w:rPr>
        <w:t xml:space="preserve">(Petersen </w:t>
      </w:r>
      <w:r>
        <w:rPr>
          <w:i/>
          <w:lang w:val="es-ES"/>
        </w:rPr>
        <w:t>et al.</w:t>
      </w:r>
      <w:r>
        <w:rPr>
          <w:lang w:val="es-ES"/>
        </w:rPr>
        <w:t>, 2015)</w:t>
      </w:r>
      <w:r>
        <w:rPr>
          <w:lang w:val="es-ES"/>
        </w:rPr>
        <w:fldChar w:fldCharType="end"/>
      </w:r>
      <w:r w:rsidRPr="00D91CB9">
        <w:rPr>
          <w:lang w:val="es-419"/>
        </w:rPr>
        <w:t xml:space="preserve">. </w:t>
      </w:r>
      <w:r w:rsidR="00D91CB9" w:rsidRPr="00D91CB9">
        <w:rPr>
          <w:lang w:val="es-419"/>
        </w:rPr>
        <w:t xml:space="preserve">Se </w:t>
      </w:r>
      <w:r w:rsidRPr="00D91CB9">
        <w:rPr>
          <w:lang w:val="es-419"/>
        </w:rPr>
        <w:t>revisó y validó la selección, la extracción de datos, la clasificación de recursos y los resultados de la base previa. La asistencia de un modelo de lenguaje y las comprobaciones computacionales apoyaron ese trabajo. El análisis relaciona características de las publicaciones y sus recursos, sin combinar resultados experimentales como si procedieran de una misma prueba.</w:t>
      </w:r>
    </w:p>
    <w:p w14:paraId="1F97E35F" w14:textId="77777777" w:rsidR="00A64FB0" w:rsidRPr="00D91CB9" w:rsidRDefault="00000000">
      <w:pPr>
        <w:keepLines/>
        <w:jc w:val="both"/>
        <w:rPr>
          <w:lang w:val="es-419"/>
        </w:rPr>
      </w:pPr>
      <w:r w:rsidRPr="00D91CB9">
        <w:rPr>
          <w:lang w:val="es-419"/>
        </w:rPr>
        <w:t xml:space="preserve">La búsqueda principal utilizó OpenAlex </w:t>
      </w:r>
      <w:r>
        <w:fldChar w:fldCharType="begin" w:fldLock="1"/>
      </w:r>
      <w:r w:rsidRPr="00CC5822">
        <w:rPr>
          <w:lang w:val="es-419"/>
        </w:rPr>
        <w:instrText xml:space="preserve"> CITATION Pri22 \l 3082 </w:instrText>
      </w:r>
      <w:r>
        <w:fldChar w:fldCharType="separate"/>
      </w:r>
      <w:r>
        <w:rPr>
          <w:lang w:val="es-ES"/>
        </w:rPr>
        <w:t xml:space="preserve">(Priem </w:t>
      </w:r>
      <w:r>
        <w:rPr>
          <w:i/>
          <w:lang w:val="es-ES"/>
        </w:rPr>
        <w:t>et al.</w:t>
      </w:r>
      <w:r>
        <w:rPr>
          <w:lang w:val="es-ES"/>
        </w:rPr>
        <w:t>, 2022)</w:t>
      </w:r>
      <w:r>
        <w:rPr>
          <w:lang w:val="es-ES"/>
        </w:rPr>
        <w:fldChar w:fldCharType="end"/>
      </w:r>
      <w:r w:rsidRPr="00D91CB9">
        <w:rPr>
          <w:lang w:val="es-419"/>
        </w:rPr>
        <w:t xml:space="preserve"> y combinó términos de requisitos de software con recursos léxicos, representaciones semánticas y modelos de lenguaje. Se añadieron una búsqueda dirigida al español y registros de una ronda de concordancia. La ampliación consultó arXiv para recuperar versiones abiertas y exigió publicación formal verificable en revista o congreso. Se contrastaron título, autoría y DOI para evitar duplicar publicaciones. Las cadenas, fechas, filtros y decisiones individuales se conservan en el suplemento.</w:t>
      </w:r>
    </w:p>
    <w:p w14:paraId="20FA6D35" w14:textId="77777777" w:rsidR="00A64FB0" w:rsidRPr="00D91CB9" w:rsidRDefault="00000000">
      <w:pPr>
        <w:keepLines/>
        <w:jc w:val="both"/>
        <w:rPr>
          <w:lang w:val="es-419"/>
        </w:rPr>
      </w:pPr>
      <w:r w:rsidRPr="00D91CB9">
        <w:rPr>
          <w:lang w:val="es-419"/>
        </w:rPr>
        <w:t>Se incluyeron estudios primarios en español, inglés o portugués que aplicaban procesamiento de lenguaje natural o aprendizaje automático a requisitos de software y utilizaban o construían un recurso léxico-semántico. Se excluyeron trabajos de otros dominios, estudios secundarios y menciones de recursos sin aplicación. La ampliación añadió once publicaciones a las 539 de la base previa, con su revisión por el autor identificada como etapa posterior. Los candidatos sin información suficiente o aún no examinados quedaron fuera de la síntesis.</w:t>
      </w:r>
    </w:p>
    <w:p w14:paraId="423C5ED9" w14:textId="77777777" w:rsidR="00A64FB0" w:rsidRPr="00D91CB9" w:rsidRDefault="00000000">
      <w:pPr>
        <w:keepLines/>
        <w:jc w:val="both"/>
        <w:rPr>
          <w:lang w:val="es-419"/>
        </w:rPr>
      </w:pPr>
      <w:r w:rsidRPr="00D91CB9">
        <w:rPr>
          <w:lang w:val="es-419"/>
        </w:rPr>
        <w:t>La extracción relacionó cada recurso con su tarea, datos y evaluación mediante las dimensiones de la tabla 2. La lengua se identificó a partir de los datos utilizados, de forma independiente del idioma del artículo. Para evitar recuentos duplicados se normalizaron nombres y se contó una sola vez cada combinación de estudio y recurso. Los algoritmos genéricos y las familias sin versión identificable se separaron del inventario de recursos concretos. Los campos no determinados se conservaron como tales.</w:t>
      </w:r>
    </w:p>
    <w:p w14:paraId="210F8772" w14:textId="77777777" w:rsidR="00A64FB0" w:rsidRPr="00D91CB9" w:rsidRDefault="00000000">
      <w:pPr>
        <w:keepNext/>
        <w:spacing w:before="120" w:line="288" w:lineRule="auto"/>
        <w:ind w:firstLine="0"/>
        <w:rPr>
          <w:lang w:val="es-419"/>
        </w:rPr>
      </w:pPr>
      <w:r w:rsidRPr="00D91CB9">
        <w:rPr>
          <w:b/>
          <w:lang w:val="es-419"/>
        </w:rPr>
        <w:lastRenderedPageBreak/>
        <w:t>Tabla 2</w:t>
      </w:r>
    </w:p>
    <w:p w14:paraId="6BCBE75E" w14:textId="77777777" w:rsidR="00A64FB0" w:rsidRPr="00D91CB9" w:rsidRDefault="00000000">
      <w:pPr>
        <w:keepNext/>
        <w:spacing w:after="120" w:line="288" w:lineRule="auto"/>
        <w:ind w:firstLine="0"/>
        <w:rPr>
          <w:lang w:val="es-419"/>
        </w:rPr>
      </w:pPr>
      <w:r w:rsidRPr="00D91CB9">
        <w:rPr>
          <w:i/>
          <w:lang w:val="es-419"/>
        </w:rPr>
        <w:t>Dimensiones de caracterización y criterios de interpretación</w:t>
      </w:r>
    </w:p>
    <w:tbl>
      <w:tblPr>
        <w:tblW w:w="0" w:type="auto"/>
        <w:jc w:val="center"/>
        <w:tblBorders>
          <w:top w:val="single" w:sz="6" w:space="0" w:color="000000"/>
          <w:left w:val="nil"/>
          <w:bottom w:val="single" w:sz="6" w:space="0" w:color="000000"/>
          <w:right w:val="nil"/>
          <w:insideH w:val="nil"/>
          <w:insideV w:val="nil"/>
        </w:tblBorders>
        <w:tblLayout w:type="fixed"/>
        <w:tblCellMar>
          <w:top w:w="65" w:type="dxa"/>
          <w:left w:w="65" w:type="dxa"/>
          <w:bottom w:w="65" w:type="dxa"/>
          <w:right w:w="65" w:type="dxa"/>
        </w:tblCellMar>
        <w:tblLook w:val="04A0" w:firstRow="1" w:lastRow="0" w:firstColumn="1" w:lastColumn="0" w:noHBand="0" w:noVBand="1"/>
      </w:tblPr>
      <w:tblGrid>
        <w:gridCol w:w="1512"/>
        <w:gridCol w:w="3456"/>
        <w:gridCol w:w="4392"/>
      </w:tblGrid>
      <w:tr w:rsidR="00382836" w14:paraId="2DD7C3C7" w14:textId="77777777">
        <w:trPr>
          <w:cantSplit/>
          <w:tblHeader/>
          <w:jc w:val="center"/>
        </w:trPr>
        <w:tc>
          <w:tcPr>
            <w:tcW w:w="1512" w:type="dxa"/>
            <w:tcBorders>
              <w:bottom w:val="single" w:sz="6" w:space="0" w:color="auto"/>
            </w:tcBorders>
            <w:vAlign w:val="center"/>
          </w:tcPr>
          <w:p w14:paraId="087801E1" w14:textId="77777777" w:rsidR="00382836" w:rsidRDefault="00000000">
            <w:pPr>
              <w:keepNext/>
              <w:spacing w:before="60" w:after="60" w:line="264" w:lineRule="auto"/>
              <w:ind w:firstLine="0"/>
            </w:pPr>
            <w:r>
              <w:rPr>
                <w:b/>
                <w:sz w:val="22"/>
                <w:lang w:val="es-ES"/>
              </w:rPr>
              <w:t>Dimensión</w:t>
            </w:r>
          </w:p>
        </w:tc>
        <w:tc>
          <w:tcPr>
            <w:tcW w:w="3456" w:type="dxa"/>
            <w:tcBorders>
              <w:bottom w:val="single" w:sz="6" w:space="0" w:color="auto"/>
            </w:tcBorders>
            <w:vAlign w:val="center"/>
          </w:tcPr>
          <w:p w14:paraId="7EECCA75" w14:textId="77777777" w:rsidR="00382836" w:rsidRDefault="00000000">
            <w:pPr>
              <w:keepNext/>
              <w:spacing w:before="60" w:after="60" w:line="264" w:lineRule="auto"/>
              <w:ind w:firstLine="0"/>
            </w:pPr>
            <w:r>
              <w:rPr>
                <w:b/>
                <w:sz w:val="22"/>
                <w:lang w:val="es-ES"/>
              </w:rPr>
              <w:t>Información extraída</w:t>
            </w:r>
          </w:p>
        </w:tc>
        <w:tc>
          <w:tcPr>
            <w:tcW w:w="4392" w:type="dxa"/>
            <w:tcBorders>
              <w:bottom w:val="single" w:sz="6" w:space="0" w:color="auto"/>
            </w:tcBorders>
            <w:vAlign w:val="center"/>
          </w:tcPr>
          <w:p w14:paraId="5D1FF3C5" w14:textId="77777777" w:rsidR="00382836" w:rsidRDefault="00000000">
            <w:pPr>
              <w:keepNext/>
              <w:spacing w:before="60" w:after="60" w:line="264" w:lineRule="auto"/>
              <w:ind w:firstLine="0"/>
            </w:pPr>
            <w:r>
              <w:rPr>
                <w:b/>
                <w:sz w:val="22"/>
                <w:lang w:val="es-ES"/>
              </w:rPr>
              <w:t>Interpretación</w:t>
            </w:r>
          </w:p>
        </w:tc>
      </w:tr>
      <w:tr w:rsidR="00382836" w:rsidRPr="00D91CB9" w14:paraId="38A0CA40" w14:textId="77777777">
        <w:trPr>
          <w:cantSplit/>
          <w:jc w:val="center"/>
        </w:trPr>
        <w:tc>
          <w:tcPr>
            <w:tcW w:w="1512" w:type="dxa"/>
            <w:vAlign w:val="center"/>
          </w:tcPr>
          <w:p w14:paraId="497E82C2" w14:textId="77777777" w:rsidR="00382836" w:rsidRDefault="00000000">
            <w:pPr>
              <w:spacing w:before="60" w:after="60" w:line="264" w:lineRule="auto"/>
              <w:ind w:firstLine="0"/>
            </w:pPr>
            <w:r>
              <w:rPr>
                <w:sz w:val="22"/>
                <w:lang w:val="es-ES"/>
              </w:rPr>
              <w:t>Recurso</w:t>
            </w:r>
          </w:p>
        </w:tc>
        <w:tc>
          <w:tcPr>
            <w:tcW w:w="3456" w:type="dxa"/>
            <w:vAlign w:val="center"/>
          </w:tcPr>
          <w:p w14:paraId="156B21AC" w14:textId="77777777" w:rsidR="00382836" w:rsidRPr="00CC5822" w:rsidRDefault="00000000">
            <w:pPr>
              <w:spacing w:before="60" w:after="60" w:line="264" w:lineRule="auto"/>
              <w:ind w:firstLine="0"/>
              <w:rPr>
                <w:lang w:val="es-419"/>
              </w:rPr>
            </w:pPr>
            <w:r>
              <w:rPr>
                <w:sz w:val="22"/>
                <w:lang w:val="es-ES"/>
              </w:rPr>
              <w:t>Nombre, familia, rol y versión cuando se especifica</w:t>
            </w:r>
          </w:p>
        </w:tc>
        <w:tc>
          <w:tcPr>
            <w:tcW w:w="4392" w:type="dxa"/>
            <w:vAlign w:val="center"/>
          </w:tcPr>
          <w:p w14:paraId="49F78B1E" w14:textId="77777777" w:rsidR="00382836" w:rsidRPr="00CC5822" w:rsidRDefault="00000000">
            <w:pPr>
              <w:spacing w:before="60" w:after="60" w:line="264" w:lineRule="auto"/>
              <w:ind w:firstLine="0"/>
              <w:rPr>
                <w:lang w:val="es-419"/>
              </w:rPr>
            </w:pPr>
            <w:r>
              <w:rPr>
                <w:sz w:val="22"/>
                <w:lang w:val="es-ES"/>
              </w:rPr>
              <w:t>Admite varios recursos; diferencia uso de mención y familia de versión.</w:t>
            </w:r>
          </w:p>
        </w:tc>
      </w:tr>
      <w:tr w:rsidR="00382836" w:rsidRPr="00D91CB9" w14:paraId="777A0C94" w14:textId="77777777">
        <w:trPr>
          <w:cantSplit/>
          <w:jc w:val="center"/>
        </w:trPr>
        <w:tc>
          <w:tcPr>
            <w:tcW w:w="1512" w:type="dxa"/>
            <w:vAlign w:val="center"/>
          </w:tcPr>
          <w:p w14:paraId="0B7BD69D" w14:textId="77777777" w:rsidR="00382836" w:rsidRDefault="00000000">
            <w:pPr>
              <w:spacing w:before="60" w:after="60" w:line="264" w:lineRule="auto"/>
              <w:ind w:firstLine="0"/>
            </w:pPr>
            <w:r>
              <w:rPr>
                <w:sz w:val="22"/>
                <w:lang w:val="es-ES"/>
              </w:rPr>
              <w:t>Tarea</w:t>
            </w:r>
          </w:p>
        </w:tc>
        <w:tc>
          <w:tcPr>
            <w:tcW w:w="3456" w:type="dxa"/>
            <w:vAlign w:val="center"/>
          </w:tcPr>
          <w:p w14:paraId="28E504F3" w14:textId="77777777" w:rsidR="00382836" w:rsidRDefault="00000000">
            <w:pPr>
              <w:spacing w:before="60" w:after="60" w:line="264" w:lineRule="auto"/>
              <w:ind w:firstLine="0"/>
            </w:pPr>
            <w:r>
              <w:rPr>
                <w:sz w:val="22"/>
                <w:lang w:val="es-ES"/>
              </w:rPr>
              <w:t>Principal y secundarias</w:t>
            </w:r>
          </w:p>
        </w:tc>
        <w:tc>
          <w:tcPr>
            <w:tcW w:w="4392" w:type="dxa"/>
            <w:vAlign w:val="center"/>
          </w:tcPr>
          <w:p w14:paraId="74FBB5CA" w14:textId="77777777" w:rsidR="00382836" w:rsidRPr="00CC5822" w:rsidRDefault="00000000">
            <w:pPr>
              <w:spacing w:before="60" w:after="60" w:line="264" w:lineRule="auto"/>
              <w:ind w:firstLine="0"/>
              <w:rPr>
                <w:lang w:val="es-419"/>
              </w:rPr>
            </w:pPr>
            <w:r>
              <w:rPr>
                <w:sz w:val="22"/>
                <w:lang w:val="es-ES"/>
              </w:rPr>
              <w:t>La principal corresponde al propósito del estudio; la generación auxiliar no sustituye la tarea evaluada.</w:t>
            </w:r>
          </w:p>
        </w:tc>
      </w:tr>
      <w:tr w:rsidR="00382836" w:rsidRPr="00D91CB9" w14:paraId="753010C5" w14:textId="77777777">
        <w:trPr>
          <w:cantSplit/>
          <w:jc w:val="center"/>
        </w:trPr>
        <w:tc>
          <w:tcPr>
            <w:tcW w:w="1512" w:type="dxa"/>
            <w:vAlign w:val="center"/>
          </w:tcPr>
          <w:p w14:paraId="20416FE5" w14:textId="77777777" w:rsidR="00382836" w:rsidRDefault="00000000">
            <w:pPr>
              <w:spacing w:before="60" w:after="60" w:line="264" w:lineRule="auto"/>
              <w:ind w:firstLine="0"/>
            </w:pPr>
            <w:r>
              <w:rPr>
                <w:sz w:val="22"/>
                <w:lang w:val="es-ES"/>
              </w:rPr>
              <w:t>Lengua de los datos</w:t>
            </w:r>
          </w:p>
        </w:tc>
        <w:tc>
          <w:tcPr>
            <w:tcW w:w="3456" w:type="dxa"/>
            <w:vAlign w:val="center"/>
          </w:tcPr>
          <w:p w14:paraId="096E6DD9" w14:textId="77777777" w:rsidR="00382836" w:rsidRPr="00CC5822" w:rsidRDefault="00000000">
            <w:pPr>
              <w:spacing w:before="60" w:after="60" w:line="264" w:lineRule="auto"/>
              <w:ind w:firstLine="0"/>
              <w:rPr>
                <w:lang w:val="es-419"/>
              </w:rPr>
            </w:pPr>
            <w:r>
              <w:rPr>
                <w:sz w:val="22"/>
                <w:lang w:val="es-ES"/>
              </w:rPr>
              <w:t>Español, inglés, multilingüe, otra o no declarada</w:t>
            </w:r>
          </w:p>
        </w:tc>
        <w:tc>
          <w:tcPr>
            <w:tcW w:w="4392" w:type="dxa"/>
            <w:vAlign w:val="center"/>
          </w:tcPr>
          <w:p w14:paraId="6C78E683" w14:textId="77777777" w:rsidR="00382836" w:rsidRPr="00CC5822" w:rsidRDefault="00000000">
            <w:pPr>
              <w:spacing w:before="60" w:after="60" w:line="264" w:lineRule="auto"/>
              <w:ind w:firstLine="0"/>
              <w:rPr>
                <w:lang w:val="es-419"/>
              </w:rPr>
            </w:pPr>
            <w:r>
              <w:rPr>
                <w:sz w:val="22"/>
                <w:lang w:val="es-ES"/>
              </w:rPr>
              <w:t>No se deduce del idioma del artículo; el origen nativo, traducido o sintético se describe cuando consta.</w:t>
            </w:r>
          </w:p>
        </w:tc>
      </w:tr>
      <w:tr w:rsidR="00382836" w:rsidRPr="00D91CB9" w14:paraId="503C6FC2" w14:textId="77777777">
        <w:trPr>
          <w:cantSplit/>
          <w:jc w:val="center"/>
        </w:trPr>
        <w:tc>
          <w:tcPr>
            <w:tcW w:w="1512" w:type="dxa"/>
            <w:vAlign w:val="center"/>
          </w:tcPr>
          <w:p w14:paraId="50004608" w14:textId="77777777" w:rsidR="00382836" w:rsidRDefault="00000000">
            <w:pPr>
              <w:spacing w:before="60" w:after="60" w:line="264" w:lineRule="auto"/>
              <w:ind w:firstLine="0"/>
            </w:pPr>
            <w:r>
              <w:rPr>
                <w:sz w:val="22"/>
                <w:lang w:val="es-ES"/>
              </w:rPr>
              <w:t>Evaluación</w:t>
            </w:r>
          </w:p>
        </w:tc>
        <w:tc>
          <w:tcPr>
            <w:tcW w:w="3456" w:type="dxa"/>
            <w:vAlign w:val="center"/>
          </w:tcPr>
          <w:p w14:paraId="358B9379" w14:textId="77777777" w:rsidR="00382836" w:rsidRPr="00CC5822" w:rsidRDefault="00000000">
            <w:pPr>
              <w:spacing w:before="60" w:after="60" w:line="264" w:lineRule="auto"/>
              <w:ind w:firstLine="0"/>
              <w:rPr>
                <w:lang w:val="es-419"/>
              </w:rPr>
            </w:pPr>
            <w:r>
              <w:rPr>
                <w:sz w:val="22"/>
                <w:lang w:val="es-ES"/>
              </w:rPr>
              <w:t>Tipo, datos, métricas o indicadores y comparación con una referencia</w:t>
            </w:r>
          </w:p>
        </w:tc>
        <w:tc>
          <w:tcPr>
            <w:tcW w:w="4392" w:type="dxa"/>
            <w:vAlign w:val="center"/>
          </w:tcPr>
          <w:p w14:paraId="46A55862" w14:textId="77777777" w:rsidR="00382836" w:rsidRPr="00CC5822" w:rsidRDefault="00000000">
            <w:pPr>
              <w:spacing w:before="60" w:after="60" w:line="264" w:lineRule="auto"/>
              <w:ind w:firstLine="0"/>
              <w:rPr>
                <w:lang w:val="es-419"/>
              </w:rPr>
            </w:pPr>
            <w:r>
              <w:rPr>
                <w:sz w:val="22"/>
                <w:lang w:val="es-ES"/>
              </w:rPr>
              <w:t>Describe el diseño declarado; no equivale a una evaluación de calidad ni a comparar resultados numéricos.</w:t>
            </w:r>
          </w:p>
        </w:tc>
      </w:tr>
      <w:tr w:rsidR="00382836" w:rsidRPr="00D91CB9" w14:paraId="5C27E7DE" w14:textId="77777777">
        <w:trPr>
          <w:cantSplit/>
          <w:jc w:val="center"/>
        </w:trPr>
        <w:tc>
          <w:tcPr>
            <w:tcW w:w="1512" w:type="dxa"/>
            <w:vAlign w:val="center"/>
          </w:tcPr>
          <w:p w14:paraId="39983C3F" w14:textId="77777777" w:rsidR="00382836" w:rsidRDefault="00000000">
            <w:pPr>
              <w:spacing w:before="60" w:after="60" w:line="264" w:lineRule="auto"/>
              <w:ind w:firstLine="0"/>
            </w:pPr>
            <w:r>
              <w:rPr>
                <w:sz w:val="22"/>
                <w:lang w:val="es-ES"/>
              </w:rPr>
              <w:t>Disponibilidad</w:t>
            </w:r>
          </w:p>
        </w:tc>
        <w:tc>
          <w:tcPr>
            <w:tcW w:w="3456" w:type="dxa"/>
            <w:vAlign w:val="center"/>
          </w:tcPr>
          <w:p w14:paraId="204BFD67" w14:textId="77777777" w:rsidR="00382836" w:rsidRPr="00CC5822" w:rsidRDefault="00000000">
            <w:pPr>
              <w:spacing w:before="60" w:after="60" w:line="264" w:lineRule="auto"/>
              <w:ind w:firstLine="0"/>
              <w:rPr>
                <w:lang w:val="es-419"/>
              </w:rPr>
            </w:pPr>
            <w:r>
              <w:rPr>
                <w:sz w:val="22"/>
                <w:lang w:val="es-ES"/>
              </w:rPr>
              <w:t>Declaración de código o datos; atributos del recurso</w:t>
            </w:r>
          </w:p>
        </w:tc>
        <w:tc>
          <w:tcPr>
            <w:tcW w:w="4392" w:type="dxa"/>
            <w:vAlign w:val="center"/>
          </w:tcPr>
          <w:p w14:paraId="1E451AF5" w14:textId="77777777" w:rsidR="00382836" w:rsidRPr="00CC5822" w:rsidRDefault="00000000">
            <w:pPr>
              <w:spacing w:before="60" w:after="60" w:line="264" w:lineRule="auto"/>
              <w:ind w:firstLine="0"/>
              <w:rPr>
                <w:lang w:val="es-419"/>
              </w:rPr>
            </w:pPr>
            <w:r>
              <w:rPr>
                <w:sz w:val="22"/>
                <w:lang w:val="es-ES"/>
              </w:rPr>
              <w:t>Separa acceso, licencia, evidencia lingüística y alternativa de adaptación.</w:t>
            </w:r>
          </w:p>
        </w:tc>
      </w:tr>
      <w:tr w:rsidR="00382836" w:rsidRPr="00D91CB9" w14:paraId="2AF4C322" w14:textId="77777777">
        <w:trPr>
          <w:cantSplit/>
          <w:jc w:val="center"/>
        </w:trPr>
        <w:tc>
          <w:tcPr>
            <w:tcW w:w="1512" w:type="dxa"/>
            <w:vAlign w:val="center"/>
          </w:tcPr>
          <w:p w14:paraId="01F718B4" w14:textId="77777777" w:rsidR="00382836" w:rsidRDefault="00000000">
            <w:pPr>
              <w:keepNext/>
              <w:spacing w:before="60" w:after="60" w:line="264" w:lineRule="auto"/>
              <w:ind w:firstLine="0"/>
            </w:pPr>
            <w:r>
              <w:rPr>
                <w:sz w:val="22"/>
                <w:lang w:val="es-ES"/>
              </w:rPr>
              <w:t>Evidencia</w:t>
            </w:r>
          </w:p>
        </w:tc>
        <w:tc>
          <w:tcPr>
            <w:tcW w:w="3456" w:type="dxa"/>
            <w:vAlign w:val="center"/>
          </w:tcPr>
          <w:p w14:paraId="7F7B57D3" w14:textId="77777777" w:rsidR="00382836" w:rsidRPr="00CC5822" w:rsidRDefault="00000000">
            <w:pPr>
              <w:keepNext/>
              <w:spacing w:before="60" w:after="60" w:line="264" w:lineRule="auto"/>
              <w:ind w:firstLine="0"/>
              <w:rPr>
                <w:lang w:val="es-419"/>
              </w:rPr>
            </w:pPr>
            <w:r>
              <w:rPr>
                <w:sz w:val="22"/>
                <w:lang w:val="es-ES"/>
              </w:rPr>
              <w:t>Texto utilizado, cita, comprobación y procedencia</w:t>
            </w:r>
          </w:p>
        </w:tc>
        <w:tc>
          <w:tcPr>
            <w:tcW w:w="4392" w:type="dxa"/>
            <w:vAlign w:val="center"/>
          </w:tcPr>
          <w:p w14:paraId="39E540D3" w14:textId="77777777" w:rsidR="00A64FB0" w:rsidRPr="00D91CB9" w:rsidRDefault="00000000">
            <w:pPr>
              <w:keepNext/>
              <w:spacing w:before="60" w:after="60" w:line="264" w:lineRule="auto"/>
              <w:ind w:firstLine="0"/>
              <w:rPr>
                <w:lang w:val="es-419"/>
              </w:rPr>
            </w:pPr>
            <w:r w:rsidRPr="00D91CB9">
              <w:rPr>
                <w:sz w:val="22"/>
                <w:lang w:val="es-419"/>
              </w:rPr>
              <w:t>Vincula cada atributo con el pasaje y la fuente examinados durante la revisión.</w:t>
            </w:r>
          </w:p>
        </w:tc>
      </w:tr>
    </w:tbl>
    <w:p w14:paraId="0AEEB916" w14:textId="77777777" w:rsidR="00A64FB0" w:rsidRPr="00D91CB9" w:rsidRDefault="00000000">
      <w:pPr>
        <w:keepLines/>
        <w:spacing w:after="160" w:line="276" w:lineRule="auto"/>
        <w:ind w:firstLine="0"/>
        <w:rPr>
          <w:lang w:val="es-419"/>
        </w:rPr>
      </w:pPr>
      <w:r w:rsidRPr="00D91CB9">
        <w:rPr>
          <w:sz w:val="20"/>
          <w:lang w:val="es-419"/>
        </w:rPr>
        <w:t>Nota. La información extraída se vincula con las fuentes consultadas. Los campos no determinados se conservan explícitamente.</w:t>
      </w:r>
    </w:p>
    <w:p w14:paraId="033F2A48" w14:textId="77777777" w:rsidR="00A64FB0" w:rsidRPr="00D91CB9" w:rsidRDefault="00000000">
      <w:pPr>
        <w:keepLines/>
        <w:jc w:val="both"/>
        <w:rPr>
          <w:lang w:val="es-419"/>
        </w:rPr>
      </w:pPr>
      <w:r w:rsidRPr="00D91CB9">
        <w:rPr>
          <w:lang w:val="es-419"/>
        </w:rPr>
        <w:t>El respaldo del español se contrastó con publicaciones, documentación oficial y fichas de los recursos. Se distinguió el soporte directo, la adaptación del mismo recurso, su versión multilingüe y la sustitución por una alternativa funcional. Esta separación distingue formas de trasladar un método al español y el tipo de intervención que cada una supone. El soporte directo reúne declaraciones y evaluaciones de distinto alcance, por lo que se registró también su fundamento. Su presencia acredita respaldo lingüístico, no rendimiento probado sobre requisitos.</w:t>
      </w:r>
    </w:p>
    <w:p w14:paraId="2945C2DB" w14:textId="77777777" w:rsidR="00A64FB0" w:rsidRPr="00D91CB9" w:rsidRDefault="00000000">
      <w:pPr>
        <w:keepLines/>
        <w:jc w:val="both"/>
        <w:rPr>
          <w:lang w:val="es-419"/>
        </w:rPr>
      </w:pPr>
      <w:r w:rsidRPr="00D91CB9">
        <w:rPr>
          <w:lang w:val="es-419"/>
        </w:rPr>
        <w:t xml:space="preserve">La concordancia por pares se examinó con kappa de Cohen </w:t>
      </w:r>
      <w:r>
        <w:fldChar w:fldCharType="begin" w:fldLock="1"/>
      </w:r>
      <w:r w:rsidRPr="00CC5822">
        <w:rPr>
          <w:lang w:val="es-419"/>
        </w:rPr>
        <w:instrText xml:space="preserve"> CITATION Coh60 \l 3082 </w:instrText>
      </w:r>
      <w:r>
        <w:fldChar w:fldCharType="separate"/>
      </w:r>
      <w:r>
        <w:rPr>
          <w:lang w:val="es-ES"/>
        </w:rPr>
        <w:t>(Cohen, 1960)</w:t>
      </w:r>
      <w:r>
        <w:rPr>
          <w:lang w:val="es-ES"/>
        </w:rPr>
        <w:fldChar w:fldCharType="end"/>
      </w:r>
      <w:r w:rsidRPr="00D91CB9">
        <w:rPr>
          <w:lang w:val="es-419"/>
        </w:rPr>
        <w:t xml:space="preserve">. La ronda documentada reunió 18 pares de decisiones, con 17 coincidencias y </w:t>
      </w:r>
      <w:r>
        <w:t>κ</w:t>
      </w:r>
      <w:r w:rsidRPr="00D91CB9">
        <w:rPr>
          <w:lang w:val="es-419"/>
        </w:rPr>
        <w:t xml:space="preserve"> = 0,640. El predominio de inclusiones explica la necesidad de interpretar conjuntamente acuerdo observado y kappa </w:t>
      </w:r>
      <w:r>
        <w:fldChar w:fldCharType="begin" w:fldLock="1"/>
      </w:r>
      <w:r w:rsidRPr="00CC5822">
        <w:rPr>
          <w:lang w:val="es-419"/>
        </w:rPr>
        <w:instrText xml:space="preserve"> CITATION Fei90 \l 3082 </w:instrText>
      </w:r>
      <w:r>
        <w:fldChar w:fldCharType="separate"/>
      </w:r>
      <w:r>
        <w:rPr>
          <w:lang w:val="es-ES"/>
        </w:rPr>
        <w:t>(Feinstein y Cicchetti, 1990)</w:t>
      </w:r>
      <w:r>
        <w:rPr>
          <w:lang w:val="es-ES"/>
        </w:rPr>
        <w:fldChar w:fldCharType="end"/>
      </w:r>
      <w:r w:rsidRPr="00D91CB9">
        <w:rPr>
          <w:lang w:val="es-419"/>
        </w:rPr>
        <w:t>. Este control corresponde a una muestra de registros españoles y a un protocolo previo. Su alcance se distingue de la revisión más amplia realizada por el autor sobre selección, extracción, clasificación y resultados.</w:t>
      </w:r>
    </w:p>
    <w:p w14:paraId="745115F6" w14:textId="77777777" w:rsidR="00A64FB0" w:rsidRPr="00D91CB9" w:rsidRDefault="00000000">
      <w:pPr>
        <w:pStyle w:val="Heading1"/>
        <w:rPr>
          <w:lang w:val="es-419"/>
        </w:rPr>
      </w:pPr>
      <w:r w:rsidRPr="00D91CB9">
        <w:rPr>
          <w:rFonts w:ascii="Times New Roman" w:hAnsi="Times New Roman"/>
          <w:lang w:val="es-419"/>
        </w:rPr>
        <w:lastRenderedPageBreak/>
        <w:t>Resultados</w:t>
      </w:r>
    </w:p>
    <w:p w14:paraId="65C47D5E" w14:textId="77777777" w:rsidR="00A64FB0" w:rsidRPr="00D91CB9" w:rsidRDefault="00000000">
      <w:pPr>
        <w:pStyle w:val="Heading2"/>
        <w:rPr>
          <w:lang w:val="es-419"/>
        </w:rPr>
      </w:pPr>
      <w:r w:rsidRPr="00D91CB9">
        <w:rPr>
          <w:rFonts w:ascii="Times New Roman" w:hAnsi="Times New Roman"/>
          <w:lang w:val="es-419"/>
        </w:rPr>
        <w:t>Qué problemas aborda la investigación disponible</w:t>
      </w:r>
    </w:p>
    <w:p w14:paraId="3E0A7ADB" w14:textId="77777777" w:rsidR="00A64FB0" w:rsidRPr="00D91CB9" w:rsidRDefault="00000000">
      <w:pPr>
        <w:keepLines/>
        <w:jc w:val="both"/>
        <w:rPr>
          <w:lang w:val="es-419"/>
        </w:rPr>
      </w:pPr>
      <w:r w:rsidRPr="00D91CB9">
        <w:rPr>
          <w:lang w:val="es-419"/>
        </w:rPr>
        <w:t>El corpus reúne 550 estudios. Las distribuciones generales comprenden 544 y el examen complementario conserva seis de búsquedas dirigidas. Como muestran la tabla 3 y la figura 1, una búsqueda de alcance general necesitó complementarse para caracterizar el español: las vías dirigidas aportaron la mitad de los ocho estudios que declaran datos en esa lengua. El hallazgo indica que la cobertura temática y la cobertura lingüística requieren atención propia al reunir antecedentes para una aplicación.</w:t>
      </w:r>
    </w:p>
    <w:p w14:paraId="3317F921" w14:textId="77777777" w:rsidR="00A64FB0" w:rsidRPr="00D91CB9" w:rsidRDefault="00000000">
      <w:pPr>
        <w:keepNext/>
        <w:spacing w:before="120" w:line="288" w:lineRule="auto"/>
        <w:ind w:firstLine="0"/>
        <w:rPr>
          <w:lang w:val="es-419"/>
        </w:rPr>
      </w:pPr>
      <w:r w:rsidRPr="00D91CB9">
        <w:rPr>
          <w:b/>
          <w:lang w:val="es-419"/>
        </w:rPr>
        <w:t>Tabla 3</w:t>
      </w:r>
    </w:p>
    <w:p w14:paraId="39BD2B19" w14:textId="77777777" w:rsidR="00A64FB0" w:rsidRPr="00D91CB9" w:rsidRDefault="00000000">
      <w:pPr>
        <w:keepNext/>
        <w:spacing w:after="120" w:line="288" w:lineRule="auto"/>
        <w:ind w:firstLine="0"/>
        <w:rPr>
          <w:lang w:val="es-419"/>
        </w:rPr>
      </w:pPr>
      <w:r w:rsidRPr="00D91CB9">
        <w:rPr>
          <w:i/>
          <w:lang w:val="es-419"/>
        </w:rPr>
        <w:t>Procedencia de los estudios incluidos</w:t>
      </w:r>
    </w:p>
    <w:tbl>
      <w:tblPr>
        <w:tblW w:w="0" w:type="auto"/>
        <w:jc w:val="center"/>
        <w:tblBorders>
          <w:top w:val="single" w:sz="6" w:space="0" w:color="000000"/>
          <w:left w:val="nil"/>
          <w:bottom w:val="single" w:sz="6" w:space="0" w:color="000000"/>
          <w:right w:val="nil"/>
          <w:insideH w:val="nil"/>
          <w:insideV w:val="nil"/>
        </w:tblBorders>
        <w:tblLayout w:type="fixed"/>
        <w:tblCellMar>
          <w:top w:w="65" w:type="dxa"/>
          <w:left w:w="65" w:type="dxa"/>
          <w:bottom w:w="65" w:type="dxa"/>
          <w:right w:w="65" w:type="dxa"/>
        </w:tblCellMar>
        <w:tblLook w:val="04A0" w:firstRow="1" w:lastRow="0" w:firstColumn="1" w:lastColumn="0" w:noHBand="0" w:noVBand="1"/>
      </w:tblPr>
      <w:tblGrid>
        <w:gridCol w:w="3024"/>
        <w:gridCol w:w="1584"/>
        <w:gridCol w:w="1584"/>
        <w:gridCol w:w="3168"/>
      </w:tblGrid>
      <w:tr w:rsidR="00A64FB0" w14:paraId="2D6CDE7B" w14:textId="77777777">
        <w:trPr>
          <w:cantSplit/>
          <w:tblHeader/>
          <w:jc w:val="center"/>
        </w:trPr>
        <w:tc>
          <w:tcPr>
            <w:tcW w:w="3024" w:type="dxa"/>
          </w:tcPr>
          <w:p w14:paraId="292B3C32" w14:textId="77777777" w:rsidR="00A64FB0" w:rsidRDefault="00000000">
            <w:pPr>
              <w:keepNext/>
              <w:spacing w:before="60" w:after="60" w:line="264" w:lineRule="auto"/>
              <w:ind w:firstLine="0"/>
            </w:pPr>
            <w:proofErr w:type="spellStart"/>
            <w:r>
              <w:rPr>
                <w:b/>
                <w:sz w:val="22"/>
              </w:rPr>
              <w:t>Procedencia</w:t>
            </w:r>
            <w:proofErr w:type="spellEnd"/>
          </w:p>
        </w:tc>
        <w:tc>
          <w:tcPr>
            <w:tcW w:w="1584" w:type="dxa"/>
          </w:tcPr>
          <w:p w14:paraId="7AB10308" w14:textId="77777777" w:rsidR="00A64FB0" w:rsidRDefault="00000000">
            <w:pPr>
              <w:keepNext/>
              <w:spacing w:before="60" w:after="60" w:line="264" w:lineRule="auto"/>
              <w:ind w:firstLine="0"/>
              <w:jc w:val="center"/>
            </w:pPr>
            <w:r>
              <w:rPr>
                <w:b/>
                <w:sz w:val="22"/>
              </w:rPr>
              <w:t>Recuperados</w:t>
            </w:r>
          </w:p>
        </w:tc>
        <w:tc>
          <w:tcPr>
            <w:tcW w:w="1584" w:type="dxa"/>
          </w:tcPr>
          <w:p w14:paraId="73CE44F0" w14:textId="77777777" w:rsidR="00A64FB0" w:rsidRDefault="00000000">
            <w:pPr>
              <w:keepNext/>
              <w:spacing w:before="60" w:after="60" w:line="264" w:lineRule="auto"/>
              <w:ind w:firstLine="0"/>
              <w:jc w:val="center"/>
            </w:pPr>
            <w:r>
              <w:rPr>
                <w:b/>
                <w:sz w:val="22"/>
              </w:rPr>
              <w:t>Incluidos</w:t>
            </w:r>
          </w:p>
        </w:tc>
        <w:tc>
          <w:tcPr>
            <w:tcW w:w="3168" w:type="dxa"/>
          </w:tcPr>
          <w:p w14:paraId="4B378EC4" w14:textId="77777777" w:rsidR="00A64FB0" w:rsidRDefault="00000000">
            <w:pPr>
              <w:keepNext/>
              <w:spacing w:before="60" w:after="60" w:line="264" w:lineRule="auto"/>
              <w:ind w:firstLine="0"/>
              <w:jc w:val="center"/>
            </w:pPr>
            <w:r>
              <w:rPr>
                <w:b/>
                <w:sz w:val="22"/>
              </w:rPr>
              <w:t>Alcance</w:t>
            </w:r>
          </w:p>
        </w:tc>
      </w:tr>
      <w:tr w:rsidR="00A64FB0" w14:paraId="19E78CEB" w14:textId="77777777">
        <w:trPr>
          <w:cantSplit/>
          <w:jc w:val="center"/>
        </w:trPr>
        <w:tc>
          <w:tcPr>
            <w:tcW w:w="3024" w:type="dxa"/>
          </w:tcPr>
          <w:p w14:paraId="449FD007" w14:textId="77777777" w:rsidR="00A64FB0" w:rsidRDefault="00000000">
            <w:pPr>
              <w:keepNext/>
              <w:spacing w:before="60" w:after="60" w:line="264" w:lineRule="auto"/>
              <w:ind w:firstLine="0"/>
            </w:pPr>
            <w:r>
              <w:rPr>
                <w:sz w:val="22"/>
              </w:rPr>
              <w:t>Búsqueda principal</w:t>
            </w:r>
          </w:p>
        </w:tc>
        <w:tc>
          <w:tcPr>
            <w:tcW w:w="1584" w:type="dxa"/>
          </w:tcPr>
          <w:p w14:paraId="41FC70FD" w14:textId="77777777" w:rsidR="00A64FB0" w:rsidRDefault="00000000">
            <w:pPr>
              <w:keepNext/>
              <w:spacing w:before="60" w:after="60" w:line="264" w:lineRule="auto"/>
              <w:ind w:firstLine="0"/>
              <w:jc w:val="center"/>
            </w:pPr>
            <w:r>
              <w:rPr>
                <w:sz w:val="22"/>
              </w:rPr>
              <w:t>1.457</w:t>
            </w:r>
          </w:p>
        </w:tc>
        <w:tc>
          <w:tcPr>
            <w:tcW w:w="1584" w:type="dxa"/>
          </w:tcPr>
          <w:p w14:paraId="0C876897" w14:textId="77777777" w:rsidR="00A64FB0" w:rsidRDefault="00000000">
            <w:pPr>
              <w:keepNext/>
              <w:spacing w:before="60" w:after="60" w:line="264" w:lineRule="auto"/>
              <w:ind w:firstLine="0"/>
              <w:jc w:val="center"/>
            </w:pPr>
            <w:r>
              <w:rPr>
                <w:sz w:val="22"/>
              </w:rPr>
              <w:t>533</w:t>
            </w:r>
          </w:p>
        </w:tc>
        <w:tc>
          <w:tcPr>
            <w:tcW w:w="3168" w:type="dxa"/>
          </w:tcPr>
          <w:p w14:paraId="41C411B1" w14:textId="77777777" w:rsidR="00A64FB0" w:rsidRDefault="00000000">
            <w:pPr>
              <w:keepNext/>
              <w:spacing w:before="60" w:after="60" w:line="264" w:lineRule="auto"/>
              <w:ind w:firstLine="0"/>
              <w:jc w:val="center"/>
            </w:pPr>
            <w:r>
              <w:rPr>
                <w:sz w:val="22"/>
              </w:rPr>
              <w:t>Base histórica</w:t>
            </w:r>
          </w:p>
        </w:tc>
      </w:tr>
      <w:tr w:rsidR="00A64FB0" w14:paraId="1DA5469E" w14:textId="77777777">
        <w:trPr>
          <w:cantSplit/>
          <w:jc w:val="center"/>
        </w:trPr>
        <w:tc>
          <w:tcPr>
            <w:tcW w:w="3024" w:type="dxa"/>
          </w:tcPr>
          <w:p w14:paraId="6315D023" w14:textId="77777777" w:rsidR="00A64FB0" w:rsidRDefault="00000000">
            <w:pPr>
              <w:keepNext/>
              <w:spacing w:before="60" w:after="60" w:line="264" w:lineRule="auto"/>
              <w:ind w:firstLine="0"/>
            </w:pPr>
            <w:r>
              <w:rPr>
                <w:sz w:val="22"/>
              </w:rPr>
              <w:t>Dirigida al español</w:t>
            </w:r>
          </w:p>
        </w:tc>
        <w:tc>
          <w:tcPr>
            <w:tcW w:w="1584" w:type="dxa"/>
          </w:tcPr>
          <w:p w14:paraId="56DEB477" w14:textId="77777777" w:rsidR="00A64FB0" w:rsidRDefault="00000000">
            <w:pPr>
              <w:keepNext/>
              <w:spacing w:before="60" w:after="60" w:line="264" w:lineRule="auto"/>
              <w:ind w:firstLine="0"/>
              <w:jc w:val="center"/>
            </w:pPr>
            <w:r>
              <w:rPr>
                <w:sz w:val="22"/>
              </w:rPr>
              <w:t>278</w:t>
            </w:r>
          </w:p>
        </w:tc>
        <w:tc>
          <w:tcPr>
            <w:tcW w:w="1584" w:type="dxa"/>
          </w:tcPr>
          <w:p w14:paraId="38BE2CB2" w14:textId="77777777" w:rsidR="00A64FB0" w:rsidRDefault="00000000">
            <w:pPr>
              <w:keepNext/>
              <w:spacing w:before="60" w:after="60" w:line="264" w:lineRule="auto"/>
              <w:ind w:firstLine="0"/>
              <w:jc w:val="center"/>
            </w:pPr>
            <w:r>
              <w:rPr>
                <w:sz w:val="22"/>
              </w:rPr>
              <w:t>2</w:t>
            </w:r>
          </w:p>
        </w:tc>
        <w:tc>
          <w:tcPr>
            <w:tcW w:w="3168" w:type="dxa"/>
          </w:tcPr>
          <w:p w14:paraId="72C57EFB" w14:textId="77777777" w:rsidR="00A64FB0" w:rsidRDefault="00000000">
            <w:pPr>
              <w:keepNext/>
              <w:spacing w:before="60" w:after="60" w:line="264" w:lineRule="auto"/>
              <w:ind w:firstLine="0"/>
              <w:jc w:val="center"/>
            </w:pPr>
            <w:r>
              <w:rPr>
                <w:sz w:val="22"/>
              </w:rPr>
              <w:t>Base histórica</w:t>
            </w:r>
          </w:p>
        </w:tc>
      </w:tr>
      <w:tr w:rsidR="00A64FB0" w14:paraId="61FC26F3" w14:textId="77777777">
        <w:trPr>
          <w:cantSplit/>
          <w:jc w:val="center"/>
        </w:trPr>
        <w:tc>
          <w:tcPr>
            <w:tcW w:w="3024" w:type="dxa"/>
          </w:tcPr>
          <w:p w14:paraId="6892D05F" w14:textId="77777777" w:rsidR="00A64FB0" w:rsidRDefault="00000000">
            <w:pPr>
              <w:keepNext/>
              <w:spacing w:before="60" w:after="60" w:line="264" w:lineRule="auto"/>
              <w:ind w:firstLine="0"/>
            </w:pPr>
            <w:r>
              <w:rPr>
                <w:sz w:val="22"/>
              </w:rPr>
              <w:t>Ronda de concordancia</w:t>
            </w:r>
          </w:p>
        </w:tc>
        <w:tc>
          <w:tcPr>
            <w:tcW w:w="1584" w:type="dxa"/>
          </w:tcPr>
          <w:p w14:paraId="6350B675" w14:textId="77777777" w:rsidR="00A64FB0" w:rsidRDefault="00000000">
            <w:pPr>
              <w:keepNext/>
              <w:spacing w:before="60" w:after="60" w:line="264" w:lineRule="auto"/>
              <w:ind w:firstLine="0"/>
              <w:jc w:val="center"/>
            </w:pPr>
            <w:r>
              <w:rPr>
                <w:sz w:val="22"/>
              </w:rPr>
              <w:t>11</w:t>
            </w:r>
          </w:p>
        </w:tc>
        <w:tc>
          <w:tcPr>
            <w:tcW w:w="1584" w:type="dxa"/>
          </w:tcPr>
          <w:p w14:paraId="2A74A090" w14:textId="77777777" w:rsidR="00A64FB0" w:rsidRDefault="00000000">
            <w:pPr>
              <w:keepNext/>
              <w:spacing w:before="60" w:after="60" w:line="264" w:lineRule="auto"/>
              <w:ind w:firstLine="0"/>
              <w:jc w:val="center"/>
            </w:pPr>
            <w:r>
              <w:rPr>
                <w:sz w:val="22"/>
              </w:rPr>
              <w:t>4</w:t>
            </w:r>
          </w:p>
        </w:tc>
        <w:tc>
          <w:tcPr>
            <w:tcW w:w="3168" w:type="dxa"/>
          </w:tcPr>
          <w:p w14:paraId="57408A08" w14:textId="77777777" w:rsidR="00A64FB0" w:rsidRDefault="00000000">
            <w:pPr>
              <w:keepNext/>
              <w:spacing w:before="60" w:after="60" w:line="264" w:lineRule="auto"/>
              <w:ind w:firstLine="0"/>
              <w:jc w:val="center"/>
            </w:pPr>
            <w:r>
              <w:rPr>
                <w:sz w:val="22"/>
              </w:rPr>
              <w:t>Base histórica</w:t>
            </w:r>
          </w:p>
        </w:tc>
      </w:tr>
      <w:tr w:rsidR="00A64FB0" w14:paraId="216E5190" w14:textId="77777777">
        <w:trPr>
          <w:cantSplit/>
          <w:jc w:val="center"/>
        </w:trPr>
        <w:tc>
          <w:tcPr>
            <w:tcW w:w="3024" w:type="dxa"/>
          </w:tcPr>
          <w:p w14:paraId="216F3483" w14:textId="77777777" w:rsidR="00A64FB0" w:rsidRDefault="00000000">
            <w:pPr>
              <w:keepNext/>
              <w:spacing w:before="60" w:after="60" w:line="264" w:lineRule="auto"/>
              <w:ind w:firstLine="0"/>
            </w:pPr>
            <w:r>
              <w:rPr>
                <w:sz w:val="22"/>
              </w:rPr>
              <w:t>Ampliación en arXiv</w:t>
            </w:r>
          </w:p>
        </w:tc>
        <w:tc>
          <w:tcPr>
            <w:tcW w:w="1584" w:type="dxa"/>
          </w:tcPr>
          <w:p w14:paraId="423E3F36" w14:textId="77777777" w:rsidR="00A64FB0" w:rsidRDefault="00000000">
            <w:pPr>
              <w:keepNext/>
              <w:spacing w:before="60" w:after="60" w:line="264" w:lineRule="auto"/>
              <w:ind w:firstLine="0"/>
              <w:jc w:val="center"/>
            </w:pPr>
            <w:r>
              <w:rPr>
                <w:sz w:val="22"/>
              </w:rPr>
              <w:t>300</w:t>
            </w:r>
          </w:p>
        </w:tc>
        <w:tc>
          <w:tcPr>
            <w:tcW w:w="1584" w:type="dxa"/>
          </w:tcPr>
          <w:p w14:paraId="690BC83E" w14:textId="77777777" w:rsidR="00A64FB0" w:rsidRDefault="00000000">
            <w:pPr>
              <w:keepNext/>
              <w:spacing w:before="60" w:after="60" w:line="264" w:lineRule="auto"/>
              <w:ind w:firstLine="0"/>
              <w:jc w:val="center"/>
            </w:pPr>
            <w:r>
              <w:rPr>
                <w:sz w:val="22"/>
              </w:rPr>
              <w:t>11 nuevos</w:t>
            </w:r>
          </w:p>
        </w:tc>
        <w:tc>
          <w:tcPr>
            <w:tcW w:w="3168" w:type="dxa"/>
          </w:tcPr>
          <w:p w14:paraId="040DD343" w14:textId="77777777" w:rsidR="00A64FB0" w:rsidRDefault="00000000">
            <w:pPr>
              <w:keepNext/>
              <w:spacing w:before="60" w:after="60" w:line="264" w:lineRule="auto"/>
              <w:ind w:firstLine="0"/>
              <w:jc w:val="center"/>
            </w:pPr>
            <w:r>
              <w:rPr>
                <w:sz w:val="22"/>
              </w:rPr>
              <w:t>Cribado parcial</w:t>
            </w:r>
          </w:p>
        </w:tc>
      </w:tr>
      <w:tr w:rsidR="00A64FB0" w14:paraId="4AFD9B8A" w14:textId="77777777">
        <w:trPr>
          <w:cantSplit/>
          <w:jc w:val="center"/>
        </w:trPr>
        <w:tc>
          <w:tcPr>
            <w:tcW w:w="3024" w:type="dxa"/>
          </w:tcPr>
          <w:p w14:paraId="203BB8D6" w14:textId="77777777" w:rsidR="00A64FB0" w:rsidRDefault="00000000">
            <w:pPr>
              <w:keepNext/>
              <w:spacing w:before="60" w:after="60" w:line="264" w:lineRule="auto"/>
              <w:ind w:firstLine="0"/>
            </w:pPr>
            <w:r>
              <w:rPr>
                <w:sz w:val="22"/>
              </w:rPr>
              <w:t>Corpus actualizado</w:t>
            </w:r>
          </w:p>
        </w:tc>
        <w:tc>
          <w:tcPr>
            <w:tcW w:w="1584" w:type="dxa"/>
          </w:tcPr>
          <w:p w14:paraId="2E2EB413" w14:textId="77777777" w:rsidR="00A64FB0" w:rsidRDefault="00000000">
            <w:pPr>
              <w:keepNext/>
              <w:spacing w:before="60" w:after="60" w:line="264" w:lineRule="auto"/>
              <w:ind w:firstLine="0"/>
              <w:jc w:val="center"/>
            </w:pPr>
            <w:r>
              <w:rPr>
                <w:sz w:val="22"/>
              </w:rPr>
              <w:t>No sumados</w:t>
            </w:r>
          </w:p>
        </w:tc>
        <w:tc>
          <w:tcPr>
            <w:tcW w:w="1584" w:type="dxa"/>
          </w:tcPr>
          <w:p w14:paraId="50BEF792" w14:textId="77777777" w:rsidR="00A64FB0" w:rsidRDefault="00000000">
            <w:pPr>
              <w:keepNext/>
              <w:spacing w:before="60" w:after="60" w:line="264" w:lineRule="auto"/>
              <w:ind w:firstLine="0"/>
              <w:jc w:val="center"/>
            </w:pPr>
            <w:r>
              <w:rPr>
                <w:sz w:val="22"/>
              </w:rPr>
              <w:t>550</w:t>
            </w:r>
          </w:p>
        </w:tc>
        <w:tc>
          <w:tcPr>
            <w:tcW w:w="3168" w:type="dxa"/>
          </w:tcPr>
          <w:p w14:paraId="492C7E7F" w14:textId="77777777" w:rsidR="00A64FB0" w:rsidRDefault="00000000">
            <w:pPr>
              <w:keepNext/>
              <w:spacing w:before="60" w:after="60" w:line="264" w:lineRule="auto"/>
              <w:ind w:firstLine="0"/>
              <w:jc w:val="center"/>
            </w:pPr>
            <w:r>
              <w:rPr>
                <w:sz w:val="22"/>
              </w:rPr>
              <w:t>544 en análisis general</w:t>
            </w:r>
          </w:p>
        </w:tc>
      </w:tr>
    </w:tbl>
    <w:p w14:paraId="7E44C8F5" w14:textId="77777777" w:rsidR="00A64FB0" w:rsidRPr="00D91CB9" w:rsidRDefault="00000000">
      <w:pPr>
        <w:keepLines/>
        <w:spacing w:after="160" w:line="276" w:lineRule="auto"/>
        <w:ind w:firstLine="0"/>
        <w:rPr>
          <w:lang w:val="es-419"/>
        </w:rPr>
      </w:pPr>
      <w:r w:rsidRPr="00D91CB9">
        <w:rPr>
          <w:sz w:val="20"/>
          <w:lang w:val="es-419"/>
        </w:rPr>
        <w:t>Nota. Las consultas pueden solaparse. Solo se suman inclusiones nuevas verificadas. Los seis estudios complementarios forman parte del corpus, pero no de las distribuciones generales.</w:t>
      </w:r>
    </w:p>
    <w:p w14:paraId="2FDE5850" w14:textId="77777777" w:rsidR="00A64FB0" w:rsidRPr="00D91CB9" w:rsidRDefault="00000000">
      <w:pPr>
        <w:keepNext/>
        <w:spacing w:before="120" w:line="288" w:lineRule="auto"/>
        <w:ind w:firstLine="0"/>
        <w:rPr>
          <w:lang w:val="es-419"/>
        </w:rPr>
      </w:pPr>
      <w:r w:rsidRPr="00D91CB9">
        <w:rPr>
          <w:b/>
          <w:lang w:val="es-419"/>
        </w:rPr>
        <w:lastRenderedPageBreak/>
        <w:t>Figura 1</w:t>
      </w:r>
    </w:p>
    <w:p w14:paraId="7FEED1E5" w14:textId="77777777" w:rsidR="00A64FB0" w:rsidRPr="00D91CB9" w:rsidRDefault="00000000">
      <w:pPr>
        <w:keepNext/>
        <w:spacing w:after="120" w:line="288" w:lineRule="auto"/>
        <w:ind w:firstLine="0"/>
        <w:rPr>
          <w:lang w:val="es-419"/>
        </w:rPr>
      </w:pPr>
      <w:r w:rsidRPr="00D91CB9">
        <w:rPr>
          <w:i/>
          <w:lang w:val="es-419"/>
        </w:rPr>
        <w:t>Selección histórica e incorporación complementaria</w:t>
      </w:r>
    </w:p>
    <w:p w14:paraId="07F7406C" w14:textId="77777777" w:rsidR="00A64FB0" w:rsidRDefault="00000000">
      <w:pPr>
        <w:keepNext/>
        <w:spacing w:after="80" w:line="240" w:lineRule="auto"/>
        <w:ind w:firstLine="0"/>
        <w:jc w:val="center"/>
      </w:pPr>
      <w:r>
        <w:rPr>
          <w:noProof/>
        </w:rPr>
        <w:drawing>
          <wp:inline distT="0" distB="0" distL="0" distR="0" wp14:anchorId="7D8D561A" wp14:editId="322D2D17">
            <wp:extent cx="5943600" cy="4003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seleccion.png"/>
                    <pic:cNvPicPr/>
                  </pic:nvPicPr>
                  <pic:blipFill>
                    <a:blip r:embed="rId7"/>
                    <a:stretch>
                      <a:fillRect/>
                    </a:stretch>
                  </pic:blipFill>
                  <pic:spPr>
                    <a:xfrm>
                      <a:off x="0" y="0"/>
                      <a:ext cx="5943600" cy="4003532"/>
                    </a:xfrm>
                    <a:prstGeom prst="rect">
                      <a:avLst/>
                    </a:prstGeom>
                  </pic:spPr>
                </pic:pic>
              </a:graphicData>
            </a:graphic>
          </wp:inline>
        </w:drawing>
      </w:r>
    </w:p>
    <w:p w14:paraId="336F16DF" w14:textId="77777777" w:rsidR="00A64FB0" w:rsidRPr="00D91CB9" w:rsidRDefault="00000000">
      <w:pPr>
        <w:keepLines/>
        <w:spacing w:after="160" w:line="276" w:lineRule="auto"/>
        <w:ind w:firstLine="0"/>
        <w:rPr>
          <w:lang w:val="es-419"/>
        </w:rPr>
      </w:pPr>
      <w:r w:rsidRPr="00D91CB9">
        <w:rPr>
          <w:sz w:val="20"/>
          <w:lang w:val="es-419"/>
        </w:rPr>
        <w:t>Nota. Los registros pendientes de información y los resultados de arXiv aún sin cribar permanecen fuera de la síntesis. El detalle de las decisiones se conserva en el suplemento.</w:t>
      </w:r>
    </w:p>
    <w:p w14:paraId="47CD4639" w14:textId="77777777" w:rsidR="00A64FB0" w:rsidRPr="00D91CB9" w:rsidRDefault="00000000">
      <w:pPr>
        <w:keepLines/>
        <w:jc w:val="both"/>
        <w:rPr>
          <w:lang w:val="es-419"/>
        </w:rPr>
      </w:pPr>
      <w:r w:rsidRPr="00D91CB9">
        <w:rPr>
          <w:lang w:val="es-419"/>
        </w:rPr>
        <w:t>La concentración reciente de publicaciones de la figura 2 muestra que buena parte de las experiencias disponibles pertenece a una etapa de expansión del campo. Para quien busca reutilizar un método, esto supone una oferta amplia de propuestas recientes cuyo seguimiento entre versiones y proyectos cobra especial importancia. El mapeo permite situar cada propuesta en esa evolución. La menor altura de 2026 corresponde a un año parcial y no permite inferir una disminución del interés investigador.</w:t>
      </w:r>
    </w:p>
    <w:p w14:paraId="290BD10D" w14:textId="77777777" w:rsidR="00A64FB0" w:rsidRPr="00D91CB9" w:rsidRDefault="00000000">
      <w:pPr>
        <w:keepNext/>
        <w:spacing w:before="120" w:line="288" w:lineRule="auto"/>
        <w:ind w:firstLine="0"/>
        <w:rPr>
          <w:lang w:val="es-419"/>
        </w:rPr>
      </w:pPr>
      <w:r w:rsidRPr="00D91CB9">
        <w:rPr>
          <w:b/>
          <w:lang w:val="es-419"/>
        </w:rPr>
        <w:lastRenderedPageBreak/>
        <w:t>Figura 2</w:t>
      </w:r>
    </w:p>
    <w:p w14:paraId="455F991E" w14:textId="77777777" w:rsidR="00A64FB0" w:rsidRPr="00D91CB9" w:rsidRDefault="00000000">
      <w:pPr>
        <w:keepNext/>
        <w:spacing w:after="120" w:line="288" w:lineRule="auto"/>
        <w:ind w:firstLine="0"/>
        <w:rPr>
          <w:lang w:val="es-419"/>
        </w:rPr>
      </w:pPr>
      <w:r w:rsidRPr="00D91CB9">
        <w:rPr>
          <w:i/>
          <w:lang w:val="es-419"/>
        </w:rPr>
        <w:t>Distribución anual de los estudios entre 2015 y 2026</w:t>
      </w:r>
    </w:p>
    <w:p w14:paraId="7F81F2FB" w14:textId="77777777" w:rsidR="00A64FB0" w:rsidRDefault="00000000">
      <w:pPr>
        <w:keepNext/>
        <w:spacing w:after="80" w:line="240" w:lineRule="auto"/>
        <w:ind w:firstLine="0"/>
        <w:jc w:val="center"/>
      </w:pPr>
      <w:r>
        <w:rPr>
          <w:noProof/>
        </w:rPr>
        <w:drawing>
          <wp:inline distT="0" distB="0" distL="0" distR="0" wp14:anchorId="0A2798C3" wp14:editId="2C1C164E">
            <wp:extent cx="5943600" cy="29521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distribucion_anual.png"/>
                    <pic:cNvPicPr/>
                  </pic:nvPicPr>
                  <pic:blipFill>
                    <a:blip r:embed="rId8"/>
                    <a:stretch>
                      <a:fillRect/>
                    </a:stretch>
                  </pic:blipFill>
                  <pic:spPr>
                    <a:xfrm>
                      <a:off x="0" y="0"/>
                      <a:ext cx="5943600" cy="2952156"/>
                    </a:xfrm>
                    <a:prstGeom prst="rect">
                      <a:avLst/>
                    </a:prstGeom>
                  </pic:spPr>
                </pic:pic>
              </a:graphicData>
            </a:graphic>
          </wp:inline>
        </w:drawing>
      </w:r>
    </w:p>
    <w:p w14:paraId="37537448" w14:textId="77777777" w:rsidR="00A64FB0" w:rsidRPr="00D91CB9" w:rsidRDefault="00000000">
      <w:pPr>
        <w:keepLines/>
        <w:spacing w:after="160" w:line="276" w:lineRule="auto"/>
        <w:ind w:firstLine="0"/>
        <w:rPr>
          <w:lang w:val="es-419"/>
        </w:rPr>
      </w:pPr>
      <w:r w:rsidRPr="00D91CB9">
        <w:rPr>
          <w:sz w:val="20"/>
          <w:lang w:val="es-419"/>
        </w:rPr>
        <w:t>Nota. Análisis general de 544 estudios. El asterisco y el rayado identifican 2026 como año parcial. Las nuevas incorporaciones se sitúan por año de publicación editorial.</w:t>
      </w:r>
    </w:p>
    <w:p w14:paraId="17A0B39E" w14:textId="77777777" w:rsidR="00A64FB0" w:rsidRPr="00D91CB9" w:rsidRDefault="00000000">
      <w:pPr>
        <w:keepLines/>
        <w:jc w:val="both"/>
        <w:rPr>
          <w:lang w:val="es-419"/>
        </w:rPr>
      </w:pPr>
      <w:r w:rsidRPr="00D91CB9">
        <w:rPr>
          <w:lang w:val="es-419"/>
        </w:rPr>
        <w:t>La investigación se concentra en transformar textos en estructuras, clasificarlos y generar contenido. En conjunto, estas tareas reúnen el 68,9 % del análisis general. Esta orientación ofrece más antecedentes para organizar o producir documentos que para decidir qué requisito atender primero o seguir sus relaciones con otros documentos. Para un equipo que prepara una especificación, el mapa facilita localizar experiencias cercanas a su trabajo. Para uno que busca priorizar o mantener esas relaciones, muestra una base comparativa más reducida.</w:t>
      </w:r>
    </w:p>
    <w:p w14:paraId="0B17767D" w14:textId="77777777" w:rsidR="00A64FB0" w:rsidRPr="00D91CB9" w:rsidRDefault="00000000">
      <w:pPr>
        <w:keepNext/>
        <w:spacing w:before="120" w:line="288" w:lineRule="auto"/>
        <w:ind w:firstLine="0"/>
        <w:rPr>
          <w:lang w:val="es-419"/>
        </w:rPr>
      </w:pPr>
      <w:r w:rsidRPr="00D91CB9">
        <w:rPr>
          <w:b/>
          <w:lang w:val="es-419"/>
        </w:rPr>
        <w:lastRenderedPageBreak/>
        <w:t>Figura 3</w:t>
      </w:r>
    </w:p>
    <w:p w14:paraId="1E2954D5" w14:textId="77777777" w:rsidR="00A64FB0" w:rsidRPr="00D91CB9" w:rsidRDefault="00000000">
      <w:pPr>
        <w:keepNext/>
        <w:spacing w:after="120" w:line="288" w:lineRule="auto"/>
        <w:ind w:firstLine="0"/>
        <w:rPr>
          <w:lang w:val="es-419"/>
        </w:rPr>
      </w:pPr>
      <w:r w:rsidRPr="00D91CB9">
        <w:rPr>
          <w:i/>
          <w:lang w:val="es-419"/>
        </w:rPr>
        <w:t>Relación entre familias de recursos y tareas</w:t>
      </w:r>
    </w:p>
    <w:p w14:paraId="32A8246E" w14:textId="77777777" w:rsidR="00A64FB0" w:rsidRDefault="00000000">
      <w:pPr>
        <w:keepNext/>
        <w:spacing w:after="80" w:line="240" w:lineRule="auto"/>
        <w:ind w:firstLine="0"/>
        <w:jc w:val="center"/>
      </w:pPr>
      <w:r>
        <w:rPr>
          <w:noProof/>
        </w:rPr>
        <w:drawing>
          <wp:inline distT="0" distB="0" distL="0" distR="0" wp14:anchorId="4C908148" wp14:editId="5EBC83EA">
            <wp:extent cx="5943600" cy="42547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_recursos_tareas.png"/>
                    <pic:cNvPicPr/>
                  </pic:nvPicPr>
                  <pic:blipFill>
                    <a:blip r:embed="rId9"/>
                    <a:stretch>
                      <a:fillRect/>
                    </a:stretch>
                  </pic:blipFill>
                  <pic:spPr>
                    <a:xfrm>
                      <a:off x="0" y="0"/>
                      <a:ext cx="5943600" cy="4254736"/>
                    </a:xfrm>
                    <a:prstGeom prst="rect">
                      <a:avLst/>
                    </a:prstGeom>
                  </pic:spPr>
                </pic:pic>
              </a:graphicData>
            </a:graphic>
          </wp:inline>
        </w:drawing>
      </w:r>
    </w:p>
    <w:p w14:paraId="778A5A83" w14:textId="77777777" w:rsidR="00A64FB0" w:rsidRPr="00D91CB9" w:rsidRDefault="00000000">
      <w:pPr>
        <w:keepLines/>
        <w:spacing w:after="160" w:line="276" w:lineRule="auto"/>
        <w:ind w:firstLine="0"/>
        <w:rPr>
          <w:lang w:val="es-419"/>
        </w:rPr>
      </w:pPr>
      <w:r w:rsidRPr="00D91CB9">
        <w:rPr>
          <w:sz w:val="20"/>
          <w:lang w:val="es-419"/>
        </w:rPr>
        <w:t>Nota. Cada celda representa estudios. Un estudio puede utilizar varias familias, pero tiene una sola tarea principal. Las tareas auxiliares se conservan en la extracción.</w:t>
      </w:r>
    </w:p>
    <w:p w14:paraId="11BF4988" w14:textId="77777777" w:rsidR="00A64FB0" w:rsidRPr="00D91CB9" w:rsidRDefault="00000000">
      <w:pPr>
        <w:keepLines/>
        <w:jc w:val="both"/>
        <w:rPr>
          <w:lang w:val="es-419"/>
        </w:rPr>
      </w:pPr>
      <w:r w:rsidRPr="00D91CB9">
        <w:rPr>
          <w:lang w:val="es-419"/>
        </w:rPr>
        <w:t>El cruce de la figura 3 permite elegir antecedentes según la función buscada. Los modelos generativos se asocian con producir o estructurar contenido, mientras los codificadores contextuales aparecen especialmente en clasificación. Las representaciones explícitas, como ontologías y grafos, permiten examinar relaciones entre conceptos. Su combinación con generación en algunos estudios ilustra una posibilidad útil: producir una propuesta y disponer después de una estructura para revisarla (McFarland y Yue, 2026; Bazin et al., 2025). Así, las familias pueden cumplir funciones complementarias dentro de un método.</w:t>
      </w:r>
    </w:p>
    <w:p w14:paraId="72749622" w14:textId="77777777" w:rsidR="00A64FB0" w:rsidRPr="00D91CB9" w:rsidRDefault="00000000">
      <w:pPr>
        <w:keepLines/>
        <w:jc w:val="both"/>
        <w:rPr>
          <w:lang w:val="es-419"/>
        </w:rPr>
      </w:pPr>
      <w:r w:rsidRPr="00D91CB9">
        <w:rPr>
          <w:lang w:val="es-419"/>
        </w:rPr>
        <w:lastRenderedPageBreak/>
        <w:t>La menor presencia de trazabilidad merece atención porque esta tarea permite conectar un requisito con la norma, necesidad o documento que lo justifica. Los trabajos de Alturayeif y colaboradores (2026) y Etezadi y colaboradores (2026) muestran la influencia de las instrucciones y del contexto documental al recuperar esos vínculos. La implicación es que incorporar un modelo exige definir qué relación debe reconocer y qué omisiones serían relevantes. Su utilidad se juega en la corrección de esas conexiones, además de la capacidad de procesar texto.</w:t>
      </w:r>
    </w:p>
    <w:p w14:paraId="7DB08B3C" w14:textId="77777777" w:rsidR="00A64FB0" w:rsidRPr="00D91CB9" w:rsidRDefault="00000000">
      <w:pPr>
        <w:pStyle w:val="Heading2"/>
        <w:rPr>
          <w:lang w:val="es-419"/>
        </w:rPr>
      </w:pPr>
      <w:r w:rsidRPr="00D91CB9">
        <w:rPr>
          <w:rFonts w:ascii="Times New Roman" w:hAnsi="Times New Roman"/>
          <w:lang w:val="es-419"/>
        </w:rPr>
        <w:t>Qué permiten afirmar las evaluaciones</w:t>
      </w:r>
    </w:p>
    <w:p w14:paraId="78DA8AC8" w14:textId="77777777" w:rsidR="00A64FB0" w:rsidRPr="00D91CB9" w:rsidRDefault="00000000">
      <w:pPr>
        <w:keepLines/>
        <w:jc w:val="both"/>
        <w:rPr>
          <w:lang w:val="es-419"/>
        </w:rPr>
      </w:pPr>
      <w:r w:rsidRPr="00D91CB9">
        <w:rPr>
          <w:lang w:val="es-419"/>
        </w:rPr>
        <w:t>El predominio de experimentos con métricas en la tabla 4 indica que la evidencia se orienta principalmente a comprobar resultados frente a respuestas de referencia. Esto ayuda a saber si un método clasifica o recupera información correctamente bajo ciertas condiciones. Para decidir su uso cotidiano falta además conocer cómo afecta al trabajo de las personas: qué errores deben corregir y si las salidas les permiten tomar mejores decisiones. La menor presencia de evaluaciones con personas como modalidad principal señala esa necesidad de comprobación.</w:t>
      </w:r>
    </w:p>
    <w:p w14:paraId="730B22F3" w14:textId="77777777" w:rsidR="00A64FB0" w:rsidRDefault="00000000">
      <w:pPr>
        <w:keepNext/>
        <w:spacing w:before="120" w:line="288" w:lineRule="auto"/>
        <w:ind w:firstLine="0"/>
      </w:pPr>
      <w:proofErr w:type="spellStart"/>
      <w:r>
        <w:rPr>
          <w:b/>
        </w:rPr>
        <w:t>Tabla</w:t>
      </w:r>
      <w:proofErr w:type="spellEnd"/>
      <w:r>
        <w:rPr>
          <w:b/>
        </w:rPr>
        <w:t xml:space="preserve"> 4</w:t>
      </w:r>
    </w:p>
    <w:p w14:paraId="0D48ADB4" w14:textId="77777777" w:rsidR="00A64FB0" w:rsidRDefault="00000000">
      <w:pPr>
        <w:keepNext/>
        <w:spacing w:after="120" w:line="288" w:lineRule="auto"/>
        <w:ind w:firstLine="0"/>
      </w:pPr>
      <w:r>
        <w:rPr>
          <w:i/>
        </w:rPr>
        <w:t>Tipo de evaluación declarado</w:t>
      </w:r>
    </w:p>
    <w:tbl>
      <w:tblPr>
        <w:tblW w:w="0" w:type="auto"/>
        <w:jc w:val="center"/>
        <w:tblBorders>
          <w:top w:val="single" w:sz="6" w:space="0" w:color="000000"/>
          <w:left w:val="nil"/>
          <w:bottom w:val="single" w:sz="6" w:space="0" w:color="000000"/>
          <w:right w:val="nil"/>
          <w:insideH w:val="nil"/>
          <w:insideV w:val="nil"/>
        </w:tblBorders>
        <w:tblLayout w:type="fixed"/>
        <w:tblCellMar>
          <w:top w:w="65" w:type="dxa"/>
          <w:left w:w="65" w:type="dxa"/>
          <w:bottom w:w="65" w:type="dxa"/>
          <w:right w:w="65" w:type="dxa"/>
        </w:tblCellMar>
        <w:tblLook w:val="04A0" w:firstRow="1" w:lastRow="0" w:firstColumn="1" w:lastColumn="0" w:noHBand="0" w:noVBand="1"/>
      </w:tblPr>
      <w:tblGrid>
        <w:gridCol w:w="5904"/>
        <w:gridCol w:w="1440"/>
        <w:gridCol w:w="2016"/>
      </w:tblGrid>
      <w:tr w:rsidR="00A64FB0" w14:paraId="38F6C425" w14:textId="77777777">
        <w:trPr>
          <w:cantSplit/>
          <w:tblHeader/>
          <w:jc w:val="center"/>
        </w:trPr>
        <w:tc>
          <w:tcPr>
            <w:tcW w:w="5904" w:type="dxa"/>
          </w:tcPr>
          <w:p w14:paraId="383C9BBF" w14:textId="77777777" w:rsidR="00A64FB0" w:rsidRDefault="00000000">
            <w:pPr>
              <w:keepNext/>
              <w:spacing w:before="60" w:after="60" w:line="264" w:lineRule="auto"/>
              <w:ind w:firstLine="0"/>
            </w:pPr>
            <w:r>
              <w:rPr>
                <w:b/>
                <w:sz w:val="22"/>
              </w:rPr>
              <w:t>Tipo</w:t>
            </w:r>
          </w:p>
        </w:tc>
        <w:tc>
          <w:tcPr>
            <w:tcW w:w="1440" w:type="dxa"/>
          </w:tcPr>
          <w:p w14:paraId="082FC190" w14:textId="77777777" w:rsidR="00A64FB0" w:rsidRDefault="00000000">
            <w:pPr>
              <w:keepNext/>
              <w:spacing w:before="60" w:after="60" w:line="264" w:lineRule="auto"/>
              <w:ind w:firstLine="0"/>
              <w:jc w:val="center"/>
            </w:pPr>
            <w:r>
              <w:rPr>
                <w:b/>
                <w:sz w:val="22"/>
              </w:rPr>
              <w:t>Estudios</w:t>
            </w:r>
          </w:p>
        </w:tc>
        <w:tc>
          <w:tcPr>
            <w:tcW w:w="2016" w:type="dxa"/>
          </w:tcPr>
          <w:p w14:paraId="2B215641" w14:textId="77777777" w:rsidR="00A64FB0" w:rsidRDefault="00000000">
            <w:pPr>
              <w:keepNext/>
              <w:spacing w:before="60" w:after="60" w:line="264" w:lineRule="auto"/>
              <w:ind w:firstLine="0"/>
              <w:jc w:val="center"/>
            </w:pPr>
            <w:r>
              <w:rPr>
                <w:b/>
                <w:sz w:val="22"/>
              </w:rPr>
              <w:t>Porcentaje de 544</w:t>
            </w:r>
          </w:p>
        </w:tc>
      </w:tr>
      <w:tr w:rsidR="00A64FB0" w14:paraId="3F17E82A" w14:textId="77777777">
        <w:trPr>
          <w:cantSplit/>
          <w:jc w:val="center"/>
        </w:trPr>
        <w:tc>
          <w:tcPr>
            <w:tcW w:w="5904" w:type="dxa"/>
          </w:tcPr>
          <w:p w14:paraId="6DCF92AF" w14:textId="77777777" w:rsidR="00A64FB0" w:rsidRDefault="00000000">
            <w:pPr>
              <w:keepNext/>
              <w:spacing w:before="60" w:after="60" w:line="264" w:lineRule="auto"/>
              <w:ind w:firstLine="0"/>
            </w:pPr>
            <w:r>
              <w:rPr>
                <w:sz w:val="22"/>
              </w:rPr>
              <w:t>Experimento con métricas</w:t>
            </w:r>
          </w:p>
        </w:tc>
        <w:tc>
          <w:tcPr>
            <w:tcW w:w="1440" w:type="dxa"/>
          </w:tcPr>
          <w:p w14:paraId="4F3B3C35" w14:textId="77777777" w:rsidR="00A64FB0" w:rsidRDefault="00000000">
            <w:pPr>
              <w:keepNext/>
              <w:spacing w:before="60" w:after="60" w:line="264" w:lineRule="auto"/>
              <w:ind w:firstLine="0"/>
              <w:jc w:val="center"/>
            </w:pPr>
            <w:r>
              <w:rPr>
                <w:sz w:val="22"/>
              </w:rPr>
              <w:t>309</w:t>
            </w:r>
          </w:p>
        </w:tc>
        <w:tc>
          <w:tcPr>
            <w:tcW w:w="2016" w:type="dxa"/>
          </w:tcPr>
          <w:p w14:paraId="2E81A807" w14:textId="77777777" w:rsidR="00A64FB0" w:rsidRDefault="00000000">
            <w:pPr>
              <w:keepNext/>
              <w:spacing w:before="60" w:after="60" w:line="264" w:lineRule="auto"/>
              <w:ind w:firstLine="0"/>
              <w:jc w:val="center"/>
            </w:pPr>
            <w:r>
              <w:rPr>
                <w:sz w:val="22"/>
              </w:rPr>
              <w:t>56,8 %</w:t>
            </w:r>
          </w:p>
        </w:tc>
      </w:tr>
      <w:tr w:rsidR="00A64FB0" w14:paraId="4AE18714" w14:textId="77777777">
        <w:trPr>
          <w:cantSplit/>
          <w:jc w:val="center"/>
        </w:trPr>
        <w:tc>
          <w:tcPr>
            <w:tcW w:w="5904" w:type="dxa"/>
          </w:tcPr>
          <w:p w14:paraId="13326203" w14:textId="77777777" w:rsidR="00A64FB0" w:rsidRPr="00D91CB9" w:rsidRDefault="00000000">
            <w:pPr>
              <w:keepNext/>
              <w:spacing w:before="60" w:after="60" w:line="264" w:lineRule="auto"/>
              <w:ind w:firstLine="0"/>
              <w:rPr>
                <w:lang w:val="es-419"/>
              </w:rPr>
            </w:pPr>
            <w:r w:rsidRPr="00D91CB9">
              <w:rPr>
                <w:sz w:val="22"/>
                <w:lang w:val="es-419"/>
              </w:rPr>
              <w:t>Caso de estudio o demostración</w:t>
            </w:r>
          </w:p>
        </w:tc>
        <w:tc>
          <w:tcPr>
            <w:tcW w:w="1440" w:type="dxa"/>
          </w:tcPr>
          <w:p w14:paraId="0EE6BCE6" w14:textId="77777777" w:rsidR="00A64FB0" w:rsidRDefault="00000000">
            <w:pPr>
              <w:keepNext/>
              <w:spacing w:before="60" w:after="60" w:line="264" w:lineRule="auto"/>
              <w:ind w:firstLine="0"/>
              <w:jc w:val="center"/>
            </w:pPr>
            <w:r>
              <w:rPr>
                <w:sz w:val="22"/>
              </w:rPr>
              <w:t>98</w:t>
            </w:r>
          </w:p>
        </w:tc>
        <w:tc>
          <w:tcPr>
            <w:tcW w:w="2016" w:type="dxa"/>
          </w:tcPr>
          <w:p w14:paraId="44E972AF" w14:textId="77777777" w:rsidR="00A64FB0" w:rsidRDefault="00000000">
            <w:pPr>
              <w:keepNext/>
              <w:spacing w:before="60" w:after="60" w:line="264" w:lineRule="auto"/>
              <w:ind w:firstLine="0"/>
              <w:jc w:val="center"/>
            </w:pPr>
            <w:r>
              <w:rPr>
                <w:sz w:val="22"/>
              </w:rPr>
              <w:t>18,0 %</w:t>
            </w:r>
          </w:p>
        </w:tc>
      </w:tr>
      <w:tr w:rsidR="00A64FB0" w14:paraId="252DDED7" w14:textId="77777777">
        <w:trPr>
          <w:cantSplit/>
          <w:jc w:val="center"/>
        </w:trPr>
        <w:tc>
          <w:tcPr>
            <w:tcW w:w="5904" w:type="dxa"/>
          </w:tcPr>
          <w:p w14:paraId="4907EC7F" w14:textId="77777777" w:rsidR="00A64FB0" w:rsidRDefault="00000000">
            <w:pPr>
              <w:keepNext/>
              <w:spacing w:before="60" w:after="60" w:line="264" w:lineRule="auto"/>
              <w:ind w:firstLine="0"/>
            </w:pPr>
            <w:r>
              <w:rPr>
                <w:sz w:val="22"/>
              </w:rPr>
              <w:t>Evaluación con personas</w:t>
            </w:r>
          </w:p>
        </w:tc>
        <w:tc>
          <w:tcPr>
            <w:tcW w:w="1440" w:type="dxa"/>
          </w:tcPr>
          <w:p w14:paraId="5008A2FF" w14:textId="77777777" w:rsidR="00A64FB0" w:rsidRDefault="00000000">
            <w:pPr>
              <w:keepNext/>
              <w:spacing w:before="60" w:after="60" w:line="264" w:lineRule="auto"/>
              <w:ind w:firstLine="0"/>
              <w:jc w:val="center"/>
            </w:pPr>
            <w:r>
              <w:rPr>
                <w:sz w:val="22"/>
              </w:rPr>
              <w:t>45</w:t>
            </w:r>
          </w:p>
        </w:tc>
        <w:tc>
          <w:tcPr>
            <w:tcW w:w="2016" w:type="dxa"/>
          </w:tcPr>
          <w:p w14:paraId="7661E8D3" w14:textId="77777777" w:rsidR="00A64FB0" w:rsidRDefault="00000000">
            <w:pPr>
              <w:keepNext/>
              <w:spacing w:before="60" w:after="60" w:line="264" w:lineRule="auto"/>
              <w:ind w:firstLine="0"/>
              <w:jc w:val="center"/>
            </w:pPr>
            <w:r>
              <w:rPr>
                <w:sz w:val="22"/>
              </w:rPr>
              <w:t>8,3 %</w:t>
            </w:r>
          </w:p>
        </w:tc>
      </w:tr>
      <w:tr w:rsidR="00A64FB0" w14:paraId="7E55E001" w14:textId="77777777">
        <w:trPr>
          <w:cantSplit/>
          <w:jc w:val="center"/>
        </w:trPr>
        <w:tc>
          <w:tcPr>
            <w:tcW w:w="5904" w:type="dxa"/>
          </w:tcPr>
          <w:p w14:paraId="6BCA9F11" w14:textId="77777777" w:rsidR="00A64FB0" w:rsidRPr="00D91CB9" w:rsidRDefault="00000000">
            <w:pPr>
              <w:keepNext/>
              <w:spacing w:before="60" w:after="60" w:line="264" w:lineRule="auto"/>
              <w:ind w:firstLine="0"/>
              <w:rPr>
                <w:lang w:val="es-419"/>
              </w:rPr>
            </w:pPr>
            <w:r w:rsidRPr="00D91CB9">
              <w:rPr>
                <w:sz w:val="22"/>
                <w:lang w:val="es-419"/>
              </w:rPr>
              <w:t>Sin evaluación declarada en el texto analizado</w:t>
            </w:r>
          </w:p>
        </w:tc>
        <w:tc>
          <w:tcPr>
            <w:tcW w:w="1440" w:type="dxa"/>
          </w:tcPr>
          <w:p w14:paraId="57453B85" w14:textId="77777777" w:rsidR="00A64FB0" w:rsidRDefault="00000000">
            <w:pPr>
              <w:keepNext/>
              <w:spacing w:before="60" w:after="60" w:line="264" w:lineRule="auto"/>
              <w:ind w:firstLine="0"/>
              <w:jc w:val="center"/>
            </w:pPr>
            <w:r>
              <w:rPr>
                <w:sz w:val="22"/>
              </w:rPr>
              <w:t>50</w:t>
            </w:r>
          </w:p>
        </w:tc>
        <w:tc>
          <w:tcPr>
            <w:tcW w:w="2016" w:type="dxa"/>
          </w:tcPr>
          <w:p w14:paraId="1609502F" w14:textId="77777777" w:rsidR="00A64FB0" w:rsidRDefault="00000000">
            <w:pPr>
              <w:keepNext/>
              <w:spacing w:before="60" w:after="60" w:line="264" w:lineRule="auto"/>
              <w:ind w:firstLine="0"/>
              <w:jc w:val="center"/>
            </w:pPr>
            <w:r>
              <w:rPr>
                <w:sz w:val="22"/>
              </w:rPr>
              <w:t>9,2 %</w:t>
            </w:r>
          </w:p>
        </w:tc>
      </w:tr>
      <w:tr w:rsidR="00A64FB0" w14:paraId="114719AE" w14:textId="77777777">
        <w:trPr>
          <w:cantSplit/>
          <w:jc w:val="center"/>
        </w:trPr>
        <w:tc>
          <w:tcPr>
            <w:tcW w:w="5904" w:type="dxa"/>
          </w:tcPr>
          <w:p w14:paraId="3F7F8AC3" w14:textId="77777777" w:rsidR="00A64FB0" w:rsidRPr="00D91CB9" w:rsidRDefault="00000000">
            <w:pPr>
              <w:keepNext/>
              <w:spacing w:before="60" w:after="60" w:line="264" w:lineRule="auto"/>
              <w:ind w:firstLine="0"/>
              <w:rPr>
                <w:lang w:val="es-419"/>
              </w:rPr>
            </w:pPr>
            <w:r w:rsidRPr="00D91CB9">
              <w:rPr>
                <w:sz w:val="22"/>
                <w:lang w:val="es-419"/>
              </w:rPr>
              <w:t>No consta el tipo de evaluación</w:t>
            </w:r>
          </w:p>
        </w:tc>
        <w:tc>
          <w:tcPr>
            <w:tcW w:w="1440" w:type="dxa"/>
          </w:tcPr>
          <w:p w14:paraId="1AFB332F" w14:textId="77777777" w:rsidR="00A64FB0" w:rsidRDefault="00000000">
            <w:pPr>
              <w:keepNext/>
              <w:spacing w:before="60" w:after="60" w:line="264" w:lineRule="auto"/>
              <w:ind w:firstLine="0"/>
              <w:jc w:val="center"/>
            </w:pPr>
            <w:r>
              <w:rPr>
                <w:sz w:val="22"/>
              </w:rPr>
              <w:t>42</w:t>
            </w:r>
          </w:p>
        </w:tc>
        <w:tc>
          <w:tcPr>
            <w:tcW w:w="2016" w:type="dxa"/>
          </w:tcPr>
          <w:p w14:paraId="31E74B78" w14:textId="77777777" w:rsidR="00A64FB0" w:rsidRDefault="00000000">
            <w:pPr>
              <w:keepNext/>
              <w:spacing w:before="60" w:after="60" w:line="264" w:lineRule="auto"/>
              <w:ind w:firstLine="0"/>
              <w:jc w:val="center"/>
            </w:pPr>
            <w:r>
              <w:rPr>
                <w:sz w:val="22"/>
              </w:rPr>
              <w:t>7,7 %</w:t>
            </w:r>
          </w:p>
        </w:tc>
      </w:tr>
      <w:tr w:rsidR="00A64FB0" w14:paraId="51F26A18" w14:textId="77777777">
        <w:trPr>
          <w:cantSplit/>
          <w:jc w:val="center"/>
        </w:trPr>
        <w:tc>
          <w:tcPr>
            <w:tcW w:w="5904" w:type="dxa"/>
          </w:tcPr>
          <w:p w14:paraId="6FB0EEF1" w14:textId="77777777" w:rsidR="00A64FB0" w:rsidRDefault="00000000">
            <w:pPr>
              <w:keepNext/>
              <w:spacing w:before="60" w:after="60" w:line="264" w:lineRule="auto"/>
              <w:ind w:firstLine="0"/>
            </w:pPr>
            <w:r>
              <w:rPr>
                <w:sz w:val="22"/>
              </w:rPr>
              <w:t>Total</w:t>
            </w:r>
          </w:p>
        </w:tc>
        <w:tc>
          <w:tcPr>
            <w:tcW w:w="1440" w:type="dxa"/>
          </w:tcPr>
          <w:p w14:paraId="71CB7F5F" w14:textId="77777777" w:rsidR="00A64FB0" w:rsidRDefault="00000000">
            <w:pPr>
              <w:keepNext/>
              <w:spacing w:before="60" w:after="60" w:line="264" w:lineRule="auto"/>
              <w:ind w:firstLine="0"/>
              <w:jc w:val="center"/>
            </w:pPr>
            <w:r>
              <w:rPr>
                <w:sz w:val="22"/>
              </w:rPr>
              <w:t>544</w:t>
            </w:r>
          </w:p>
        </w:tc>
        <w:tc>
          <w:tcPr>
            <w:tcW w:w="2016" w:type="dxa"/>
          </w:tcPr>
          <w:p w14:paraId="26E2480A" w14:textId="77777777" w:rsidR="00A64FB0" w:rsidRDefault="00000000">
            <w:pPr>
              <w:keepNext/>
              <w:spacing w:before="60" w:after="60" w:line="264" w:lineRule="auto"/>
              <w:ind w:firstLine="0"/>
              <w:jc w:val="center"/>
            </w:pPr>
            <w:r>
              <w:rPr>
                <w:sz w:val="22"/>
              </w:rPr>
              <w:t>100,0 %</w:t>
            </w:r>
          </w:p>
        </w:tc>
      </w:tr>
    </w:tbl>
    <w:p w14:paraId="5BDCF8FA" w14:textId="77777777" w:rsidR="00A64FB0" w:rsidRPr="00D91CB9" w:rsidRDefault="00000000">
      <w:pPr>
        <w:keepLines/>
        <w:spacing w:after="160" w:line="276" w:lineRule="auto"/>
        <w:ind w:firstLine="0"/>
        <w:rPr>
          <w:lang w:val="es-419"/>
        </w:rPr>
      </w:pPr>
      <w:r w:rsidRPr="00D91CB9">
        <w:rPr>
          <w:sz w:val="20"/>
          <w:lang w:val="es-419"/>
        </w:rPr>
        <w:t>Nota. Distribución sobre 544 estudios. La categoría principal admite evaluaciones secundarias. La falta de declaración se refiere al texto consultado.</w:t>
      </w:r>
    </w:p>
    <w:p w14:paraId="47487BFE" w14:textId="77777777" w:rsidR="00A64FB0" w:rsidRPr="00D91CB9" w:rsidRDefault="00000000">
      <w:pPr>
        <w:keepLines/>
        <w:jc w:val="both"/>
        <w:rPr>
          <w:lang w:val="es-419"/>
        </w:rPr>
      </w:pPr>
      <w:r w:rsidRPr="00D91CB9">
        <w:rPr>
          <w:lang w:val="es-419"/>
        </w:rPr>
        <w:lastRenderedPageBreak/>
        <w:t>Los estudios con personas aportan elementos para formular esa comprobación: calidad de las observaciones, utilidad percibida y pertinencia de las mejoras propuestas (Lubos et al., 2024; Neo et al., 2024; Zhang et al., 2024). En la generación de especificaciones, la calidad también varía entre secciones (Krishna et al., 2024). En consecuencia, el beneficio de una herramienta necesita valorarse sobre el documento que queda después de revisarla. Producir más texto puede ayudar a elaborar una propuesta, pero el esfuerzo de corrección forma parte de su utilidad.</w:t>
      </w:r>
    </w:p>
    <w:p w14:paraId="42C98BB3" w14:textId="77777777" w:rsidR="00A64FB0" w:rsidRPr="00D91CB9" w:rsidRDefault="00000000">
      <w:pPr>
        <w:keepLines/>
        <w:jc w:val="both"/>
        <w:rPr>
          <w:lang w:val="es-419"/>
        </w:rPr>
      </w:pPr>
      <w:r w:rsidRPr="00D91CB9">
        <w:rPr>
          <w:lang w:val="es-419"/>
        </w:rPr>
        <w:t>La frecuencia de conjuntos propios muestra que muchos métodos se prueban con datos preparados para una investigación concreta. Esto permite estudiar problemas específicos, aunque dificulta elegir entre soluciones evaluadas en condiciones distintas. Comparaciones sobre una tarea común, como la de Khayashi y colaboradores (2026), ofrecen una base más delimitada para esa elección. El mapeo identifica, por tanto, la necesidad de pruebas compartidas: mantener los mismos requisitos y criterios permitiría atribuir con mayor fundamento las diferencias observadas al método utilizado.</w:t>
      </w:r>
    </w:p>
    <w:p w14:paraId="4901365B" w14:textId="77777777" w:rsidR="00A64FB0" w:rsidRPr="00D91CB9" w:rsidRDefault="00000000">
      <w:pPr>
        <w:pStyle w:val="Heading2"/>
        <w:rPr>
          <w:lang w:val="es-419"/>
        </w:rPr>
      </w:pPr>
      <w:r w:rsidRPr="00D91CB9">
        <w:rPr>
          <w:rFonts w:ascii="Times New Roman" w:hAnsi="Times New Roman"/>
          <w:lang w:val="es-419"/>
        </w:rPr>
        <w:t>Qué puede aprovecharse para trabajar en español</w:t>
      </w:r>
    </w:p>
    <w:p w14:paraId="4E8F2337" w14:textId="77777777" w:rsidR="00A64FB0" w:rsidRPr="00D91CB9" w:rsidRDefault="00000000">
      <w:pPr>
        <w:keepLines/>
        <w:jc w:val="both"/>
        <w:rPr>
          <w:lang w:val="es-419"/>
        </w:rPr>
      </w:pPr>
      <w:r w:rsidRPr="00D91CB9">
        <w:rPr>
          <w:lang w:val="es-419"/>
        </w:rPr>
        <w:t>El inventario de 132 recursos concretos permite distinguir dos situaciones para su reutilización. El 29,5 % dispone de respaldo directo del español, que ofrece un punto de partida lingüístico para una evaluación. En el 51,5 % se identificó una adaptación, versión multilingüe o alternativa funcional. Para este segundo grupo, seguir la vía identificada supone modificar algún componente del método y comprobar su resultado. El aporte de la tabla 5 es hacer visible ese trabajo previo a la adopción, que una lista de nombres no permite reconocer.</w:t>
      </w:r>
    </w:p>
    <w:p w14:paraId="6446CCDF" w14:textId="77777777" w:rsidR="00A64FB0" w:rsidRPr="00D91CB9" w:rsidRDefault="00000000">
      <w:pPr>
        <w:keepNext/>
        <w:spacing w:before="120" w:line="288" w:lineRule="auto"/>
        <w:ind w:firstLine="0"/>
        <w:rPr>
          <w:lang w:val="es-419"/>
        </w:rPr>
      </w:pPr>
      <w:r w:rsidRPr="00D91CB9">
        <w:rPr>
          <w:b/>
          <w:lang w:val="es-419"/>
        </w:rPr>
        <w:lastRenderedPageBreak/>
        <w:t>Tabla 5</w:t>
      </w:r>
    </w:p>
    <w:p w14:paraId="0B2E6354" w14:textId="77777777" w:rsidR="00A64FB0" w:rsidRPr="00D91CB9" w:rsidRDefault="00000000">
      <w:pPr>
        <w:keepNext/>
        <w:spacing w:after="120" w:line="288" w:lineRule="auto"/>
        <w:ind w:firstLine="0"/>
        <w:rPr>
          <w:lang w:val="es-419"/>
        </w:rPr>
      </w:pPr>
      <w:r w:rsidRPr="00D91CB9">
        <w:rPr>
          <w:i/>
          <w:lang w:val="es-419"/>
        </w:rPr>
        <w:t>Respaldo del español y vías de adaptación de los recursos</w:t>
      </w:r>
    </w:p>
    <w:tbl>
      <w:tblPr>
        <w:tblW w:w="0" w:type="auto"/>
        <w:jc w:val="center"/>
        <w:tblBorders>
          <w:top w:val="single" w:sz="6" w:space="0" w:color="000000"/>
          <w:left w:val="nil"/>
          <w:bottom w:val="single" w:sz="6" w:space="0" w:color="000000"/>
          <w:right w:val="nil"/>
          <w:insideH w:val="nil"/>
          <w:insideV w:val="nil"/>
        </w:tblBorders>
        <w:tblLayout w:type="fixed"/>
        <w:tblCellMar>
          <w:top w:w="65" w:type="dxa"/>
          <w:left w:w="65" w:type="dxa"/>
          <w:bottom w:w="65" w:type="dxa"/>
          <w:right w:w="65" w:type="dxa"/>
        </w:tblCellMar>
        <w:tblLook w:val="04A0" w:firstRow="1" w:lastRow="0" w:firstColumn="1" w:lastColumn="0" w:noHBand="0" w:noVBand="1"/>
      </w:tblPr>
      <w:tblGrid>
        <w:gridCol w:w="6336"/>
        <w:gridCol w:w="1512"/>
        <w:gridCol w:w="1512"/>
      </w:tblGrid>
      <w:tr w:rsidR="00A64FB0" w14:paraId="3D24D9DA" w14:textId="77777777">
        <w:trPr>
          <w:cantSplit/>
          <w:tblHeader/>
          <w:jc w:val="center"/>
        </w:trPr>
        <w:tc>
          <w:tcPr>
            <w:tcW w:w="6336" w:type="dxa"/>
          </w:tcPr>
          <w:p w14:paraId="0DA5389A" w14:textId="77777777" w:rsidR="00A64FB0" w:rsidRDefault="00000000">
            <w:pPr>
              <w:keepNext/>
              <w:spacing w:before="30" w:after="30" w:line="264" w:lineRule="auto"/>
              <w:ind w:firstLine="0"/>
            </w:pPr>
            <w:proofErr w:type="spellStart"/>
            <w:r>
              <w:rPr>
                <w:b/>
                <w:sz w:val="22"/>
              </w:rPr>
              <w:t>Categoría</w:t>
            </w:r>
            <w:proofErr w:type="spellEnd"/>
          </w:p>
        </w:tc>
        <w:tc>
          <w:tcPr>
            <w:tcW w:w="1512" w:type="dxa"/>
          </w:tcPr>
          <w:p w14:paraId="1679306F" w14:textId="77777777" w:rsidR="00A64FB0" w:rsidRDefault="00000000">
            <w:pPr>
              <w:keepNext/>
              <w:spacing w:before="30" w:after="30" w:line="264" w:lineRule="auto"/>
              <w:ind w:firstLine="0"/>
              <w:jc w:val="center"/>
            </w:pPr>
            <w:r>
              <w:rPr>
                <w:b/>
                <w:sz w:val="22"/>
              </w:rPr>
              <w:t>Recursos</w:t>
            </w:r>
          </w:p>
        </w:tc>
        <w:tc>
          <w:tcPr>
            <w:tcW w:w="1512" w:type="dxa"/>
          </w:tcPr>
          <w:p w14:paraId="4243C68D" w14:textId="77777777" w:rsidR="00A64FB0" w:rsidRDefault="00000000">
            <w:pPr>
              <w:keepNext/>
              <w:spacing w:before="30" w:after="30" w:line="264" w:lineRule="auto"/>
              <w:ind w:firstLine="0"/>
              <w:jc w:val="center"/>
            </w:pPr>
            <w:r>
              <w:rPr>
                <w:b/>
                <w:sz w:val="22"/>
              </w:rPr>
              <w:t>Usos</w:t>
            </w:r>
          </w:p>
        </w:tc>
      </w:tr>
      <w:tr w:rsidR="00A64FB0" w14:paraId="4DB13CDB" w14:textId="77777777">
        <w:trPr>
          <w:cantSplit/>
          <w:jc w:val="center"/>
        </w:trPr>
        <w:tc>
          <w:tcPr>
            <w:tcW w:w="6336" w:type="dxa"/>
          </w:tcPr>
          <w:p w14:paraId="49C656BD" w14:textId="77777777" w:rsidR="00A64FB0" w:rsidRPr="00D91CB9" w:rsidRDefault="00000000">
            <w:pPr>
              <w:keepNext/>
              <w:spacing w:before="30" w:after="30" w:line="264" w:lineRule="auto"/>
              <w:ind w:firstLine="0"/>
              <w:rPr>
                <w:lang w:val="es-419"/>
              </w:rPr>
            </w:pPr>
            <w:r w:rsidRPr="00D91CB9">
              <w:rPr>
                <w:sz w:val="22"/>
                <w:lang w:val="es-419"/>
              </w:rPr>
              <w:t>Evidencia directa según el criterio documental</w:t>
            </w:r>
          </w:p>
        </w:tc>
        <w:tc>
          <w:tcPr>
            <w:tcW w:w="1512" w:type="dxa"/>
          </w:tcPr>
          <w:p w14:paraId="58FA62A1" w14:textId="77777777" w:rsidR="00A64FB0" w:rsidRDefault="00000000">
            <w:pPr>
              <w:keepNext/>
              <w:spacing w:before="30" w:after="30" w:line="264" w:lineRule="auto"/>
              <w:ind w:firstLine="0"/>
              <w:jc w:val="center"/>
            </w:pPr>
            <w:r>
              <w:rPr>
                <w:sz w:val="22"/>
              </w:rPr>
              <w:t>39</w:t>
            </w:r>
          </w:p>
        </w:tc>
        <w:tc>
          <w:tcPr>
            <w:tcW w:w="1512" w:type="dxa"/>
          </w:tcPr>
          <w:p w14:paraId="18A6AFC1" w14:textId="77777777" w:rsidR="00A64FB0" w:rsidRDefault="00000000">
            <w:pPr>
              <w:keepNext/>
              <w:spacing w:before="30" w:after="30" w:line="264" w:lineRule="auto"/>
              <w:ind w:firstLine="0"/>
              <w:jc w:val="center"/>
            </w:pPr>
            <w:r>
              <w:rPr>
                <w:sz w:val="22"/>
              </w:rPr>
              <w:t>109</w:t>
            </w:r>
          </w:p>
        </w:tc>
      </w:tr>
      <w:tr w:rsidR="00A64FB0" w14:paraId="2BCC9E87" w14:textId="77777777">
        <w:trPr>
          <w:cantSplit/>
          <w:jc w:val="center"/>
        </w:trPr>
        <w:tc>
          <w:tcPr>
            <w:tcW w:w="6336" w:type="dxa"/>
          </w:tcPr>
          <w:p w14:paraId="23786AD0" w14:textId="77777777" w:rsidR="00A64FB0" w:rsidRDefault="00000000">
            <w:pPr>
              <w:keepNext/>
              <w:spacing w:before="30" w:after="30" w:line="264" w:lineRule="auto"/>
              <w:ind w:firstLine="0"/>
            </w:pPr>
            <w:r>
              <w:rPr>
                <w:sz w:val="22"/>
              </w:rPr>
              <w:t>Adaptación del mismo recurso</w:t>
            </w:r>
          </w:p>
        </w:tc>
        <w:tc>
          <w:tcPr>
            <w:tcW w:w="1512" w:type="dxa"/>
          </w:tcPr>
          <w:p w14:paraId="5DA66B74" w14:textId="77777777" w:rsidR="00A64FB0" w:rsidRDefault="00000000">
            <w:pPr>
              <w:keepNext/>
              <w:spacing w:before="30" w:after="30" w:line="264" w:lineRule="auto"/>
              <w:ind w:firstLine="0"/>
              <w:jc w:val="center"/>
            </w:pPr>
            <w:r>
              <w:rPr>
                <w:sz w:val="22"/>
              </w:rPr>
              <w:t>17</w:t>
            </w:r>
          </w:p>
        </w:tc>
        <w:tc>
          <w:tcPr>
            <w:tcW w:w="1512" w:type="dxa"/>
          </w:tcPr>
          <w:p w14:paraId="54751C54" w14:textId="77777777" w:rsidR="00A64FB0" w:rsidRDefault="00000000">
            <w:pPr>
              <w:keepNext/>
              <w:spacing w:before="30" w:after="30" w:line="264" w:lineRule="auto"/>
              <w:ind w:firstLine="0"/>
              <w:jc w:val="center"/>
            </w:pPr>
            <w:r>
              <w:rPr>
                <w:sz w:val="22"/>
              </w:rPr>
              <w:t>157</w:t>
            </w:r>
          </w:p>
        </w:tc>
      </w:tr>
      <w:tr w:rsidR="00A64FB0" w14:paraId="3660F7B1" w14:textId="77777777">
        <w:trPr>
          <w:cantSplit/>
          <w:jc w:val="center"/>
        </w:trPr>
        <w:tc>
          <w:tcPr>
            <w:tcW w:w="6336" w:type="dxa"/>
          </w:tcPr>
          <w:p w14:paraId="63EA7CFA" w14:textId="77777777" w:rsidR="00A64FB0" w:rsidRPr="00D91CB9" w:rsidRDefault="00000000">
            <w:pPr>
              <w:keepNext/>
              <w:spacing w:before="30" w:after="30" w:line="264" w:lineRule="auto"/>
              <w:ind w:firstLine="0"/>
              <w:rPr>
                <w:lang w:val="es-419"/>
              </w:rPr>
            </w:pPr>
            <w:r w:rsidRPr="00D91CB9">
              <w:rPr>
                <w:sz w:val="22"/>
                <w:lang w:val="es-419"/>
              </w:rPr>
              <w:t>Versión multilingüe del mismo recurso</w:t>
            </w:r>
          </w:p>
        </w:tc>
        <w:tc>
          <w:tcPr>
            <w:tcW w:w="1512" w:type="dxa"/>
          </w:tcPr>
          <w:p w14:paraId="35C97E27" w14:textId="77777777" w:rsidR="00A64FB0" w:rsidRDefault="00000000">
            <w:pPr>
              <w:keepNext/>
              <w:spacing w:before="30" w:after="30" w:line="264" w:lineRule="auto"/>
              <w:ind w:firstLine="0"/>
              <w:jc w:val="center"/>
            </w:pPr>
            <w:r>
              <w:rPr>
                <w:sz w:val="22"/>
              </w:rPr>
              <w:t>7</w:t>
            </w:r>
          </w:p>
        </w:tc>
        <w:tc>
          <w:tcPr>
            <w:tcW w:w="1512" w:type="dxa"/>
          </w:tcPr>
          <w:p w14:paraId="0DF97743" w14:textId="77777777" w:rsidR="00A64FB0" w:rsidRDefault="00000000">
            <w:pPr>
              <w:keepNext/>
              <w:spacing w:before="30" w:after="30" w:line="264" w:lineRule="auto"/>
              <w:ind w:firstLine="0"/>
              <w:jc w:val="center"/>
            </w:pPr>
            <w:r>
              <w:rPr>
                <w:sz w:val="22"/>
              </w:rPr>
              <w:t>19</w:t>
            </w:r>
          </w:p>
        </w:tc>
      </w:tr>
      <w:tr w:rsidR="00A64FB0" w14:paraId="40CEE9CB" w14:textId="77777777">
        <w:trPr>
          <w:cantSplit/>
          <w:jc w:val="center"/>
        </w:trPr>
        <w:tc>
          <w:tcPr>
            <w:tcW w:w="6336" w:type="dxa"/>
          </w:tcPr>
          <w:p w14:paraId="410B1D8A" w14:textId="77777777" w:rsidR="00A64FB0" w:rsidRPr="00D91CB9" w:rsidRDefault="00000000">
            <w:pPr>
              <w:keepNext/>
              <w:spacing w:before="30" w:after="30" w:line="264" w:lineRule="auto"/>
              <w:ind w:firstLine="0"/>
              <w:rPr>
                <w:lang w:val="es-419"/>
              </w:rPr>
            </w:pPr>
            <w:r w:rsidRPr="00D91CB9">
              <w:rPr>
                <w:sz w:val="22"/>
                <w:lang w:val="es-419"/>
              </w:rPr>
              <w:t>Alternativa distinta, soporte original no documentado</w:t>
            </w:r>
          </w:p>
        </w:tc>
        <w:tc>
          <w:tcPr>
            <w:tcW w:w="1512" w:type="dxa"/>
          </w:tcPr>
          <w:p w14:paraId="6279019C" w14:textId="77777777" w:rsidR="00A64FB0" w:rsidRDefault="00000000">
            <w:pPr>
              <w:keepNext/>
              <w:spacing w:before="30" w:after="30" w:line="264" w:lineRule="auto"/>
              <w:ind w:firstLine="0"/>
              <w:jc w:val="center"/>
            </w:pPr>
            <w:r>
              <w:rPr>
                <w:sz w:val="22"/>
              </w:rPr>
              <w:t>31</w:t>
            </w:r>
          </w:p>
        </w:tc>
        <w:tc>
          <w:tcPr>
            <w:tcW w:w="1512" w:type="dxa"/>
          </w:tcPr>
          <w:p w14:paraId="573FACA4" w14:textId="77777777" w:rsidR="00A64FB0" w:rsidRDefault="00000000">
            <w:pPr>
              <w:keepNext/>
              <w:spacing w:before="30" w:after="30" w:line="264" w:lineRule="auto"/>
              <w:ind w:firstLine="0"/>
              <w:jc w:val="center"/>
            </w:pPr>
            <w:r>
              <w:rPr>
                <w:sz w:val="22"/>
              </w:rPr>
              <w:t>38</w:t>
            </w:r>
          </w:p>
        </w:tc>
      </w:tr>
      <w:tr w:rsidR="00A64FB0" w14:paraId="552F20E6" w14:textId="77777777">
        <w:trPr>
          <w:cantSplit/>
          <w:jc w:val="center"/>
        </w:trPr>
        <w:tc>
          <w:tcPr>
            <w:tcW w:w="6336" w:type="dxa"/>
          </w:tcPr>
          <w:p w14:paraId="5CEBDEE5" w14:textId="77777777" w:rsidR="00A64FB0" w:rsidRPr="00D91CB9" w:rsidRDefault="00000000">
            <w:pPr>
              <w:keepNext/>
              <w:spacing w:before="30" w:after="30" w:line="264" w:lineRule="auto"/>
              <w:ind w:firstLine="0"/>
              <w:rPr>
                <w:lang w:val="es-419"/>
              </w:rPr>
            </w:pPr>
            <w:r w:rsidRPr="00D91CB9">
              <w:rPr>
                <w:sz w:val="22"/>
                <w:lang w:val="es-419"/>
              </w:rPr>
              <w:t>Alternativa distinta, soporte original desconocido</w:t>
            </w:r>
          </w:p>
        </w:tc>
        <w:tc>
          <w:tcPr>
            <w:tcW w:w="1512" w:type="dxa"/>
          </w:tcPr>
          <w:p w14:paraId="5FD2E256" w14:textId="77777777" w:rsidR="00A64FB0" w:rsidRDefault="00000000">
            <w:pPr>
              <w:keepNext/>
              <w:spacing w:before="30" w:after="30" w:line="264" w:lineRule="auto"/>
              <w:ind w:firstLine="0"/>
              <w:jc w:val="center"/>
            </w:pPr>
            <w:r>
              <w:rPr>
                <w:sz w:val="22"/>
              </w:rPr>
              <w:t>13</w:t>
            </w:r>
          </w:p>
        </w:tc>
        <w:tc>
          <w:tcPr>
            <w:tcW w:w="1512" w:type="dxa"/>
          </w:tcPr>
          <w:p w14:paraId="3841F3B4" w14:textId="77777777" w:rsidR="00A64FB0" w:rsidRDefault="00000000">
            <w:pPr>
              <w:keepNext/>
              <w:spacing w:before="30" w:after="30" w:line="264" w:lineRule="auto"/>
              <w:ind w:firstLine="0"/>
              <w:jc w:val="center"/>
            </w:pPr>
            <w:r>
              <w:rPr>
                <w:sz w:val="22"/>
              </w:rPr>
              <w:t>26</w:t>
            </w:r>
          </w:p>
        </w:tc>
      </w:tr>
      <w:tr w:rsidR="00A64FB0" w14:paraId="5A2155B5" w14:textId="77777777">
        <w:trPr>
          <w:cantSplit/>
          <w:jc w:val="center"/>
        </w:trPr>
        <w:tc>
          <w:tcPr>
            <w:tcW w:w="6336" w:type="dxa"/>
          </w:tcPr>
          <w:p w14:paraId="0C0DEF99" w14:textId="77777777" w:rsidR="00A64FB0" w:rsidRPr="00D91CB9" w:rsidRDefault="00000000">
            <w:pPr>
              <w:keepNext/>
              <w:spacing w:before="30" w:after="30" w:line="264" w:lineRule="auto"/>
              <w:ind w:firstLine="0"/>
              <w:rPr>
                <w:lang w:val="es-419"/>
              </w:rPr>
            </w:pPr>
            <w:r w:rsidRPr="00D91CB9">
              <w:rPr>
                <w:sz w:val="22"/>
                <w:lang w:val="es-419"/>
              </w:rPr>
              <w:t>Sin equivalente identificado, soporte no documentado</w:t>
            </w:r>
          </w:p>
        </w:tc>
        <w:tc>
          <w:tcPr>
            <w:tcW w:w="1512" w:type="dxa"/>
          </w:tcPr>
          <w:p w14:paraId="0DAD8478" w14:textId="77777777" w:rsidR="00A64FB0" w:rsidRDefault="00000000">
            <w:pPr>
              <w:keepNext/>
              <w:spacing w:before="30" w:after="30" w:line="264" w:lineRule="auto"/>
              <w:ind w:firstLine="0"/>
              <w:jc w:val="center"/>
            </w:pPr>
            <w:r>
              <w:rPr>
                <w:sz w:val="22"/>
              </w:rPr>
              <w:t>7</w:t>
            </w:r>
          </w:p>
        </w:tc>
        <w:tc>
          <w:tcPr>
            <w:tcW w:w="1512" w:type="dxa"/>
          </w:tcPr>
          <w:p w14:paraId="54BFB8CC" w14:textId="77777777" w:rsidR="00A64FB0" w:rsidRDefault="00000000">
            <w:pPr>
              <w:keepNext/>
              <w:spacing w:before="30" w:after="30" w:line="264" w:lineRule="auto"/>
              <w:ind w:firstLine="0"/>
              <w:jc w:val="center"/>
            </w:pPr>
            <w:r>
              <w:rPr>
                <w:sz w:val="22"/>
              </w:rPr>
              <w:t>19</w:t>
            </w:r>
          </w:p>
        </w:tc>
      </w:tr>
      <w:tr w:rsidR="00A64FB0" w14:paraId="7A9AEF89" w14:textId="77777777">
        <w:trPr>
          <w:cantSplit/>
          <w:jc w:val="center"/>
        </w:trPr>
        <w:tc>
          <w:tcPr>
            <w:tcW w:w="6336" w:type="dxa"/>
          </w:tcPr>
          <w:p w14:paraId="4BE1D44C" w14:textId="77777777" w:rsidR="00A64FB0" w:rsidRPr="00D91CB9" w:rsidRDefault="00000000">
            <w:pPr>
              <w:keepNext/>
              <w:spacing w:before="30" w:after="30" w:line="264" w:lineRule="auto"/>
              <w:ind w:firstLine="0"/>
              <w:rPr>
                <w:lang w:val="es-419"/>
              </w:rPr>
            </w:pPr>
            <w:r w:rsidRPr="00D91CB9">
              <w:rPr>
                <w:sz w:val="22"/>
                <w:lang w:val="es-419"/>
              </w:rPr>
              <w:t>Sin equivalente identificado, soporte desconocido</w:t>
            </w:r>
          </w:p>
        </w:tc>
        <w:tc>
          <w:tcPr>
            <w:tcW w:w="1512" w:type="dxa"/>
          </w:tcPr>
          <w:p w14:paraId="319A55C1" w14:textId="77777777" w:rsidR="00A64FB0" w:rsidRDefault="00000000">
            <w:pPr>
              <w:keepNext/>
              <w:spacing w:before="30" w:after="30" w:line="264" w:lineRule="auto"/>
              <w:ind w:firstLine="0"/>
              <w:jc w:val="center"/>
            </w:pPr>
            <w:r>
              <w:rPr>
                <w:sz w:val="22"/>
              </w:rPr>
              <w:t>8</w:t>
            </w:r>
          </w:p>
        </w:tc>
        <w:tc>
          <w:tcPr>
            <w:tcW w:w="1512" w:type="dxa"/>
          </w:tcPr>
          <w:p w14:paraId="08D8A768" w14:textId="77777777" w:rsidR="00A64FB0" w:rsidRDefault="00000000">
            <w:pPr>
              <w:keepNext/>
              <w:spacing w:before="30" w:after="30" w:line="264" w:lineRule="auto"/>
              <w:ind w:firstLine="0"/>
              <w:jc w:val="center"/>
            </w:pPr>
            <w:r>
              <w:rPr>
                <w:sz w:val="22"/>
              </w:rPr>
              <w:t>10</w:t>
            </w:r>
          </w:p>
        </w:tc>
      </w:tr>
      <w:tr w:rsidR="00A64FB0" w14:paraId="370DB03A" w14:textId="77777777">
        <w:trPr>
          <w:cantSplit/>
          <w:jc w:val="center"/>
        </w:trPr>
        <w:tc>
          <w:tcPr>
            <w:tcW w:w="6336" w:type="dxa"/>
          </w:tcPr>
          <w:p w14:paraId="24E441CC" w14:textId="77777777" w:rsidR="00A64FB0" w:rsidRDefault="00000000">
            <w:pPr>
              <w:keepNext/>
              <w:spacing w:before="30" w:after="30" w:line="264" w:lineRule="auto"/>
              <w:ind w:firstLine="0"/>
            </w:pPr>
            <w:r>
              <w:rPr>
                <w:sz w:val="22"/>
              </w:rPr>
              <w:t>Dependiente de la versión</w:t>
            </w:r>
          </w:p>
        </w:tc>
        <w:tc>
          <w:tcPr>
            <w:tcW w:w="1512" w:type="dxa"/>
          </w:tcPr>
          <w:p w14:paraId="63BCFFA8" w14:textId="77777777" w:rsidR="00A64FB0" w:rsidRDefault="00000000">
            <w:pPr>
              <w:keepNext/>
              <w:spacing w:before="30" w:after="30" w:line="264" w:lineRule="auto"/>
              <w:ind w:firstLine="0"/>
              <w:jc w:val="center"/>
            </w:pPr>
            <w:r>
              <w:rPr>
                <w:sz w:val="22"/>
              </w:rPr>
              <w:t>1</w:t>
            </w:r>
          </w:p>
        </w:tc>
        <w:tc>
          <w:tcPr>
            <w:tcW w:w="1512" w:type="dxa"/>
          </w:tcPr>
          <w:p w14:paraId="64A8B3FC" w14:textId="77777777" w:rsidR="00A64FB0" w:rsidRDefault="00000000">
            <w:pPr>
              <w:keepNext/>
              <w:spacing w:before="30" w:after="30" w:line="264" w:lineRule="auto"/>
              <w:ind w:firstLine="0"/>
              <w:jc w:val="center"/>
            </w:pPr>
            <w:r>
              <w:rPr>
                <w:sz w:val="22"/>
              </w:rPr>
              <w:t>1</w:t>
            </w:r>
          </w:p>
        </w:tc>
      </w:tr>
      <w:tr w:rsidR="00A64FB0" w14:paraId="2CC044D3" w14:textId="77777777">
        <w:trPr>
          <w:cantSplit/>
          <w:jc w:val="center"/>
        </w:trPr>
        <w:tc>
          <w:tcPr>
            <w:tcW w:w="6336" w:type="dxa"/>
          </w:tcPr>
          <w:p w14:paraId="232E6735" w14:textId="77777777" w:rsidR="00A64FB0" w:rsidRDefault="00000000">
            <w:pPr>
              <w:keepNext/>
              <w:spacing w:before="30" w:after="30" w:line="264" w:lineRule="auto"/>
              <w:ind w:firstLine="0"/>
            </w:pPr>
            <w:r>
              <w:rPr>
                <w:sz w:val="22"/>
              </w:rPr>
              <w:t>Verificación lingüística pendiente</w:t>
            </w:r>
          </w:p>
        </w:tc>
        <w:tc>
          <w:tcPr>
            <w:tcW w:w="1512" w:type="dxa"/>
          </w:tcPr>
          <w:p w14:paraId="463A1054" w14:textId="77777777" w:rsidR="00A64FB0" w:rsidRDefault="00000000">
            <w:pPr>
              <w:keepNext/>
              <w:spacing w:before="30" w:after="30" w:line="264" w:lineRule="auto"/>
              <w:ind w:firstLine="0"/>
              <w:jc w:val="center"/>
            </w:pPr>
            <w:r>
              <w:rPr>
                <w:sz w:val="22"/>
              </w:rPr>
              <w:t>9</w:t>
            </w:r>
          </w:p>
        </w:tc>
        <w:tc>
          <w:tcPr>
            <w:tcW w:w="1512" w:type="dxa"/>
          </w:tcPr>
          <w:p w14:paraId="3C914992" w14:textId="77777777" w:rsidR="00A64FB0" w:rsidRDefault="00000000">
            <w:pPr>
              <w:keepNext/>
              <w:spacing w:before="30" w:after="30" w:line="264" w:lineRule="auto"/>
              <w:ind w:firstLine="0"/>
              <w:jc w:val="center"/>
            </w:pPr>
            <w:r>
              <w:rPr>
                <w:sz w:val="22"/>
              </w:rPr>
              <w:t>10</w:t>
            </w:r>
          </w:p>
        </w:tc>
      </w:tr>
      <w:tr w:rsidR="00A64FB0" w14:paraId="3D1382BE" w14:textId="77777777">
        <w:trPr>
          <w:cantSplit/>
          <w:jc w:val="center"/>
        </w:trPr>
        <w:tc>
          <w:tcPr>
            <w:tcW w:w="6336" w:type="dxa"/>
          </w:tcPr>
          <w:p w14:paraId="671D23DF" w14:textId="77777777" w:rsidR="00A64FB0" w:rsidRDefault="00000000">
            <w:pPr>
              <w:keepNext/>
              <w:spacing w:before="30" w:after="30" w:line="264" w:lineRule="auto"/>
              <w:ind w:firstLine="0"/>
            </w:pPr>
            <w:r>
              <w:rPr>
                <w:sz w:val="22"/>
              </w:rPr>
              <w:t>Total</w:t>
            </w:r>
          </w:p>
        </w:tc>
        <w:tc>
          <w:tcPr>
            <w:tcW w:w="1512" w:type="dxa"/>
          </w:tcPr>
          <w:p w14:paraId="63F61E51" w14:textId="77777777" w:rsidR="00A64FB0" w:rsidRDefault="00000000">
            <w:pPr>
              <w:keepNext/>
              <w:spacing w:before="30" w:after="30" w:line="264" w:lineRule="auto"/>
              <w:ind w:firstLine="0"/>
              <w:jc w:val="center"/>
            </w:pPr>
            <w:r>
              <w:rPr>
                <w:sz w:val="22"/>
              </w:rPr>
              <w:t>132</w:t>
            </w:r>
          </w:p>
        </w:tc>
        <w:tc>
          <w:tcPr>
            <w:tcW w:w="1512" w:type="dxa"/>
          </w:tcPr>
          <w:p w14:paraId="73F5F060" w14:textId="77777777" w:rsidR="00A64FB0" w:rsidRDefault="00000000">
            <w:pPr>
              <w:keepNext/>
              <w:spacing w:before="30" w:after="30" w:line="264" w:lineRule="auto"/>
              <w:ind w:firstLine="0"/>
              <w:jc w:val="center"/>
            </w:pPr>
            <w:r>
              <w:rPr>
                <w:sz w:val="22"/>
              </w:rPr>
              <w:t>389</w:t>
            </w:r>
          </w:p>
        </w:tc>
      </w:tr>
    </w:tbl>
    <w:p w14:paraId="308B9435" w14:textId="77777777" w:rsidR="00A64FB0" w:rsidRPr="00D91CB9" w:rsidRDefault="00000000">
      <w:pPr>
        <w:keepLines/>
        <w:spacing w:after="160" w:line="276" w:lineRule="auto"/>
        <w:ind w:firstLine="0"/>
        <w:rPr>
          <w:lang w:val="es-419"/>
        </w:rPr>
      </w:pPr>
      <w:r w:rsidRPr="00D91CB9">
        <w:rPr>
          <w:sz w:val="20"/>
          <w:lang w:val="es-419"/>
        </w:rPr>
        <w:t>Nota. Un uso es una combinación de estudio y recurso, contada una sola vez. Las alternativas funcionales son candidatos que requieren evaluación. Soporte desconocido no equivale a ausencia.</w:t>
      </w:r>
    </w:p>
    <w:p w14:paraId="75C17F48" w14:textId="77777777" w:rsidR="00A64FB0" w:rsidRPr="00D91CB9" w:rsidRDefault="00000000">
      <w:pPr>
        <w:keepLines/>
        <w:jc w:val="both"/>
        <w:rPr>
          <w:lang w:val="es-419"/>
        </w:rPr>
      </w:pPr>
      <w:r w:rsidRPr="00D91CB9">
        <w:rPr>
          <w:lang w:val="es-419"/>
        </w:rPr>
        <w:t>La distribución de usos de la figura 4 añade una prioridad posible: 17 recursos con una adaptación identificada concentran el 40,4 % de los usos del inventario. Una parte considerable de los usos corresponde así a un grupo acotado de recursos con una vía de adaptación lingüística. Evaluar sus adaptaciones podría aportar resultados pertinentes para varios métodos documentados. Esta lectura ayuda a delimitar un programa de comparación, aunque la recurrencia por sí sola no establece qué opción funcionará mejor.</w:t>
      </w:r>
    </w:p>
    <w:p w14:paraId="1B3CD8AE" w14:textId="77777777" w:rsidR="00A64FB0" w:rsidRPr="00D91CB9" w:rsidRDefault="00000000">
      <w:pPr>
        <w:keepNext/>
        <w:spacing w:before="120" w:line="288" w:lineRule="auto"/>
        <w:ind w:firstLine="0"/>
        <w:rPr>
          <w:lang w:val="es-419"/>
        </w:rPr>
      </w:pPr>
      <w:r w:rsidRPr="00D91CB9">
        <w:rPr>
          <w:b/>
          <w:lang w:val="es-419"/>
        </w:rPr>
        <w:lastRenderedPageBreak/>
        <w:t>Figura 4</w:t>
      </w:r>
    </w:p>
    <w:p w14:paraId="085157DE" w14:textId="77777777" w:rsidR="00A64FB0" w:rsidRPr="00D91CB9" w:rsidRDefault="00000000">
      <w:pPr>
        <w:keepNext/>
        <w:spacing w:after="120" w:line="288" w:lineRule="auto"/>
        <w:ind w:firstLine="0"/>
        <w:rPr>
          <w:lang w:val="es-419"/>
        </w:rPr>
      </w:pPr>
      <w:r w:rsidRPr="00D91CB9">
        <w:rPr>
          <w:i/>
          <w:lang w:val="es-419"/>
        </w:rPr>
        <w:t>Respaldo documental del español en los recursos y sus usos</w:t>
      </w:r>
    </w:p>
    <w:p w14:paraId="33A48C28" w14:textId="77777777" w:rsidR="00A64FB0" w:rsidRDefault="00000000">
      <w:pPr>
        <w:keepNext/>
        <w:spacing w:after="80" w:line="240" w:lineRule="auto"/>
        <w:ind w:firstLine="0"/>
        <w:jc w:val="center"/>
      </w:pPr>
      <w:r>
        <w:rPr>
          <w:noProof/>
        </w:rPr>
        <w:drawing>
          <wp:inline distT="0" distB="0" distL="0" distR="0" wp14:anchorId="011DA345" wp14:editId="690D39D3">
            <wp:extent cx="5943600" cy="4851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disponibilidad_espanol.png"/>
                    <pic:cNvPicPr/>
                  </pic:nvPicPr>
                  <pic:blipFill>
                    <a:blip r:embed="rId10"/>
                    <a:stretch>
                      <a:fillRect/>
                    </a:stretch>
                  </pic:blipFill>
                  <pic:spPr>
                    <a:xfrm>
                      <a:off x="0" y="0"/>
                      <a:ext cx="5943600" cy="4851155"/>
                    </a:xfrm>
                    <a:prstGeom prst="rect">
                      <a:avLst/>
                    </a:prstGeom>
                  </pic:spPr>
                </pic:pic>
              </a:graphicData>
            </a:graphic>
          </wp:inline>
        </w:drawing>
      </w:r>
    </w:p>
    <w:p w14:paraId="4AA1B053" w14:textId="77777777" w:rsidR="00A64FB0" w:rsidRPr="00D91CB9" w:rsidRDefault="00000000">
      <w:pPr>
        <w:keepLines/>
        <w:spacing w:after="160" w:line="276" w:lineRule="auto"/>
        <w:ind w:firstLine="0"/>
        <w:rPr>
          <w:lang w:val="es-419"/>
        </w:rPr>
      </w:pPr>
      <w:r w:rsidRPr="00D91CB9">
        <w:rPr>
          <w:sz w:val="20"/>
          <w:lang w:val="es-419"/>
        </w:rPr>
        <w:t>Nota. El panel a distingue 132 recursos y 389 usos procedentes de 204 estudios. El panel b desglosa la evidencia directa. Los rayados señalan soporte desconocido o pendiente de verificación.</w:t>
      </w:r>
    </w:p>
    <w:p w14:paraId="37F6392B" w14:textId="77777777" w:rsidR="00A64FB0" w:rsidRPr="00D91CB9" w:rsidRDefault="00000000">
      <w:pPr>
        <w:keepLines/>
        <w:jc w:val="both"/>
        <w:rPr>
          <w:lang w:val="es-419"/>
        </w:rPr>
      </w:pPr>
      <w:r w:rsidRPr="00D91CB9">
        <w:rPr>
          <w:lang w:val="es-419"/>
        </w:rPr>
        <w:t xml:space="preserve">El tipo de respaldo también cambia la decisión que puede tomarse. Una declaración del proveedor permite incluir un modelo entre los candidatos para español. Una evaluación sobre textos españoles aporta información sobre su comportamiento en una tarea determinada, como ilustra el informe de GPT-4 </w:t>
      </w:r>
      <w:r>
        <w:fldChar w:fldCharType="begin" w:fldLock="1"/>
      </w:r>
      <w:r w:rsidRPr="00CC5822">
        <w:rPr>
          <w:lang w:val="es-419"/>
        </w:rPr>
        <w:instrText xml:space="preserve"> CITATION Ope23 \l 3082 </w:instrText>
      </w:r>
      <w:r>
        <w:fldChar w:fldCharType="separate"/>
      </w:r>
      <w:r>
        <w:rPr>
          <w:lang w:val="es-ES"/>
        </w:rPr>
        <w:t>(</w:t>
      </w:r>
      <w:proofErr w:type="spellStart"/>
      <w:r>
        <w:rPr>
          <w:lang w:val="es-ES"/>
        </w:rPr>
        <w:t>OpenAI</w:t>
      </w:r>
      <w:proofErr w:type="spellEnd"/>
      <w:r>
        <w:rPr>
          <w:lang w:val="es-ES"/>
        </w:rPr>
        <w:t>, 2023)</w:t>
      </w:r>
      <w:r>
        <w:rPr>
          <w:lang w:val="es-ES"/>
        </w:rPr>
        <w:fldChar w:fldCharType="end"/>
      </w:r>
      <w:r w:rsidRPr="00D91CB9">
        <w:rPr>
          <w:lang w:val="es-419"/>
        </w:rPr>
        <w:t>. Para aplicarlo a requisitos queda por examinar si reconoce correctamente las necesidades y restricciones del proyecto. El desglose de la figura 4 permite localizar esa distancia entre admitir un idioma y resolver el problema profesional que interesa.</w:t>
      </w:r>
    </w:p>
    <w:p w14:paraId="7BFBF85D" w14:textId="77777777" w:rsidR="00A64FB0" w:rsidRPr="00D91CB9" w:rsidRDefault="00000000">
      <w:pPr>
        <w:keepNext/>
        <w:spacing w:before="120" w:line="288" w:lineRule="auto"/>
        <w:ind w:firstLine="0"/>
        <w:rPr>
          <w:lang w:val="es-419"/>
        </w:rPr>
      </w:pPr>
      <w:r w:rsidRPr="00D91CB9">
        <w:rPr>
          <w:b/>
          <w:lang w:val="es-419"/>
        </w:rPr>
        <w:lastRenderedPageBreak/>
        <w:t>Tabla 6</w:t>
      </w:r>
    </w:p>
    <w:p w14:paraId="0C740E82" w14:textId="77777777" w:rsidR="00A64FB0" w:rsidRPr="00D91CB9" w:rsidRDefault="00000000">
      <w:pPr>
        <w:keepNext/>
        <w:spacing w:after="120" w:line="288" w:lineRule="auto"/>
        <w:ind w:firstLine="0"/>
        <w:rPr>
          <w:lang w:val="es-419"/>
        </w:rPr>
      </w:pPr>
      <w:r w:rsidRPr="00D91CB9">
        <w:rPr>
          <w:i/>
          <w:lang w:val="es-419"/>
        </w:rPr>
        <w:t>Aplicaciones documentadas con requisitos en español</w:t>
      </w:r>
    </w:p>
    <w:tbl>
      <w:tblPr>
        <w:tblW w:w="0" w:type="auto"/>
        <w:jc w:val="center"/>
        <w:tblBorders>
          <w:top w:val="single" w:sz="6" w:space="0" w:color="000000"/>
          <w:left w:val="nil"/>
          <w:bottom w:val="single" w:sz="6" w:space="0" w:color="000000"/>
          <w:right w:val="nil"/>
          <w:insideH w:val="nil"/>
          <w:insideV w:val="nil"/>
        </w:tblBorders>
        <w:tblLayout w:type="fixed"/>
        <w:tblCellMar>
          <w:top w:w="65" w:type="dxa"/>
          <w:left w:w="65" w:type="dxa"/>
          <w:bottom w:w="65" w:type="dxa"/>
          <w:right w:w="65" w:type="dxa"/>
        </w:tblCellMar>
        <w:tblLook w:val="04A0" w:firstRow="1" w:lastRow="0" w:firstColumn="1" w:lastColumn="0" w:noHBand="0" w:noVBand="1"/>
      </w:tblPr>
      <w:tblGrid>
        <w:gridCol w:w="3600"/>
        <w:gridCol w:w="1152"/>
        <w:gridCol w:w="4608"/>
      </w:tblGrid>
      <w:tr w:rsidR="00382836" w14:paraId="710ED059" w14:textId="77777777">
        <w:trPr>
          <w:cantSplit/>
          <w:tblHeader/>
          <w:jc w:val="center"/>
        </w:trPr>
        <w:tc>
          <w:tcPr>
            <w:tcW w:w="3600" w:type="dxa"/>
            <w:tcBorders>
              <w:bottom w:val="single" w:sz="6" w:space="0" w:color="auto"/>
            </w:tcBorders>
            <w:vAlign w:val="center"/>
          </w:tcPr>
          <w:p w14:paraId="5B5D5B54" w14:textId="77777777" w:rsidR="00382836" w:rsidRDefault="00000000">
            <w:pPr>
              <w:keepNext/>
              <w:spacing w:before="60" w:after="60" w:line="264" w:lineRule="auto"/>
              <w:ind w:firstLine="0"/>
            </w:pPr>
            <w:r>
              <w:rPr>
                <w:b/>
                <w:sz w:val="22"/>
                <w:lang w:val="es-ES"/>
              </w:rPr>
              <w:t>Estudio</w:t>
            </w:r>
          </w:p>
        </w:tc>
        <w:tc>
          <w:tcPr>
            <w:tcW w:w="1152" w:type="dxa"/>
            <w:tcBorders>
              <w:bottom w:val="single" w:sz="6" w:space="0" w:color="auto"/>
            </w:tcBorders>
            <w:vAlign w:val="center"/>
          </w:tcPr>
          <w:p w14:paraId="27859802" w14:textId="77777777" w:rsidR="00382836" w:rsidRDefault="00000000">
            <w:pPr>
              <w:keepNext/>
              <w:spacing w:before="60" w:after="60" w:line="264" w:lineRule="auto"/>
              <w:ind w:firstLine="0"/>
            </w:pPr>
            <w:r>
              <w:rPr>
                <w:b/>
                <w:sz w:val="22"/>
                <w:lang w:val="es-ES"/>
              </w:rPr>
              <w:t>Flujo</w:t>
            </w:r>
          </w:p>
        </w:tc>
        <w:tc>
          <w:tcPr>
            <w:tcW w:w="4608" w:type="dxa"/>
            <w:tcBorders>
              <w:bottom w:val="single" w:sz="6" w:space="0" w:color="auto"/>
            </w:tcBorders>
            <w:vAlign w:val="center"/>
          </w:tcPr>
          <w:p w14:paraId="4B254D2F" w14:textId="77777777" w:rsidR="00382836" w:rsidRDefault="00000000">
            <w:pPr>
              <w:keepNext/>
              <w:spacing w:before="60" w:after="60" w:line="264" w:lineRule="auto"/>
              <w:ind w:firstLine="0"/>
            </w:pPr>
            <w:r>
              <w:rPr>
                <w:b/>
                <w:sz w:val="22"/>
                <w:lang w:val="es-ES"/>
              </w:rPr>
              <w:t>Tarea y evidencia</w:t>
            </w:r>
          </w:p>
        </w:tc>
      </w:tr>
      <w:tr w:rsidR="00382836" w:rsidRPr="00D91CB9" w14:paraId="498EC4D7" w14:textId="77777777">
        <w:trPr>
          <w:cantSplit/>
          <w:jc w:val="center"/>
        </w:trPr>
        <w:tc>
          <w:tcPr>
            <w:tcW w:w="3600" w:type="dxa"/>
            <w:vAlign w:val="center"/>
          </w:tcPr>
          <w:p w14:paraId="605BE316" w14:textId="77777777" w:rsidR="00382836" w:rsidRPr="00CC5822" w:rsidRDefault="00000000">
            <w:pPr>
              <w:spacing w:before="60" w:after="60" w:line="264" w:lineRule="auto"/>
              <w:ind w:firstLine="0"/>
              <w:rPr>
                <w:lang w:val="es-419"/>
              </w:rPr>
            </w:pPr>
            <w:r>
              <w:rPr>
                <w:sz w:val="22"/>
                <w:lang w:val="es-ES"/>
              </w:rPr>
              <w:t xml:space="preserve">Guzmán Luna y colaboradores </w:t>
            </w:r>
            <w:r>
              <w:rPr>
                <w:sz w:val="22"/>
              </w:rPr>
              <w:fldChar w:fldCharType="begin" w:fldLock="1"/>
            </w:r>
            <w:r w:rsidRPr="00CC5822">
              <w:rPr>
                <w:sz w:val="22"/>
                <w:lang w:val="es-419"/>
              </w:rPr>
              <w:instrText xml:space="preserve"> CITATION Guz15 \l 3082 </w:instrText>
            </w:r>
            <w:r>
              <w:rPr>
                <w:sz w:val="22"/>
              </w:rPr>
              <w:fldChar w:fldCharType="separate"/>
            </w:r>
            <w:r>
              <w:rPr>
                <w:sz w:val="22"/>
                <w:lang w:val="es-ES"/>
              </w:rPr>
              <w:t xml:space="preserve">(Guzmán Luna </w:t>
            </w:r>
            <w:r>
              <w:rPr>
                <w:i/>
                <w:sz w:val="22"/>
                <w:lang w:val="es-ES"/>
              </w:rPr>
              <w:t>et al.</w:t>
            </w:r>
            <w:r>
              <w:rPr>
                <w:sz w:val="22"/>
                <w:lang w:val="es-ES"/>
              </w:rPr>
              <w:t>, 2015)</w:t>
            </w:r>
            <w:r>
              <w:rPr>
                <w:sz w:val="22"/>
                <w:lang w:val="es-ES"/>
              </w:rPr>
              <w:fldChar w:fldCharType="end"/>
            </w:r>
          </w:p>
        </w:tc>
        <w:tc>
          <w:tcPr>
            <w:tcW w:w="1152" w:type="dxa"/>
            <w:vAlign w:val="center"/>
          </w:tcPr>
          <w:p w14:paraId="4023AD77" w14:textId="77777777" w:rsidR="00382836" w:rsidRDefault="00000000">
            <w:pPr>
              <w:spacing w:before="60" w:after="60" w:line="264" w:lineRule="auto"/>
              <w:ind w:firstLine="0"/>
            </w:pPr>
            <w:r>
              <w:rPr>
                <w:sz w:val="22"/>
                <w:lang w:val="es-ES"/>
              </w:rPr>
              <w:t>Principal</w:t>
            </w:r>
          </w:p>
        </w:tc>
        <w:tc>
          <w:tcPr>
            <w:tcW w:w="4608" w:type="dxa"/>
            <w:vAlign w:val="center"/>
          </w:tcPr>
          <w:p w14:paraId="33C28C57" w14:textId="77777777" w:rsidR="00382836" w:rsidRPr="00CC5822" w:rsidRDefault="00000000">
            <w:pPr>
              <w:spacing w:before="60" w:after="60" w:line="264" w:lineRule="auto"/>
              <w:ind w:firstLine="0"/>
              <w:rPr>
                <w:lang w:val="es-419"/>
              </w:rPr>
            </w:pPr>
            <w:r>
              <w:rPr>
                <w:sz w:val="22"/>
                <w:lang w:val="es-ES"/>
              </w:rPr>
              <w:t>Ambigüedad y errores; método léxico-semántico, sin recurso concreto identificado en la extracción.</w:t>
            </w:r>
          </w:p>
        </w:tc>
      </w:tr>
      <w:tr w:rsidR="00382836" w:rsidRPr="00D91CB9" w14:paraId="51620B56" w14:textId="77777777">
        <w:trPr>
          <w:cantSplit/>
          <w:jc w:val="center"/>
        </w:trPr>
        <w:tc>
          <w:tcPr>
            <w:tcW w:w="3600" w:type="dxa"/>
            <w:vAlign w:val="center"/>
          </w:tcPr>
          <w:p w14:paraId="052240C7" w14:textId="77777777" w:rsidR="00382836" w:rsidRPr="00CC5822" w:rsidRDefault="00000000">
            <w:pPr>
              <w:spacing w:before="60" w:after="60" w:line="264" w:lineRule="auto"/>
              <w:ind w:firstLine="0"/>
              <w:rPr>
                <w:lang w:val="es-419"/>
              </w:rPr>
            </w:pPr>
            <w:r>
              <w:rPr>
                <w:sz w:val="22"/>
                <w:lang w:val="es-ES"/>
              </w:rPr>
              <w:t xml:space="preserve">Clasificación con </w:t>
            </w:r>
            <w:proofErr w:type="spellStart"/>
            <w:r>
              <w:rPr>
                <w:sz w:val="22"/>
                <w:lang w:val="es-ES"/>
              </w:rPr>
              <w:t>fastText</w:t>
            </w:r>
            <w:proofErr w:type="spellEnd"/>
            <w:r>
              <w:rPr>
                <w:sz w:val="22"/>
                <w:lang w:val="es-ES"/>
              </w:rPr>
              <w:t xml:space="preserve"> y BETO </w:t>
            </w:r>
            <w:r>
              <w:rPr>
                <w:sz w:val="22"/>
              </w:rPr>
              <w:fldChar w:fldCharType="begin" w:fldLock="1"/>
            </w:r>
            <w:r w:rsidRPr="00CC5822">
              <w:rPr>
                <w:sz w:val="22"/>
                <w:lang w:val="es-419"/>
              </w:rPr>
              <w:instrText xml:space="preserve"> CITATION Lim23b \l 3082 </w:instrText>
            </w:r>
            <w:r>
              <w:rPr>
                <w:sz w:val="22"/>
              </w:rPr>
              <w:fldChar w:fldCharType="separate"/>
            </w:r>
            <w:r>
              <w:rPr>
                <w:sz w:val="22"/>
                <w:lang w:val="es-ES"/>
              </w:rPr>
              <w:t>(</w:t>
            </w:r>
            <w:proofErr w:type="spellStart"/>
            <w:r>
              <w:rPr>
                <w:sz w:val="22"/>
                <w:lang w:val="es-ES"/>
              </w:rPr>
              <w:t>Limaylla</w:t>
            </w:r>
            <w:proofErr w:type="spellEnd"/>
            <w:r>
              <w:rPr>
                <w:sz w:val="22"/>
                <w:lang w:val="es-ES"/>
              </w:rPr>
              <w:t xml:space="preserve">-Lunarejo </w:t>
            </w:r>
            <w:r>
              <w:rPr>
                <w:i/>
                <w:sz w:val="22"/>
                <w:lang w:val="es-ES"/>
              </w:rPr>
              <w:t>et al.</w:t>
            </w:r>
            <w:r>
              <w:rPr>
                <w:sz w:val="22"/>
                <w:lang w:val="es-ES"/>
              </w:rPr>
              <w:t>, 2023b)</w:t>
            </w:r>
            <w:r>
              <w:rPr>
                <w:sz w:val="22"/>
                <w:lang w:val="es-ES"/>
              </w:rPr>
              <w:fldChar w:fldCharType="end"/>
            </w:r>
          </w:p>
        </w:tc>
        <w:tc>
          <w:tcPr>
            <w:tcW w:w="1152" w:type="dxa"/>
            <w:vAlign w:val="center"/>
          </w:tcPr>
          <w:p w14:paraId="0E1BCF83" w14:textId="77777777" w:rsidR="00382836" w:rsidRDefault="00000000">
            <w:pPr>
              <w:spacing w:before="60" w:after="60" w:line="264" w:lineRule="auto"/>
              <w:ind w:firstLine="0"/>
            </w:pPr>
            <w:r>
              <w:rPr>
                <w:sz w:val="22"/>
                <w:lang w:val="es-ES"/>
              </w:rPr>
              <w:t>Principal</w:t>
            </w:r>
          </w:p>
        </w:tc>
        <w:tc>
          <w:tcPr>
            <w:tcW w:w="4608" w:type="dxa"/>
            <w:vAlign w:val="center"/>
          </w:tcPr>
          <w:p w14:paraId="5BF4976D" w14:textId="77777777" w:rsidR="00382836" w:rsidRPr="00CC5822" w:rsidRDefault="00000000">
            <w:pPr>
              <w:spacing w:before="60" w:after="60" w:line="264" w:lineRule="auto"/>
              <w:ind w:firstLine="0"/>
              <w:rPr>
                <w:lang w:val="es-419"/>
              </w:rPr>
            </w:pPr>
            <w:r>
              <w:rPr>
                <w:sz w:val="22"/>
                <w:lang w:val="es-ES"/>
              </w:rPr>
              <w:t>Clasificación de requisitos españoles; distingue datos nativos y traducidos.</w:t>
            </w:r>
          </w:p>
        </w:tc>
      </w:tr>
      <w:tr w:rsidR="00382836" w:rsidRPr="00D91CB9" w14:paraId="591BFC90" w14:textId="77777777">
        <w:trPr>
          <w:cantSplit/>
          <w:jc w:val="center"/>
        </w:trPr>
        <w:tc>
          <w:tcPr>
            <w:tcW w:w="3600" w:type="dxa"/>
            <w:vAlign w:val="center"/>
          </w:tcPr>
          <w:p w14:paraId="3959BACF" w14:textId="77777777" w:rsidR="00382836" w:rsidRPr="00CC5822" w:rsidRDefault="00000000">
            <w:pPr>
              <w:spacing w:before="60" w:after="60" w:line="264" w:lineRule="auto"/>
              <w:ind w:firstLine="0"/>
              <w:rPr>
                <w:lang w:val="es-419"/>
              </w:rPr>
            </w:pPr>
            <w:r>
              <w:rPr>
                <w:sz w:val="22"/>
                <w:lang w:val="es-ES"/>
              </w:rPr>
              <w:t xml:space="preserve">Similitud de escenarios </w:t>
            </w:r>
            <w:r>
              <w:rPr>
                <w:sz w:val="22"/>
              </w:rPr>
              <w:fldChar w:fldCharType="begin" w:fldLock="1"/>
            </w:r>
            <w:r w:rsidRPr="00CC5822">
              <w:rPr>
                <w:sz w:val="22"/>
                <w:lang w:val="es-419"/>
              </w:rPr>
              <w:instrText xml:space="preserve"> CITATION Per25 \l 3082 </w:instrText>
            </w:r>
            <w:r>
              <w:rPr>
                <w:sz w:val="22"/>
              </w:rPr>
              <w:fldChar w:fldCharType="separate"/>
            </w:r>
            <w:r>
              <w:rPr>
                <w:sz w:val="22"/>
                <w:lang w:val="es-ES"/>
              </w:rPr>
              <w:t xml:space="preserve">(Pérez </w:t>
            </w:r>
            <w:r>
              <w:rPr>
                <w:i/>
                <w:sz w:val="22"/>
                <w:lang w:val="es-ES"/>
              </w:rPr>
              <w:t>et al.</w:t>
            </w:r>
            <w:r>
              <w:rPr>
                <w:sz w:val="22"/>
                <w:lang w:val="es-ES"/>
              </w:rPr>
              <w:t>, 2025)</w:t>
            </w:r>
            <w:r>
              <w:rPr>
                <w:sz w:val="22"/>
                <w:lang w:val="es-ES"/>
              </w:rPr>
              <w:fldChar w:fldCharType="end"/>
            </w:r>
          </w:p>
        </w:tc>
        <w:tc>
          <w:tcPr>
            <w:tcW w:w="1152" w:type="dxa"/>
            <w:vAlign w:val="center"/>
          </w:tcPr>
          <w:p w14:paraId="42606580" w14:textId="77777777" w:rsidR="00382836" w:rsidRDefault="00000000">
            <w:pPr>
              <w:spacing w:before="60" w:after="60" w:line="264" w:lineRule="auto"/>
              <w:ind w:firstLine="0"/>
            </w:pPr>
            <w:r>
              <w:rPr>
                <w:sz w:val="22"/>
                <w:lang w:val="es-ES"/>
              </w:rPr>
              <w:t>Principal</w:t>
            </w:r>
          </w:p>
        </w:tc>
        <w:tc>
          <w:tcPr>
            <w:tcW w:w="4608" w:type="dxa"/>
            <w:vAlign w:val="center"/>
          </w:tcPr>
          <w:p w14:paraId="0722B23A" w14:textId="77777777" w:rsidR="00382836" w:rsidRPr="00CC5822" w:rsidRDefault="00000000">
            <w:pPr>
              <w:spacing w:before="60" w:after="60" w:line="264" w:lineRule="auto"/>
              <w:ind w:firstLine="0"/>
              <w:rPr>
                <w:lang w:val="es-419"/>
              </w:rPr>
            </w:pPr>
            <w:r>
              <w:rPr>
                <w:sz w:val="22"/>
                <w:lang w:val="es-ES"/>
              </w:rPr>
              <w:t>Comparación de modelos multilingües de representación de oraciones sobre escenarios españoles.</w:t>
            </w:r>
          </w:p>
        </w:tc>
      </w:tr>
      <w:tr w:rsidR="00382836" w:rsidRPr="00D91CB9" w14:paraId="2ACC9A70" w14:textId="77777777">
        <w:trPr>
          <w:cantSplit/>
          <w:jc w:val="center"/>
        </w:trPr>
        <w:tc>
          <w:tcPr>
            <w:tcW w:w="3600" w:type="dxa"/>
            <w:vAlign w:val="center"/>
          </w:tcPr>
          <w:p w14:paraId="21B50192" w14:textId="77777777" w:rsidR="00382836" w:rsidRPr="00CC5822" w:rsidRDefault="00000000">
            <w:pPr>
              <w:spacing w:before="60" w:after="60" w:line="264" w:lineRule="auto"/>
              <w:ind w:firstLine="0"/>
              <w:rPr>
                <w:lang w:val="es-419"/>
              </w:rPr>
            </w:pPr>
            <w:proofErr w:type="spellStart"/>
            <w:r>
              <w:rPr>
                <w:sz w:val="22"/>
                <w:lang w:val="es-ES"/>
              </w:rPr>
              <w:t>SimRE</w:t>
            </w:r>
            <w:proofErr w:type="spellEnd"/>
            <w:r>
              <w:rPr>
                <w:sz w:val="22"/>
                <w:lang w:val="es-ES"/>
              </w:rPr>
              <w:t xml:space="preserve"> </w:t>
            </w:r>
            <w:r>
              <w:rPr>
                <w:sz w:val="22"/>
              </w:rPr>
              <w:fldChar w:fldCharType="begin" w:fldLock="1"/>
            </w:r>
            <w:r w:rsidRPr="00CC5822">
              <w:rPr>
                <w:sz w:val="22"/>
                <w:lang w:val="es-419"/>
              </w:rPr>
              <w:instrText xml:space="preserve"> CITATION Lim25a \l 3082 </w:instrText>
            </w:r>
            <w:r>
              <w:rPr>
                <w:sz w:val="22"/>
              </w:rPr>
              <w:fldChar w:fldCharType="separate"/>
            </w:r>
            <w:r>
              <w:rPr>
                <w:sz w:val="22"/>
                <w:lang w:val="es-ES"/>
              </w:rPr>
              <w:t>(</w:t>
            </w:r>
            <w:proofErr w:type="spellStart"/>
            <w:r>
              <w:rPr>
                <w:sz w:val="22"/>
                <w:lang w:val="es-ES"/>
              </w:rPr>
              <w:t>Limaylla</w:t>
            </w:r>
            <w:proofErr w:type="spellEnd"/>
            <w:r>
              <w:rPr>
                <w:sz w:val="22"/>
                <w:lang w:val="es-ES"/>
              </w:rPr>
              <w:t xml:space="preserve">-Lunarejo </w:t>
            </w:r>
            <w:r>
              <w:rPr>
                <w:i/>
                <w:sz w:val="22"/>
                <w:lang w:val="es-ES"/>
              </w:rPr>
              <w:t>et al.</w:t>
            </w:r>
            <w:r>
              <w:rPr>
                <w:sz w:val="22"/>
                <w:lang w:val="es-ES"/>
              </w:rPr>
              <w:t>, 2025)</w:t>
            </w:r>
            <w:r>
              <w:rPr>
                <w:sz w:val="22"/>
                <w:lang w:val="es-ES"/>
              </w:rPr>
              <w:fldChar w:fldCharType="end"/>
            </w:r>
          </w:p>
        </w:tc>
        <w:tc>
          <w:tcPr>
            <w:tcW w:w="1152" w:type="dxa"/>
            <w:vAlign w:val="center"/>
          </w:tcPr>
          <w:p w14:paraId="380A0F0A" w14:textId="77777777" w:rsidR="00382836" w:rsidRDefault="00000000">
            <w:pPr>
              <w:spacing w:before="60" w:after="60" w:line="264" w:lineRule="auto"/>
              <w:ind w:firstLine="0"/>
            </w:pPr>
            <w:r>
              <w:rPr>
                <w:sz w:val="22"/>
                <w:lang w:val="es-ES"/>
              </w:rPr>
              <w:t>Principal</w:t>
            </w:r>
          </w:p>
        </w:tc>
        <w:tc>
          <w:tcPr>
            <w:tcW w:w="4608" w:type="dxa"/>
            <w:vAlign w:val="center"/>
          </w:tcPr>
          <w:p w14:paraId="74EFB3AB" w14:textId="77777777" w:rsidR="00382836" w:rsidRPr="00CC5822" w:rsidRDefault="00000000">
            <w:pPr>
              <w:spacing w:before="60" w:after="60" w:line="264" w:lineRule="auto"/>
              <w:ind w:firstLine="0"/>
              <w:rPr>
                <w:lang w:val="es-419"/>
              </w:rPr>
            </w:pPr>
            <w:r>
              <w:rPr>
                <w:sz w:val="22"/>
                <w:lang w:val="es-ES"/>
              </w:rPr>
              <w:t>Similitud en una línea de productos de sistemas de información geográfica; usa representaciones españolas y multilingües.</w:t>
            </w:r>
          </w:p>
        </w:tc>
      </w:tr>
      <w:tr w:rsidR="00382836" w:rsidRPr="00D91CB9" w14:paraId="53D6EB32" w14:textId="77777777">
        <w:trPr>
          <w:cantSplit/>
          <w:jc w:val="center"/>
        </w:trPr>
        <w:tc>
          <w:tcPr>
            <w:tcW w:w="3600" w:type="dxa"/>
            <w:vAlign w:val="center"/>
          </w:tcPr>
          <w:p w14:paraId="064D8326" w14:textId="77777777" w:rsidR="00382836" w:rsidRPr="00CC5822" w:rsidRDefault="00000000">
            <w:pPr>
              <w:spacing w:before="60" w:after="60" w:line="264" w:lineRule="auto"/>
              <w:ind w:firstLine="0"/>
              <w:rPr>
                <w:lang w:val="es-419"/>
              </w:rPr>
            </w:pPr>
            <w:r>
              <w:rPr>
                <w:sz w:val="22"/>
                <w:lang w:val="es-ES"/>
              </w:rPr>
              <w:t xml:space="preserve">Balanceo de requisitos no funcionales </w:t>
            </w:r>
            <w:r>
              <w:rPr>
                <w:sz w:val="22"/>
              </w:rPr>
              <w:fldChar w:fldCharType="begin" w:fldLock="1"/>
            </w:r>
            <w:r w:rsidRPr="00CC5822">
              <w:rPr>
                <w:sz w:val="22"/>
                <w:lang w:val="es-419"/>
              </w:rPr>
              <w:instrText xml:space="preserve"> CITATION Lim25b \l 3082 </w:instrText>
            </w:r>
            <w:r>
              <w:rPr>
                <w:sz w:val="22"/>
              </w:rPr>
              <w:fldChar w:fldCharType="separate"/>
            </w:r>
            <w:r>
              <w:rPr>
                <w:sz w:val="22"/>
                <w:lang w:val="es-ES"/>
              </w:rPr>
              <w:t>(Limaylla-Lunarejo, Condori-Fernandez, Rodríguez Luaces y Karras, 2026)</w:t>
            </w:r>
            <w:r>
              <w:rPr>
                <w:sz w:val="22"/>
                <w:lang w:val="es-ES"/>
              </w:rPr>
              <w:fldChar w:fldCharType="end"/>
            </w:r>
          </w:p>
        </w:tc>
        <w:tc>
          <w:tcPr>
            <w:tcW w:w="1152" w:type="dxa"/>
            <w:vAlign w:val="center"/>
          </w:tcPr>
          <w:p w14:paraId="66ACEEB7" w14:textId="77777777" w:rsidR="00382836" w:rsidRDefault="00000000">
            <w:pPr>
              <w:spacing w:before="60" w:after="60" w:line="264" w:lineRule="auto"/>
              <w:ind w:firstLine="0"/>
            </w:pPr>
            <w:r>
              <w:rPr>
                <w:sz w:val="22"/>
                <w:lang w:val="es-ES"/>
              </w:rPr>
              <w:t>Dirigida</w:t>
            </w:r>
          </w:p>
        </w:tc>
        <w:tc>
          <w:tcPr>
            <w:tcW w:w="4608" w:type="dxa"/>
            <w:vAlign w:val="center"/>
          </w:tcPr>
          <w:p w14:paraId="134EDF3D" w14:textId="77777777" w:rsidR="00382836" w:rsidRPr="00CC5822" w:rsidRDefault="00000000">
            <w:pPr>
              <w:spacing w:before="60" w:after="60" w:line="264" w:lineRule="auto"/>
              <w:ind w:firstLine="0"/>
              <w:rPr>
                <w:lang w:val="es-419"/>
              </w:rPr>
            </w:pPr>
            <w:r>
              <w:rPr>
                <w:sz w:val="22"/>
                <w:lang w:val="es-ES"/>
              </w:rPr>
              <w:t>Clasificación; BETO y fastText, vectores SBWCE y generación auxiliar con ChatGPT; datos traducidos, nativos y sintéticos.</w:t>
            </w:r>
          </w:p>
        </w:tc>
      </w:tr>
      <w:tr w:rsidR="00382836" w:rsidRPr="00D91CB9" w14:paraId="2B6E4F52" w14:textId="77777777">
        <w:trPr>
          <w:cantSplit/>
          <w:jc w:val="center"/>
        </w:trPr>
        <w:tc>
          <w:tcPr>
            <w:tcW w:w="3600" w:type="dxa"/>
            <w:vAlign w:val="center"/>
          </w:tcPr>
          <w:p w14:paraId="7709B44D" w14:textId="77777777" w:rsidR="00382836" w:rsidRPr="00CC5822" w:rsidRDefault="00000000">
            <w:pPr>
              <w:spacing w:before="60" w:after="60" w:line="264" w:lineRule="auto"/>
              <w:ind w:firstLine="0"/>
              <w:rPr>
                <w:lang w:val="es-419"/>
              </w:rPr>
            </w:pPr>
            <w:r>
              <w:rPr>
                <w:sz w:val="22"/>
                <w:lang w:val="es-ES"/>
              </w:rPr>
              <w:t xml:space="preserve">Criterios de priorización </w:t>
            </w:r>
            <w:r>
              <w:rPr>
                <w:sz w:val="22"/>
              </w:rPr>
              <w:fldChar w:fldCharType="begin" w:fldLock="1"/>
            </w:r>
            <w:r w:rsidRPr="00CC5822">
              <w:rPr>
                <w:sz w:val="22"/>
                <w:lang w:val="es-419"/>
              </w:rPr>
              <w:instrText xml:space="preserve"> CITATION Lim26 \l 3082 </w:instrText>
            </w:r>
            <w:r>
              <w:rPr>
                <w:sz w:val="22"/>
              </w:rPr>
              <w:fldChar w:fldCharType="separate"/>
            </w:r>
            <w:r>
              <w:rPr>
                <w:sz w:val="22"/>
                <w:lang w:val="es-ES"/>
              </w:rPr>
              <w:t>(Limaylla-Lunarejo, Condori-Fernandez y Luaces, 2026)</w:t>
            </w:r>
            <w:r>
              <w:rPr>
                <w:sz w:val="22"/>
                <w:lang w:val="es-ES"/>
              </w:rPr>
              <w:fldChar w:fldCharType="end"/>
            </w:r>
          </w:p>
        </w:tc>
        <w:tc>
          <w:tcPr>
            <w:tcW w:w="1152" w:type="dxa"/>
            <w:vAlign w:val="center"/>
          </w:tcPr>
          <w:p w14:paraId="4A56F7B1" w14:textId="77777777" w:rsidR="00382836" w:rsidRDefault="00000000">
            <w:pPr>
              <w:spacing w:before="60" w:after="60" w:line="264" w:lineRule="auto"/>
              <w:ind w:firstLine="0"/>
            </w:pPr>
            <w:r>
              <w:rPr>
                <w:sz w:val="22"/>
                <w:lang w:val="es-ES"/>
              </w:rPr>
              <w:t>Dirigida</w:t>
            </w:r>
          </w:p>
        </w:tc>
        <w:tc>
          <w:tcPr>
            <w:tcW w:w="4608" w:type="dxa"/>
            <w:vAlign w:val="center"/>
          </w:tcPr>
          <w:p w14:paraId="05691599" w14:textId="77777777" w:rsidR="00382836" w:rsidRPr="00CC5822" w:rsidRDefault="00000000">
            <w:pPr>
              <w:spacing w:before="60" w:after="60" w:line="264" w:lineRule="auto"/>
              <w:ind w:firstLine="0"/>
              <w:rPr>
                <w:lang w:val="es-419"/>
              </w:rPr>
            </w:pPr>
            <w:r>
              <w:rPr>
                <w:sz w:val="22"/>
                <w:lang w:val="es-ES"/>
              </w:rPr>
              <w:t>Priorización sobre PrioReSpa; el resumen nombra modelos preentrenados sin identificar su versión.</w:t>
            </w:r>
          </w:p>
        </w:tc>
      </w:tr>
      <w:tr w:rsidR="00382836" w:rsidRPr="00D91CB9" w14:paraId="38812E42" w14:textId="77777777">
        <w:trPr>
          <w:cantSplit/>
          <w:jc w:val="center"/>
        </w:trPr>
        <w:tc>
          <w:tcPr>
            <w:tcW w:w="3600" w:type="dxa"/>
            <w:vAlign w:val="center"/>
          </w:tcPr>
          <w:p w14:paraId="41E5D43B" w14:textId="77777777" w:rsidR="00382836" w:rsidRPr="00CC5822" w:rsidRDefault="00000000">
            <w:pPr>
              <w:spacing w:before="60" w:after="60" w:line="264" w:lineRule="auto"/>
              <w:ind w:firstLine="0"/>
              <w:rPr>
                <w:lang w:val="es-419"/>
              </w:rPr>
            </w:pPr>
            <w:r>
              <w:rPr>
                <w:sz w:val="22"/>
                <w:lang w:val="es-ES"/>
              </w:rPr>
              <w:t xml:space="preserve">Clasificación no funcional </w:t>
            </w:r>
            <w:r>
              <w:rPr>
                <w:sz w:val="22"/>
              </w:rPr>
              <w:fldChar w:fldCharType="begin" w:fldLock="1"/>
            </w:r>
            <w:r w:rsidRPr="00CC5822">
              <w:rPr>
                <w:sz w:val="22"/>
                <w:lang w:val="es-419"/>
              </w:rPr>
              <w:instrText xml:space="preserve"> CITATION Lim23a \l 3082 </w:instrText>
            </w:r>
            <w:r>
              <w:rPr>
                <w:sz w:val="22"/>
              </w:rPr>
              <w:fldChar w:fldCharType="separate"/>
            </w:r>
            <w:r>
              <w:rPr>
                <w:sz w:val="22"/>
                <w:lang w:val="es-ES"/>
              </w:rPr>
              <w:t xml:space="preserve">(Limaylla-Lunarejo </w:t>
            </w:r>
            <w:r>
              <w:rPr>
                <w:i/>
                <w:sz w:val="22"/>
                <w:lang w:val="es-ES"/>
              </w:rPr>
              <w:t>et al.</w:t>
            </w:r>
            <w:r>
              <w:rPr>
                <w:sz w:val="22"/>
                <w:lang w:val="es-ES"/>
              </w:rPr>
              <w:t>, 2023a)</w:t>
            </w:r>
            <w:r>
              <w:rPr>
                <w:sz w:val="22"/>
                <w:lang w:val="es-ES"/>
              </w:rPr>
              <w:fldChar w:fldCharType="end"/>
            </w:r>
          </w:p>
        </w:tc>
        <w:tc>
          <w:tcPr>
            <w:tcW w:w="1152" w:type="dxa"/>
            <w:vAlign w:val="center"/>
          </w:tcPr>
          <w:p w14:paraId="290BB44D" w14:textId="77777777" w:rsidR="00382836" w:rsidRDefault="00000000">
            <w:pPr>
              <w:spacing w:before="60" w:after="60" w:line="264" w:lineRule="auto"/>
              <w:ind w:firstLine="0"/>
            </w:pPr>
            <w:r>
              <w:rPr>
                <w:sz w:val="22"/>
                <w:lang w:val="es-ES"/>
              </w:rPr>
              <w:t>Ronda de kappa</w:t>
            </w:r>
          </w:p>
        </w:tc>
        <w:tc>
          <w:tcPr>
            <w:tcW w:w="4608" w:type="dxa"/>
            <w:vAlign w:val="center"/>
          </w:tcPr>
          <w:p w14:paraId="4110B1C8" w14:textId="77777777" w:rsidR="00382836" w:rsidRPr="00CC5822" w:rsidRDefault="00000000">
            <w:pPr>
              <w:spacing w:before="60" w:after="60" w:line="264" w:lineRule="auto"/>
              <w:ind w:firstLine="0"/>
              <w:rPr>
                <w:lang w:val="es-419"/>
              </w:rPr>
            </w:pPr>
            <w:r>
              <w:rPr>
                <w:sz w:val="22"/>
                <w:lang w:val="es-ES"/>
              </w:rPr>
              <w:t>Clasificación con requisitos de PROMISE traducidos al español y comparación de enfoques.</w:t>
            </w:r>
          </w:p>
        </w:tc>
      </w:tr>
      <w:tr w:rsidR="00382836" w:rsidRPr="00D91CB9" w14:paraId="6690DA12" w14:textId="77777777">
        <w:trPr>
          <w:cantSplit/>
          <w:jc w:val="center"/>
        </w:trPr>
        <w:tc>
          <w:tcPr>
            <w:tcW w:w="3600" w:type="dxa"/>
            <w:vAlign w:val="center"/>
          </w:tcPr>
          <w:p w14:paraId="4ED86355" w14:textId="77777777" w:rsidR="00382836" w:rsidRPr="00CC5822" w:rsidRDefault="00000000">
            <w:pPr>
              <w:keepNext/>
              <w:spacing w:before="60" w:after="60" w:line="264" w:lineRule="auto"/>
              <w:ind w:firstLine="0"/>
              <w:rPr>
                <w:lang w:val="es-419"/>
              </w:rPr>
            </w:pPr>
            <w:r>
              <w:rPr>
                <w:sz w:val="22"/>
                <w:lang w:val="es-ES"/>
              </w:rPr>
              <w:t xml:space="preserve">Clasificación automática de requisitos </w:t>
            </w:r>
            <w:r>
              <w:rPr>
                <w:sz w:val="22"/>
              </w:rPr>
              <w:fldChar w:fldCharType="begin" w:fldLock="1"/>
            </w:r>
            <w:r w:rsidRPr="00CC5822">
              <w:rPr>
                <w:sz w:val="22"/>
                <w:lang w:val="es-419"/>
              </w:rPr>
              <w:instrText xml:space="preserve"> CITATION Lim23e \l 3082 </w:instrText>
            </w:r>
            <w:r>
              <w:rPr>
                <w:sz w:val="22"/>
              </w:rPr>
              <w:fldChar w:fldCharType="separate"/>
            </w:r>
            <w:r>
              <w:rPr>
                <w:sz w:val="22"/>
                <w:lang w:val="es-ES"/>
              </w:rPr>
              <w:t xml:space="preserve">(Limaylla-Lunarejo </w:t>
            </w:r>
            <w:r>
              <w:rPr>
                <w:i/>
                <w:sz w:val="22"/>
                <w:lang w:val="es-ES"/>
              </w:rPr>
              <w:t>et al.</w:t>
            </w:r>
            <w:r>
              <w:rPr>
                <w:sz w:val="22"/>
                <w:lang w:val="es-ES"/>
              </w:rPr>
              <w:t>, 2023d)</w:t>
            </w:r>
            <w:r>
              <w:rPr>
                <w:sz w:val="22"/>
                <w:lang w:val="es-ES"/>
              </w:rPr>
              <w:fldChar w:fldCharType="end"/>
            </w:r>
          </w:p>
        </w:tc>
        <w:tc>
          <w:tcPr>
            <w:tcW w:w="1152" w:type="dxa"/>
            <w:vAlign w:val="center"/>
          </w:tcPr>
          <w:p w14:paraId="5E67870C" w14:textId="77777777" w:rsidR="00382836" w:rsidRDefault="00000000">
            <w:pPr>
              <w:keepNext/>
              <w:spacing w:before="60" w:after="60" w:line="264" w:lineRule="auto"/>
              <w:ind w:firstLine="0"/>
            </w:pPr>
            <w:r>
              <w:rPr>
                <w:sz w:val="22"/>
                <w:lang w:val="es-ES"/>
              </w:rPr>
              <w:t>Ronda de kappa</w:t>
            </w:r>
          </w:p>
        </w:tc>
        <w:tc>
          <w:tcPr>
            <w:tcW w:w="4608" w:type="dxa"/>
            <w:vAlign w:val="center"/>
          </w:tcPr>
          <w:p w14:paraId="44B4C907" w14:textId="77777777" w:rsidR="00382836" w:rsidRPr="00CC5822" w:rsidRDefault="00000000">
            <w:pPr>
              <w:keepNext/>
              <w:spacing w:before="60" w:after="60" w:line="264" w:lineRule="auto"/>
              <w:ind w:firstLine="0"/>
              <w:rPr>
                <w:lang w:val="es-419"/>
              </w:rPr>
            </w:pPr>
            <w:r>
              <w:rPr>
                <w:sz w:val="22"/>
                <w:lang w:val="es-ES"/>
              </w:rPr>
              <w:t>Clasificación con BETO sobre un conjunto de requisitos españoles de proyectos académicos.</w:t>
            </w:r>
          </w:p>
        </w:tc>
      </w:tr>
    </w:tbl>
    <w:p w14:paraId="5E0ADE25" w14:textId="77777777" w:rsidR="00A64FB0" w:rsidRPr="00D91CB9" w:rsidRDefault="00000000">
      <w:pPr>
        <w:keepLines/>
        <w:spacing w:after="160" w:line="276" w:lineRule="auto"/>
        <w:ind w:firstLine="0"/>
        <w:rPr>
          <w:lang w:val="es-419"/>
        </w:rPr>
      </w:pPr>
      <w:r w:rsidRPr="00D91CB9">
        <w:rPr>
          <w:sz w:val="20"/>
          <w:lang w:val="es-419"/>
        </w:rPr>
        <w:t>Nota. El trabajo de balanceo apareció en línea en 2025 y pertenece al volumen de 2026. La referencia utiliza el año del volumen. Los ocho estudios cumplen el protocolo aplicado.</w:t>
      </w:r>
    </w:p>
    <w:p w14:paraId="61F92A13" w14:textId="77777777" w:rsidR="00A64FB0" w:rsidRPr="00D91CB9" w:rsidRDefault="00000000">
      <w:pPr>
        <w:keepLines/>
        <w:jc w:val="both"/>
        <w:rPr>
          <w:lang w:val="es-419"/>
        </w:rPr>
      </w:pPr>
      <w:r w:rsidRPr="00D91CB9">
        <w:rPr>
          <w:lang w:val="es-419"/>
        </w:rPr>
        <w:t>Los estudios de la tabla 6 ofrecen puntos de partida concretos para clasificar requisitos, encontrar semejanzas, revisar ambigüedad y apoyar la priorización. Su contribución conjunta es mostrar experiencias que pueden examinarse al diseñar nuevas evaluaciones en español. La variedad de datos introduce una decisión adicional: un método probado con traducciones, textos sintéticos o requisitos escritos originalmente en español aborda condiciones distintas. Elegir el antecedente más próximo al origen de los textos del proyecto permite formular una comparación pertinente.</w:t>
      </w:r>
    </w:p>
    <w:p w14:paraId="2ED005AD" w14:textId="77777777" w:rsidR="00A64FB0" w:rsidRPr="00D91CB9" w:rsidRDefault="00000000">
      <w:pPr>
        <w:keepLines/>
        <w:jc w:val="both"/>
        <w:rPr>
          <w:lang w:val="es-419"/>
        </w:rPr>
      </w:pPr>
      <w:r w:rsidRPr="00D91CB9">
        <w:rPr>
          <w:lang w:val="es-419"/>
        </w:rPr>
        <w:lastRenderedPageBreak/>
        <w:t xml:space="preserve">Los conjuntos ReSpaN, PrioReSpa y las traducciones de PROMISE aportan material para realizar esas pruebas, mientras BETO o los vectores SBWCE representan el lenguaje que procesan los métodos </w:t>
      </w:r>
      <w:r>
        <w:fldChar w:fldCharType="begin" w:fldLock="1"/>
      </w:r>
      <w:r w:rsidRPr="00CC5822">
        <w:rPr>
          <w:lang w:val="es-419"/>
        </w:rPr>
        <w:instrText xml:space="preserve"> CITATION Car16 \l 3082 </w:instrText>
      </w:r>
      <w:r>
        <w:fldChar w:fldCharType="separate"/>
      </w:r>
      <w:r>
        <w:rPr>
          <w:lang w:val="es-ES"/>
        </w:rPr>
        <w:t>(Cardellino, 2016)</w:t>
      </w:r>
      <w:r>
        <w:rPr>
          <w:lang w:val="es-ES"/>
        </w:rPr>
        <w:fldChar w:fldCharType="end"/>
      </w:r>
      <w:r w:rsidRPr="00D91CB9">
        <w:rPr>
          <w:lang w:val="es-419"/>
        </w:rPr>
        <w:t xml:space="preserve">. Esta distinción permite reconocer dos necesidades complementarias: contar con recursos lingüísticos y disponer de requisitos con los que evaluarlos. El trabajo sobre un conjunto FAIR aporta a la segunda, aunque su construcción sin aplicación de NLP quedó fuera de los criterios de inclusión </w:t>
      </w:r>
      <w:r>
        <w:fldChar w:fldCharType="begin" w:fldLock="1"/>
      </w:r>
      <w:r w:rsidRPr="00CC5822">
        <w:rPr>
          <w:lang w:val="es-419"/>
        </w:rPr>
        <w:instrText xml:space="preserve"> CITATION Lim23c \l 3082 </w:instrText>
      </w:r>
      <w:r>
        <w:fldChar w:fldCharType="separate"/>
      </w:r>
      <w:r>
        <w:rPr>
          <w:lang w:val="es-ES"/>
        </w:rPr>
        <w:t xml:space="preserve">(Limaylla-Lunarejo </w:t>
      </w:r>
      <w:r>
        <w:rPr>
          <w:i/>
          <w:lang w:val="es-ES"/>
        </w:rPr>
        <w:t>et al.</w:t>
      </w:r>
      <w:r>
        <w:rPr>
          <w:lang w:val="es-ES"/>
        </w:rPr>
        <w:t>, 2023c)</w:t>
      </w:r>
      <w:r>
        <w:rPr>
          <w:lang w:val="es-ES"/>
        </w:rPr>
        <w:fldChar w:fldCharType="end"/>
      </w:r>
      <w:r w:rsidRPr="00D91CB9">
        <w:rPr>
          <w:lang w:val="es-419"/>
        </w:rPr>
        <w:t>.</w:t>
      </w:r>
    </w:p>
    <w:p w14:paraId="7D769177" w14:textId="77777777" w:rsidR="00A64FB0" w:rsidRPr="00D91CB9" w:rsidRDefault="00000000">
      <w:pPr>
        <w:keepNext/>
        <w:spacing w:before="120" w:line="288" w:lineRule="auto"/>
        <w:ind w:firstLine="0"/>
        <w:rPr>
          <w:lang w:val="es-419"/>
        </w:rPr>
      </w:pPr>
      <w:r w:rsidRPr="00D91CB9">
        <w:rPr>
          <w:b/>
          <w:lang w:val="es-419"/>
        </w:rPr>
        <w:t>Figura 5</w:t>
      </w:r>
    </w:p>
    <w:p w14:paraId="48B77758" w14:textId="77777777" w:rsidR="00A64FB0" w:rsidRPr="00D91CB9" w:rsidRDefault="00000000">
      <w:pPr>
        <w:keepNext/>
        <w:spacing w:after="120" w:line="288" w:lineRule="auto"/>
        <w:ind w:firstLine="0"/>
        <w:rPr>
          <w:lang w:val="es-419"/>
        </w:rPr>
      </w:pPr>
      <w:r w:rsidRPr="00D91CB9">
        <w:rPr>
          <w:i/>
          <w:lang w:val="es-419"/>
        </w:rPr>
        <w:t>Tareas del análisis general y de las aplicaciones en español</w:t>
      </w:r>
    </w:p>
    <w:p w14:paraId="416A4136" w14:textId="77777777" w:rsidR="00A64FB0" w:rsidRDefault="00000000">
      <w:pPr>
        <w:keepNext/>
        <w:spacing w:after="80" w:line="240" w:lineRule="auto"/>
        <w:ind w:firstLine="0"/>
        <w:jc w:val="center"/>
      </w:pPr>
      <w:r>
        <w:rPr>
          <w:noProof/>
        </w:rPr>
        <w:drawing>
          <wp:inline distT="0" distB="0" distL="0" distR="0" wp14:anchorId="3B70307E" wp14:editId="5A0112BC">
            <wp:extent cx="5943600" cy="30890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5_tareas_espanol.png"/>
                    <pic:cNvPicPr/>
                  </pic:nvPicPr>
                  <pic:blipFill>
                    <a:blip r:embed="rId11"/>
                    <a:stretch>
                      <a:fillRect/>
                    </a:stretch>
                  </pic:blipFill>
                  <pic:spPr>
                    <a:xfrm>
                      <a:off x="0" y="0"/>
                      <a:ext cx="5943600" cy="3089092"/>
                    </a:xfrm>
                    <a:prstGeom prst="rect">
                      <a:avLst/>
                    </a:prstGeom>
                  </pic:spPr>
                </pic:pic>
              </a:graphicData>
            </a:graphic>
          </wp:inline>
        </w:drawing>
      </w:r>
    </w:p>
    <w:p w14:paraId="24549115" w14:textId="77777777" w:rsidR="00A64FB0" w:rsidRPr="00D91CB9" w:rsidRDefault="00000000">
      <w:pPr>
        <w:keepLines/>
        <w:spacing w:after="160" w:line="276" w:lineRule="auto"/>
        <w:ind w:firstLine="0"/>
        <w:rPr>
          <w:lang w:val="es-419"/>
        </w:rPr>
      </w:pPr>
      <w:r w:rsidRPr="00D91CB9">
        <w:rPr>
          <w:sz w:val="20"/>
          <w:lang w:val="es-419"/>
        </w:rPr>
        <w:t>Nota. El panel izquierdo incluye 544 estudios y el derecho, ocho con datos españoles. Cuatro aparecen en ambos. Las escalas difieren y los ceros se refieren a la selección obtenida.</w:t>
      </w:r>
    </w:p>
    <w:p w14:paraId="5B4E8BA6" w14:textId="77777777" w:rsidR="00A64FB0" w:rsidRPr="00D91CB9" w:rsidRDefault="00000000">
      <w:pPr>
        <w:keepLines/>
        <w:jc w:val="both"/>
        <w:rPr>
          <w:lang w:val="es-419"/>
        </w:rPr>
      </w:pPr>
      <w:r w:rsidRPr="00D91CB9">
        <w:rPr>
          <w:lang w:val="es-419"/>
        </w:rPr>
        <w:t>La comparación de la figura 5 permite concretar qué ampliaría la evidencia en español. La extracción de estructuras y la trazabilidad carecen de aplicaciones explícitas en este subconjunto, pese a formar parte del panorama general. La generación aparece como apoyo para crear datos de clasificación, pero no como tarea principal. Estas diferencias orientan nuevas evaluaciones hacia necesidades específicas: conservar el significado al estructurar requisitos, recuperar sus vínculos y comprobar la calidad de textos generados. Los ceros delimitan prioridades dentro del corpus, sin demostrar ausencia en toda la literatura.</w:t>
      </w:r>
    </w:p>
    <w:p w14:paraId="6F5041E8" w14:textId="77777777" w:rsidR="00A64FB0" w:rsidRPr="00D91CB9" w:rsidRDefault="00000000">
      <w:pPr>
        <w:pStyle w:val="Heading1"/>
        <w:rPr>
          <w:lang w:val="es-419"/>
        </w:rPr>
      </w:pPr>
      <w:r w:rsidRPr="00D91CB9">
        <w:rPr>
          <w:rFonts w:ascii="Times New Roman" w:hAnsi="Times New Roman"/>
          <w:lang w:val="es-419"/>
        </w:rPr>
        <w:lastRenderedPageBreak/>
        <w:t>Discusión</w:t>
      </w:r>
    </w:p>
    <w:p w14:paraId="74FD62FB" w14:textId="77777777" w:rsidR="00A64FB0" w:rsidRPr="00D91CB9" w:rsidRDefault="00000000">
      <w:pPr>
        <w:keepLines/>
        <w:jc w:val="both"/>
        <w:rPr>
          <w:lang w:val="es-419"/>
        </w:rPr>
      </w:pPr>
      <w:r w:rsidRPr="00D91CB9">
        <w:rPr>
          <w:lang w:val="es-419"/>
        </w:rPr>
        <w:t xml:space="preserve">El mapeo permite orientar la investigación hacia la relación entre los recursos disponibles y la comprensión de los requisitos en español. La presencia de aplicaciones de ambigüedad y calidad, incluido el trabajo de Guzmán Luna y colaboradores </w:t>
      </w:r>
      <w:r>
        <w:fldChar w:fldCharType="begin" w:fldLock="1"/>
      </w:r>
      <w:r w:rsidRPr="00CC5822">
        <w:rPr>
          <w:lang w:val="es-419"/>
        </w:rPr>
        <w:instrText xml:space="preserve"> CITATION Guz15 \l 3082 </w:instrText>
      </w:r>
      <w:r>
        <w:fldChar w:fldCharType="separate"/>
      </w:r>
      <w:r>
        <w:rPr>
          <w:sz w:val="21"/>
          <w:lang w:val="es-ES"/>
        </w:rPr>
        <w:t xml:space="preserve">(Guzmán Luna </w:t>
      </w:r>
      <w:r>
        <w:rPr>
          <w:i/>
          <w:sz w:val="21"/>
          <w:lang w:val="es-ES"/>
        </w:rPr>
        <w:t>et al.</w:t>
      </w:r>
      <w:r>
        <w:rPr>
          <w:sz w:val="21"/>
          <w:lang w:val="es-ES"/>
        </w:rPr>
        <w:t>, 2015)</w:t>
      </w:r>
      <w:r>
        <w:rPr>
          <w:sz w:val="21"/>
          <w:lang w:val="es-ES"/>
        </w:rPr>
        <w:fldChar w:fldCharType="end"/>
      </w:r>
      <w:r w:rsidRPr="00D91CB9">
        <w:rPr>
          <w:lang w:val="es-419"/>
        </w:rPr>
        <w:t>, aporta antecedentes para detectar problemas del texto. A partir de ellos surge una cuestión adicional: en qué medida ese apoyo consigue que quienes leen un requisito comprendan las mismas obligaciones, condiciones y comportamientos esperados del sistema.</w:t>
      </w:r>
    </w:p>
    <w:p w14:paraId="37CB2135" w14:textId="2FF253F3" w:rsidR="00A64FB0" w:rsidRPr="00D91CB9" w:rsidRDefault="00000000">
      <w:pPr>
        <w:keepLines/>
        <w:jc w:val="both"/>
        <w:rPr>
          <w:lang w:val="es-419"/>
        </w:rPr>
      </w:pPr>
      <w:r w:rsidRPr="00D91CB9">
        <w:rPr>
          <w:lang w:val="es-419"/>
        </w:rPr>
        <w:t xml:space="preserve">Para precisar esta cuestión, se entiende aquí por ambigüedad la posibilidad de atribuir al requisito lecturas plausibles con significados distintos, y por dispersión interpretativa las diferencias de significado efectivamente observadas entre lectores. Como ejemplo ilustrativo, </w:t>
      </w:r>
      <w:r w:rsidR="00D91CB9" w:rsidRPr="00D91CB9">
        <w:rPr>
          <w:lang w:val="es-419"/>
        </w:rPr>
        <w:t>“</w:t>
      </w:r>
      <w:r w:rsidR="00D91CB9" w:rsidRPr="00D91CB9">
        <w:rPr>
          <w:lang w:val="es-419"/>
        </w:rPr>
        <w:t>el sistema notificará a clientes y proveedores registrados</w:t>
      </w:r>
      <w:r w:rsidR="00D91CB9" w:rsidRPr="00D91CB9">
        <w:rPr>
          <w:lang w:val="es-419"/>
        </w:rPr>
        <w:t>”</w:t>
      </w:r>
      <w:r w:rsidRPr="00D91CB9">
        <w:rPr>
          <w:lang w:val="es-419"/>
        </w:rPr>
        <w:t xml:space="preserve"> puede dejar dudas sobre si la condición de estar registrado también afecta a los clientes. Lo relevante es que las lecturas conduzcan a comportamientos diferentes. La dispersión también puede deberse a conocimientos o contexto distintos, por lo que necesita examinarse su relación con la ambigüedad.</w:t>
      </w:r>
    </w:p>
    <w:p w14:paraId="06C5C8FF" w14:textId="77777777" w:rsidR="00A64FB0" w:rsidRPr="00D91CB9" w:rsidRDefault="00000000">
      <w:pPr>
        <w:keepLines/>
        <w:jc w:val="both"/>
        <w:rPr>
          <w:lang w:val="es-419"/>
        </w:rPr>
      </w:pPr>
      <w:r w:rsidRPr="00D91CB9">
        <w:rPr>
          <w:lang w:val="es-419"/>
        </w:rPr>
        <w:t>El vacío de conocimiento que se plantea es determinar hasta qué punto los recursos léxico-semánticos permiten identificar y reducir esa dispersión interpretativa en requisitos escritos en español, preservando la intención de quien los solicita. Detectar una expresión problemática o generar una redacción más fluida no establece por sí mismo ese efecto. La cuestión exige relacionar el diagnóstico automático con las interpretaciones de personas y comprobar si, después de una aclaración o reformulación, disminuyen las diferencias que afectan al comportamiento esperado del sistema.</w:t>
      </w:r>
    </w:p>
    <w:p w14:paraId="6CBC90D6" w14:textId="77777777" w:rsidR="00A64FB0" w:rsidRPr="00D91CB9" w:rsidRDefault="00000000">
      <w:pPr>
        <w:keepLines/>
        <w:jc w:val="both"/>
        <w:rPr>
          <w:lang w:val="es-419"/>
        </w:rPr>
      </w:pPr>
      <w:r w:rsidRPr="00D91CB9">
        <w:rPr>
          <w:lang w:val="es-419"/>
        </w:rPr>
        <w:t xml:space="preserve">El inventario aporta candidatos para investigar esa relación. BETO y la familia MarIA ofrecen representaciones del español (Cañete et al., 2023; Gutiérrez-Fandiño et al., 2022), mientras los modelos multilingües de oraciones permiten explorar semejanzas entre textos </w:t>
      </w:r>
      <w:r>
        <w:fldChar w:fldCharType="begin" w:fldLock="1"/>
      </w:r>
      <w:r w:rsidRPr="00CC5822">
        <w:rPr>
          <w:lang w:val="es-419"/>
        </w:rPr>
        <w:instrText xml:space="preserve"> CITATION Rei20 \l 3082 </w:instrText>
      </w:r>
      <w:r>
        <w:fldChar w:fldCharType="separate"/>
      </w:r>
      <w:r>
        <w:rPr>
          <w:lang w:val="es-ES"/>
        </w:rPr>
        <w:t>(Reimers y Gurevych, 2020)</w:t>
      </w:r>
      <w:r>
        <w:rPr>
          <w:lang w:val="es-ES"/>
        </w:rPr>
        <w:fldChar w:fldCharType="end"/>
      </w:r>
      <w:r w:rsidRPr="00D91CB9">
        <w:rPr>
          <w:lang w:val="es-419"/>
        </w:rPr>
        <w:t>. Estas capacidades podrían apoyar la comparación de interpretaciones, pero requieren comprobar qué diferencias de significado reconocen. Para esta línea de trabajo, interesa distinguir variaciones de redacción de cambios en obligaciones o restricciones, y contrastar las estimaciones automáticas con lecturas humanas independientes.</w:t>
      </w:r>
    </w:p>
    <w:p w14:paraId="190D5669" w14:textId="77777777" w:rsidR="00A64FB0" w:rsidRPr="00D91CB9" w:rsidRDefault="00000000">
      <w:pPr>
        <w:keepLines/>
        <w:jc w:val="both"/>
        <w:rPr>
          <w:lang w:val="es-419"/>
        </w:rPr>
      </w:pPr>
      <w:r w:rsidRPr="00D91CB9">
        <w:rPr>
          <w:lang w:val="es-419"/>
        </w:rPr>
        <w:lastRenderedPageBreak/>
        <w:t>Las experiencias de descomposición de historias y mejora de criterios de aceptación muestran usos de la generación que necesitan revisión (Pavlič et al., 2025; Schwedt y Ströder, 2025). Su conexión con el vacío planteado conduce a evaluar tanto el cambio en las interpretaciones como la conservación de la intención. Una reformulación podría aumentar el acuerdo entre lectores y, a la vez, eliminar una condición necesaria. El beneficio que se propone comprobar es una comprensión más compartida del requisito, respaldada por la intención confirmada de quien lo solicita.</w:t>
      </w:r>
    </w:p>
    <w:p w14:paraId="2FB8A694" w14:textId="77777777" w:rsidR="00A64FB0" w:rsidRPr="00D91CB9" w:rsidRDefault="00000000">
      <w:pPr>
        <w:keepLines/>
        <w:jc w:val="both"/>
        <w:rPr>
          <w:lang w:val="es-419"/>
        </w:rPr>
      </w:pPr>
      <w:r w:rsidRPr="00D91CB9">
        <w:rPr>
          <w:lang w:val="es-419"/>
        </w:rPr>
        <w:t>El cribado parcial en arXiv y la información lingüística incompleta limitan la cobertura del mapeo. La comparación de numerosos modelos en un mismo estudio también condiciona la diversidad del inventario. Además, la extracción no registró específicamente cambios de dispersión interpretativa tras una intervención. La síntesis delimita esta pregunta sin acreditar ausencia absoluta de soluciones. Una revisión focalizada debe precisar la relación entre detección, interpretación humana y efecto de la intervención.</w:t>
      </w:r>
    </w:p>
    <w:p w14:paraId="59DB4A97" w14:textId="77777777" w:rsidR="00A64FB0" w:rsidRPr="00D91CB9" w:rsidRDefault="00000000">
      <w:pPr>
        <w:pStyle w:val="Heading1"/>
        <w:rPr>
          <w:lang w:val="es-419"/>
        </w:rPr>
      </w:pPr>
      <w:r w:rsidRPr="00D91CB9">
        <w:rPr>
          <w:rFonts w:ascii="Times New Roman" w:hAnsi="Times New Roman"/>
          <w:lang w:val="es-419"/>
        </w:rPr>
        <w:t>Conclusiones</w:t>
      </w:r>
    </w:p>
    <w:p w14:paraId="4CC95FFE" w14:textId="77777777" w:rsidR="00A64FB0" w:rsidRPr="00D91CB9" w:rsidRDefault="00000000">
      <w:pPr>
        <w:keepLines/>
        <w:jc w:val="both"/>
        <w:rPr>
          <w:lang w:val="es-419"/>
        </w:rPr>
      </w:pPr>
      <w:r w:rsidRPr="00D91CB9">
        <w:rPr>
          <w:lang w:val="es-419"/>
        </w:rPr>
        <w:t>En relación con los recursos empleados (RQ1), los modelos generativos, las representaciones contextuales y el conocimiento explícito ofrecen funciones complementarias. El inventario aporta candidatos para representar requisitos, comparar significados y proponer aclaraciones. Para investigar la ambigüedad, su utilidad está en localizar componentes que podrían integrarse en un método y comprobar qué diferencias de interpretación reconocen y ayudan a resolver.</w:t>
      </w:r>
    </w:p>
    <w:p w14:paraId="647464A5" w14:textId="77777777" w:rsidR="00A64FB0" w:rsidRPr="00D91CB9" w:rsidRDefault="00000000">
      <w:pPr>
        <w:keepLines/>
        <w:jc w:val="both"/>
        <w:rPr>
          <w:lang w:val="es-419"/>
        </w:rPr>
      </w:pPr>
      <w:r w:rsidRPr="00D91CB9">
        <w:rPr>
          <w:lang w:val="es-419"/>
        </w:rPr>
        <w:t>Respecto de las tareas (RQ2), predominan la estructuración, clasificación y generación, junto con aplicaciones de ambigüedad y calidad. Este resultado sitúa la ambigüedad dentro de una línea existente y orienta una evaluación más específica: comprobar cómo las intervenciones afectan a la comprensión del requisito. El resultado de interés es la reducción de diferencias de significado entre lectores, además de la detección de problemas textuales.</w:t>
      </w:r>
    </w:p>
    <w:p w14:paraId="6045F1D2" w14:textId="77777777" w:rsidR="00A64FB0" w:rsidRPr="00D91CB9" w:rsidRDefault="00000000">
      <w:pPr>
        <w:keepLines/>
        <w:jc w:val="both"/>
        <w:rPr>
          <w:lang w:val="es-419"/>
        </w:rPr>
      </w:pPr>
      <w:r w:rsidRPr="00D91CB9">
        <w:rPr>
          <w:lang w:val="es-419"/>
        </w:rPr>
        <w:t>Sobre el respaldo del español (RQ3), las vías de adaptación o sustitución abarcan más recursos que el soporte directo documentado. Esta oferta permite seleccionar candidatos para investigar la ambigüedad en español. Su evaluación deberá establecer si reconocen interpretaciones que cambian obligaciones, condiciones o restricciones. El soporte lingüístico proporciona un punto de partida, mientras la correspondencia entre sus resultados y la comprensión humana requiere comprobación específica.</w:t>
      </w:r>
    </w:p>
    <w:p w14:paraId="765AE3FF" w14:textId="77777777" w:rsidR="00A64FB0" w:rsidRPr="00D91CB9" w:rsidRDefault="00000000">
      <w:pPr>
        <w:keepLines/>
        <w:jc w:val="both"/>
        <w:rPr>
          <w:lang w:val="es-419"/>
        </w:rPr>
      </w:pPr>
      <w:r w:rsidRPr="00D91CB9">
        <w:rPr>
          <w:lang w:val="es-419"/>
        </w:rPr>
        <w:lastRenderedPageBreak/>
        <w:t>En cuanto a las aplicaciones en español (RQ4), la clasificación, similitud, ambigüedad y priorización aportan antecedentes y datos para nuevas comparaciones. La detección de ambigüedad se conecta directamente con el problema propuesto, mientras la similitud podría apoyar la comparación de lecturas. Investigar esa posibilidad exige definir el contexto, los lectores y el origen de los requisitos, para distinguir diferencias de significado de simples variaciones de redacción.</w:t>
      </w:r>
    </w:p>
    <w:p w14:paraId="17E99E42" w14:textId="77777777" w:rsidR="00A64FB0" w:rsidRPr="00D91CB9" w:rsidRDefault="00000000">
      <w:pPr>
        <w:keepLines/>
        <w:jc w:val="both"/>
        <w:rPr>
          <w:lang w:val="es-419"/>
        </w:rPr>
      </w:pPr>
      <w:r w:rsidRPr="00D91CB9">
        <w:rPr>
          <w:lang w:val="es-419"/>
        </w:rPr>
        <w:t>Respecto de los vacíos (RQ5), queda por establecer, a partir de esta síntesis, cómo identificar y reducir la dispersión interpretativa de requisitos en español, conservando la intención de quien los solicita. El conocimiento buscado relaciona ambigüedad detectada, diferencias observadas entre lectores y efecto de una aclaración o reformulación. Esta pregunta delimita una investigación específica, cuya evidencia previa debe examinarse mediante una revisión focalizada.</w:t>
      </w:r>
    </w:p>
    <w:p w14:paraId="7868FDC0" w14:textId="77777777" w:rsidR="00A64FB0" w:rsidRPr="00D91CB9" w:rsidRDefault="00000000">
      <w:pPr>
        <w:keepLines/>
        <w:jc w:val="both"/>
        <w:rPr>
          <w:lang w:val="es-419"/>
        </w:rPr>
      </w:pPr>
      <w:r w:rsidRPr="00D91CB9">
        <w:rPr>
          <w:lang w:val="es-419"/>
        </w:rPr>
        <w:t>Finalmente, para la transferencia (RQ6), los recursos del español, sus adaptaciones y los modelos multilingües ofrecen candidatos para contrastar estimaciones automáticas con interpretaciones humanas. Se propone evaluar si la intervención reduce diferencias relevantes frente a una condición de comparación y conserva obligaciones, condiciones y excepciones. Esa evidencia permitiría fundamentar un método de resolución de ambigüedad guiado por dispersión interpretativa y valorar su utilidad en la revisión de requisitos.</w:t>
      </w:r>
    </w:p>
    <w:p w14:paraId="6EDB9C4B" w14:textId="77777777" w:rsidR="00A64FB0" w:rsidRPr="00D91CB9" w:rsidRDefault="00000000">
      <w:pPr>
        <w:pStyle w:val="Heading1"/>
        <w:rPr>
          <w:lang w:val="es-419"/>
        </w:rPr>
      </w:pPr>
      <w:r w:rsidRPr="00D91CB9">
        <w:rPr>
          <w:rFonts w:ascii="Times New Roman" w:hAnsi="Times New Roman"/>
          <w:lang w:val="es-419"/>
        </w:rPr>
        <w:t>Disponibilidad del material complementario</w:t>
      </w:r>
    </w:p>
    <w:p w14:paraId="7A07D883" w14:textId="77777777" w:rsidR="00A64FB0" w:rsidRPr="00D91CB9" w:rsidRDefault="00000000">
      <w:pPr>
        <w:keepLines/>
        <w:jc w:val="both"/>
        <w:rPr>
          <w:lang w:val="es-419"/>
        </w:rPr>
      </w:pPr>
      <w:r w:rsidRPr="00D91CB9">
        <w:rPr>
          <w:lang w:val="es-419"/>
        </w:rPr>
        <w:t xml:space="preserve">Los datos utilizados corresponden al suplemento disponible en </w:t>
      </w:r>
      <w:r>
        <w:fldChar w:fldCharType="begin"/>
      </w:r>
      <w:r w:rsidRPr="00D91CB9">
        <w:rPr>
          <w:lang w:val="es-419"/>
        </w:rPr>
        <w:instrText>HYPERLINK "https://github.com/kenjikv/sms_nlp4re" \h</w:instrText>
      </w:r>
      <w:r>
        <w:fldChar w:fldCharType="separate"/>
      </w:r>
      <w:r w:rsidRPr="00D91CB9">
        <w:rPr>
          <w:color w:val="0563C1"/>
          <w:u w:val="single"/>
          <w:lang w:val="es-419"/>
        </w:rPr>
        <w:t>https://github.com/kenjikv/sms_nlp4re</w:t>
      </w:r>
      <w:r>
        <w:fldChar w:fldCharType="end"/>
      </w:r>
      <w:r w:rsidRPr="00D91CB9">
        <w:rPr>
          <w:lang w:val="es-419"/>
        </w:rPr>
        <w:t xml:space="preserve">, identificado mediante la </w:t>
      </w:r>
      <w:r>
        <w:fldChar w:fldCharType="begin"/>
      </w:r>
      <w:r w:rsidRPr="00D91CB9">
        <w:rPr>
          <w:lang w:val="es-419"/>
        </w:rPr>
        <w:instrText>HYPERLINK "https://github.com/kenjikv/sms_nlp4re/releases/tag/v1.1.0" \h</w:instrText>
      </w:r>
      <w:r>
        <w:fldChar w:fldCharType="separate"/>
      </w:r>
      <w:r w:rsidRPr="00D91CB9">
        <w:rPr>
          <w:color w:val="0563C1"/>
          <w:u w:val="single"/>
          <w:lang w:val="es-419"/>
        </w:rPr>
        <w:t>publicación 1.1.0</w:t>
      </w:r>
      <w:r>
        <w:fldChar w:fldCharType="end"/>
      </w:r>
      <w:r w:rsidRPr="00D91CB9">
        <w:rPr>
          <w:lang w:val="es-419"/>
        </w:rPr>
        <w:t>. El repositorio reúne la selección, la extracción, el inventario de recursos y los procedimientos para reproducir tablas y figuras. También conserva la procedencia de las incorporaciones y los candidatos pendientes. Esta documentación permite consultar el fundamento de las interpretaciones, localizar los estudios y utilizar la base como punto de partida para nuevas comparaciones.</w:t>
      </w:r>
    </w:p>
    <w:p w14:paraId="1A0A0FC1" w14:textId="77777777" w:rsidR="00A64FB0" w:rsidRPr="00D91CB9" w:rsidRDefault="00000000">
      <w:pPr>
        <w:pStyle w:val="Heading1"/>
        <w:rPr>
          <w:lang w:val="es-419"/>
        </w:rPr>
      </w:pPr>
      <w:r w:rsidRPr="00D91CB9">
        <w:rPr>
          <w:rFonts w:ascii="Times New Roman" w:hAnsi="Times New Roman"/>
          <w:lang w:val="es-419"/>
        </w:rPr>
        <w:t>Referencias</w:t>
      </w:r>
    </w:p>
    <w:p w14:paraId="0F0B23D3" w14:textId="77777777" w:rsidR="00A64FB0" w:rsidRDefault="00000000">
      <w:pPr>
        <w:keepLines/>
        <w:ind w:left="720" w:hanging="720"/>
      </w:pPr>
      <w:r w:rsidRPr="00D91CB9">
        <w:rPr>
          <w:lang w:val="es-419"/>
        </w:rPr>
        <w:t xml:space="preserve">Alturayeif, N., Ahmad, I., y Hassine, J. (2026). </w:t>
      </w:r>
      <w:r>
        <w:t>TraceLLM: leveraging large language models with prompt engineering for enhanced requirements traceability. Requirements Engineering, 31(1), 6. https://doi.org/10.1007/s00766-026-00460-1</w:t>
      </w:r>
    </w:p>
    <w:p w14:paraId="396A1EC8" w14:textId="77777777" w:rsidR="00382836" w:rsidRDefault="00000000">
      <w:pPr>
        <w:keepLines/>
        <w:ind w:left="720" w:hanging="720"/>
      </w:pPr>
      <w:r w:rsidRPr="00CC5822">
        <w:lastRenderedPageBreak/>
        <w:t xml:space="preserve">Baker, C. F., Fillmore, C. J., &amp; Lowe, J. B. (1998). </w:t>
      </w:r>
      <w:r w:rsidRPr="00CC5822">
        <w:rPr>
          <w:i/>
        </w:rPr>
        <w:t xml:space="preserve">The Berkeley </w:t>
      </w:r>
      <w:proofErr w:type="spellStart"/>
      <w:r w:rsidRPr="00CC5822">
        <w:rPr>
          <w:i/>
        </w:rPr>
        <w:t>FrameNet</w:t>
      </w:r>
      <w:proofErr w:type="spellEnd"/>
      <w:r w:rsidRPr="00CC5822">
        <w:rPr>
          <w:i/>
        </w:rPr>
        <w:t xml:space="preserve"> project</w:t>
      </w:r>
      <w:r w:rsidRPr="00CC5822">
        <w:t xml:space="preserve">. En </w:t>
      </w:r>
      <w:r w:rsidRPr="00CC5822">
        <w:rPr>
          <w:i/>
        </w:rPr>
        <w:t>Proceedings of the 36th Annual Meeting of the Association for Computational Linguistics and 17th International Conference on Computational Linguistics</w:t>
      </w:r>
      <w:r w:rsidRPr="00CC5822">
        <w:t xml:space="preserve"> (pp. 86-90). Association for Computational Linguistics. </w:t>
      </w:r>
      <w:hyperlink r:id="rId12">
        <w:r w:rsidR="00382836" w:rsidRPr="00CC5822">
          <w:t>https://doi.org/10.3115/980845.980860</w:t>
        </w:r>
      </w:hyperlink>
    </w:p>
    <w:p w14:paraId="372BC349" w14:textId="77777777" w:rsidR="00A64FB0" w:rsidRDefault="00000000">
      <w:pPr>
        <w:keepLines/>
        <w:ind w:left="720" w:hanging="720"/>
      </w:pPr>
      <w:r>
        <w:t>Bazin, A., Gutierrez, A., Huchard, M., Martin, P., y Zhang, Y. (2025). Variability-Driven User-Story Generation Using LLM and Triadic Concept Analysis. Proceedings of the 20th International Conference on Evaluation of Novel Approaches to Software Engineering, 618-625. https://doi.org/10.5220/0013360500003928</w:t>
      </w:r>
    </w:p>
    <w:p w14:paraId="24EF9F30" w14:textId="77777777" w:rsidR="00382836" w:rsidRDefault="00000000">
      <w:pPr>
        <w:keepLines/>
        <w:ind w:left="720" w:hanging="720"/>
      </w:pPr>
      <w:r w:rsidRPr="00CC5822">
        <w:t xml:space="preserve">Bojanowski, P., Grave, E., </w:t>
      </w:r>
      <w:proofErr w:type="spellStart"/>
      <w:r w:rsidRPr="00CC5822">
        <w:t>Joulin</w:t>
      </w:r>
      <w:proofErr w:type="spellEnd"/>
      <w:r w:rsidRPr="00CC5822">
        <w:t xml:space="preserve">, A., &amp; Mikolov, T. (2017). </w:t>
      </w:r>
      <w:r w:rsidRPr="00CC5822">
        <w:rPr>
          <w:i/>
        </w:rPr>
        <w:t xml:space="preserve">Enriching word vectors with </w:t>
      </w:r>
      <w:proofErr w:type="spellStart"/>
      <w:r w:rsidRPr="00CC5822">
        <w:rPr>
          <w:i/>
        </w:rPr>
        <w:t>subword</w:t>
      </w:r>
      <w:proofErr w:type="spellEnd"/>
      <w:r w:rsidRPr="00CC5822">
        <w:rPr>
          <w:i/>
        </w:rPr>
        <w:t xml:space="preserve"> information</w:t>
      </w:r>
      <w:r w:rsidRPr="00CC5822">
        <w:t xml:space="preserve">. </w:t>
      </w:r>
      <w:r w:rsidRPr="00CC5822">
        <w:rPr>
          <w:i/>
        </w:rPr>
        <w:t>Transactions of the Association for Computational Linguistics, 5</w:t>
      </w:r>
      <w:r w:rsidRPr="00CC5822">
        <w:t xml:space="preserve">, 135-146. </w:t>
      </w:r>
      <w:hyperlink r:id="rId13">
        <w:r w:rsidR="00382836" w:rsidRPr="00CC5822">
          <w:t>https://doi.org/10.1162/tacl_a_00051</w:t>
        </w:r>
      </w:hyperlink>
    </w:p>
    <w:p w14:paraId="17BABBD9" w14:textId="77777777" w:rsidR="00382836" w:rsidRDefault="00000000">
      <w:pPr>
        <w:keepLines/>
        <w:ind w:left="720" w:hanging="720"/>
      </w:pPr>
      <w:r>
        <w:rPr>
          <w:lang w:val="es-ES"/>
        </w:rPr>
        <w:t xml:space="preserve">Cañete, J., Chaperon, G., Fuentes, R., Ho, J.-H., Kang, H., &amp; Pérez, J. (2023). </w:t>
      </w:r>
      <w:r w:rsidRPr="00CC5822">
        <w:rPr>
          <w:i/>
        </w:rPr>
        <w:t>Spanish pre-trained BERT model and evaluation data</w:t>
      </w:r>
      <w:r w:rsidRPr="00CC5822">
        <w:t xml:space="preserve">. [Informe]. </w:t>
      </w:r>
      <w:proofErr w:type="spellStart"/>
      <w:r w:rsidRPr="00CC5822">
        <w:t>arXiv</w:t>
      </w:r>
      <w:proofErr w:type="spellEnd"/>
      <w:r w:rsidRPr="00CC5822">
        <w:t xml:space="preserve">. </w:t>
      </w:r>
      <w:hyperlink r:id="rId14">
        <w:r w:rsidR="00382836" w:rsidRPr="00CC5822">
          <w:t>https://doi.org/10.48550/arXiv.2308.02976</w:t>
        </w:r>
      </w:hyperlink>
    </w:p>
    <w:p w14:paraId="71C52B47" w14:textId="77777777" w:rsidR="00382836" w:rsidRPr="00CC5822" w:rsidRDefault="00000000">
      <w:pPr>
        <w:keepLines/>
        <w:ind w:left="720" w:hanging="720"/>
        <w:rPr>
          <w:lang w:val="es-419"/>
        </w:rPr>
      </w:pPr>
      <w:r w:rsidRPr="00CC5822">
        <w:t xml:space="preserve">Cardellino, C. (2016). </w:t>
      </w:r>
      <w:r w:rsidRPr="00CC5822">
        <w:rPr>
          <w:i/>
        </w:rPr>
        <w:t>Spanish Billion Words Corpus and Embeddings</w:t>
      </w:r>
      <w:r w:rsidRPr="00CC5822">
        <w:t xml:space="preserve">. </w:t>
      </w:r>
      <w:r>
        <w:rPr>
          <w:lang w:val="es-ES"/>
        </w:rPr>
        <w:t xml:space="preserve">[Corpus y representaciones vectoriales]. </w:t>
      </w:r>
      <w:r w:rsidR="00382836">
        <w:fldChar w:fldCharType="begin"/>
      </w:r>
      <w:r w:rsidR="00382836" w:rsidRPr="00D91CB9">
        <w:rPr>
          <w:lang w:val="es-419"/>
        </w:rPr>
        <w:instrText>HYPERLINK "https://crscardellino.net/SBWCE/" \h</w:instrText>
      </w:r>
      <w:r w:rsidR="00382836">
        <w:fldChar w:fldCharType="separate"/>
      </w:r>
      <w:r w:rsidR="00382836">
        <w:rPr>
          <w:lang w:val="es-ES"/>
        </w:rPr>
        <w:t>https://crscardellino.net/SBWCE/</w:t>
      </w:r>
      <w:r w:rsidR="00382836">
        <w:fldChar w:fldCharType="end"/>
      </w:r>
    </w:p>
    <w:p w14:paraId="341A2C85" w14:textId="77777777" w:rsidR="00382836" w:rsidRDefault="00000000">
      <w:pPr>
        <w:keepLines/>
        <w:ind w:left="720" w:hanging="720"/>
      </w:pPr>
      <w:r>
        <w:rPr>
          <w:lang w:val="es-ES"/>
        </w:rPr>
        <w:t xml:space="preserve">Cohen, J. (1960). </w:t>
      </w:r>
      <w:r w:rsidRPr="00CC5822">
        <w:rPr>
          <w:i/>
        </w:rPr>
        <w:t>A coefficient of agreement for nominal scales</w:t>
      </w:r>
      <w:r w:rsidRPr="00CC5822">
        <w:t xml:space="preserve">. </w:t>
      </w:r>
      <w:r w:rsidRPr="00CC5822">
        <w:rPr>
          <w:i/>
        </w:rPr>
        <w:t>Educational and Psychological Measurement, 20</w:t>
      </w:r>
      <w:r w:rsidRPr="00CC5822">
        <w:t xml:space="preserve">(1), 37-46. </w:t>
      </w:r>
      <w:hyperlink r:id="rId15">
        <w:r w:rsidR="00382836" w:rsidRPr="00CC5822">
          <w:t>https://doi.org/10.1177/001316446002000104</w:t>
        </w:r>
      </w:hyperlink>
    </w:p>
    <w:p w14:paraId="6B2AA92E" w14:textId="77777777" w:rsidR="00382836" w:rsidRDefault="00000000">
      <w:pPr>
        <w:keepLines/>
        <w:ind w:left="720" w:hanging="720"/>
      </w:pPr>
      <w:r w:rsidRPr="00CC5822">
        <w:t xml:space="preserve">Devlin, J., Chang, M.-W., Lee, K., &amp; Toutanova, K. (2019). </w:t>
      </w:r>
      <w:r w:rsidRPr="00CC5822">
        <w:rPr>
          <w:i/>
        </w:rPr>
        <w:t>BERT: Pre-training of deep bidirectional transformers for language understanding</w:t>
      </w:r>
      <w:r w:rsidRPr="00CC5822">
        <w:t xml:space="preserve">. En </w:t>
      </w:r>
      <w:r w:rsidRPr="00CC5822">
        <w:rPr>
          <w:i/>
        </w:rPr>
        <w:t>Proceedings of the 2019 Conference of the North American Chapter of the Association for Computational Linguistics: Human Language Technologies, Volume 1 (Long and Short Papers)</w:t>
      </w:r>
      <w:r w:rsidRPr="00CC5822">
        <w:t xml:space="preserve"> (pp. 4171-4186). Association for Computational Linguistics. </w:t>
      </w:r>
      <w:hyperlink r:id="rId16">
        <w:r w:rsidR="00382836" w:rsidRPr="00CC5822">
          <w:t>https://doi.org/10.18653/v1/N19-1423</w:t>
        </w:r>
      </w:hyperlink>
    </w:p>
    <w:p w14:paraId="5EA932C2" w14:textId="77777777" w:rsidR="00A64FB0" w:rsidRDefault="00000000">
      <w:pPr>
        <w:keepLines/>
        <w:ind w:left="720" w:hanging="720"/>
      </w:pPr>
      <w:r>
        <w:t>Etezadi, R., Abualhaija, S., Arora, C., y Briand, L. (2026). Classifier or prompt: A case study on legal requirements traceability. Empirical Software Engineering, 31(4), 85. https://doi.org/10.1007/s10664-026-10827-1</w:t>
      </w:r>
    </w:p>
    <w:p w14:paraId="1C0D2FA5" w14:textId="77777777" w:rsidR="00382836" w:rsidRPr="00CC5822" w:rsidRDefault="00000000">
      <w:pPr>
        <w:keepLines/>
        <w:ind w:left="720" w:hanging="720"/>
        <w:rPr>
          <w:lang w:val="es-419"/>
        </w:rPr>
      </w:pPr>
      <w:r w:rsidRPr="00CC5822">
        <w:t xml:space="preserve">Feinstein, A. R., &amp; Cicchetti, D. V. (1990). </w:t>
      </w:r>
      <w:r w:rsidRPr="00CC5822">
        <w:rPr>
          <w:i/>
        </w:rPr>
        <w:t>High agreement but low kappa: I. The problems of two paradoxes</w:t>
      </w:r>
      <w:r w:rsidRPr="00CC5822">
        <w:t xml:space="preserve">. </w:t>
      </w:r>
      <w:proofErr w:type="spellStart"/>
      <w:r>
        <w:rPr>
          <w:i/>
          <w:lang w:val="es-ES"/>
        </w:rPr>
        <w:t>Journal</w:t>
      </w:r>
      <w:proofErr w:type="spellEnd"/>
      <w:r>
        <w:rPr>
          <w:i/>
          <w:lang w:val="es-ES"/>
        </w:rPr>
        <w:t xml:space="preserve"> </w:t>
      </w:r>
      <w:proofErr w:type="spellStart"/>
      <w:r>
        <w:rPr>
          <w:i/>
          <w:lang w:val="es-ES"/>
        </w:rPr>
        <w:t>of</w:t>
      </w:r>
      <w:proofErr w:type="spellEnd"/>
      <w:r>
        <w:rPr>
          <w:i/>
          <w:lang w:val="es-ES"/>
        </w:rPr>
        <w:t xml:space="preserve"> </w:t>
      </w:r>
      <w:proofErr w:type="spellStart"/>
      <w:r>
        <w:rPr>
          <w:i/>
          <w:lang w:val="es-ES"/>
        </w:rPr>
        <w:t>Clinical</w:t>
      </w:r>
      <w:proofErr w:type="spellEnd"/>
      <w:r>
        <w:rPr>
          <w:i/>
          <w:lang w:val="es-ES"/>
        </w:rPr>
        <w:t xml:space="preserve"> </w:t>
      </w:r>
      <w:proofErr w:type="spellStart"/>
      <w:r>
        <w:rPr>
          <w:i/>
          <w:lang w:val="es-ES"/>
        </w:rPr>
        <w:t>Epidemiology</w:t>
      </w:r>
      <w:proofErr w:type="spellEnd"/>
      <w:r>
        <w:rPr>
          <w:i/>
          <w:lang w:val="es-ES"/>
        </w:rPr>
        <w:t>, 43</w:t>
      </w:r>
      <w:r>
        <w:rPr>
          <w:lang w:val="es-ES"/>
        </w:rPr>
        <w:t xml:space="preserve">(6), 543-549. </w:t>
      </w:r>
      <w:r w:rsidR="00382836">
        <w:fldChar w:fldCharType="begin"/>
      </w:r>
      <w:r w:rsidR="00382836" w:rsidRPr="00D91CB9">
        <w:rPr>
          <w:lang w:val="es-419"/>
        </w:rPr>
        <w:instrText>HYPERLINK "https://doi.org/10.1016/0895-4356(90)90158-L" \h</w:instrText>
      </w:r>
      <w:r w:rsidR="00382836">
        <w:fldChar w:fldCharType="separate"/>
      </w:r>
      <w:r w:rsidR="00382836">
        <w:rPr>
          <w:lang w:val="es-ES"/>
        </w:rPr>
        <w:t>https://doi.org/10.1016/0895-4356(90)90158-L</w:t>
      </w:r>
      <w:r w:rsidR="00382836">
        <w:fldChar w:fldCharType="end"/>
      </w:r>
    </w:p>
    <w:p w14:paraId="40E98763" w14:textId="77777777" w:rsidR="00382836" w:rsidRPr="00CC5822" w:rsidRDefault="00000000">
      <w:pPr>
        <w:keepLines/>
        <w:ind w:left="720" w:hanging="720"/>
        <w:rPr>
          <w:lang w:val="es-ES"/>
        </w:rPr>
      </w:pPr>
      <w:r>
        <w:rPr>
          <w:lang w:val="es-ES"/>
        </w:rPr>
        <w:lastRenderedPageBreak/>
        <w:t xml:space="preserve">Gutiérrez-Fandiño, A., Armengol-Estapé, J., Pàmies, M., Llop-Palao, J., Silveira-Ocampo, J., Carrino, C. P., Armentano-Oller, C., Rodríguez-Penagos, C., Gonzalez-Agirre, A., &amp; Villegas, M. (2022). </w:t>
      </w:r>
      <w:r>
        <w:rPr>
          <w:i/>
          <w:lang w:val="es-ES"/>
        </w:rPr>
        <w:t>MarIA: Spanish language models</w:t>
      </w:r>
      <w:r>
        <w:rPr>
          <w:lang w:val="es-ES"/>
        </w:rPr>
        <w:t xml:space="preserve">. </w:t>
      </w:r>
      <w:r>
        <w:rPr>
          <w:i/>
          <w:lang w:val="es-ES"/>
        </w:rPr>
        <w:t>Procesamiento del Lenguaje Natural, 68</w:t>
      </w:r>
      <w:r>
        <w:rPr>
          <w:lang w:val="es-ES"/>
        </w:rPr>
        <w:t xml:space="preserve">, 39-60. </w:t>
      </w:r>
      <w:r w:rsidR="00382836">
        <w:fldChar w:fldCharType="begin"/>
      </w:r>
      <w:r w:rsidR="00382836" w:rsidRPr="00D91CB9">
        <w:rPr>
          <w:lang w:val="es-ES"/>
        </w:rPr>
        <w:instrText>HYPERLINK "https://journal.sepln.org/sepln/ojs/ojs/index.php/pln/article/view/6405" \h</w:instrText>
      </w:r>
      <w:r w:rsidR="00382836">
        <w:fldChar w:fldCharType="separate"/>
      </w:r>
      <w:r w:rsidR="00382836">
        <w:rPr>
          <w:lang w:val="es-ES"/>
        </w:rPr>
        <w:t>https://journal.sepln.org/sepln/ojs/ojs/index.php/pln/article/view/6405</w:t>
      </w:r>
      <w:r w:rsidR="00382836">
        <w:fldChar w:fldCharType="end"/>
      </w:r>
    </w:p>
    <w:p w14:paraId="59FBAE84" w14:textId="77777777" w:rsidR="00382836" w:rsidRPr="00CC5822" w:rsidRDefault="00000000">
      <w:pPr>
        <w:keepLines/>
        <w:ind w:left="720" w:hanging="720"/>
        <w:rPr>
          <w:lang w:val="es-419"/>
        </w:rPr>
      </w:pPr>
      <w:r>
        <w:rPr>
          <w:lang w:val="es-ES"/>
        </w:rPr>
        <w:t xml:space="preserve">Guzmán Luna, J. A., Gómez Arias, S. A., &amp; Vélez Carvajal, C. A. (2015). Un modelo de procesamiento de lenguaje natural para la detección de errores en requisitos de </w:t>
      </w:r>
      <w:r>
        <w:rPr>
          <w:i/>
          <w:lang w:val="es-ES"/>
        </w:rPr>
        <w:t>software</w:t>
      </w:r>
      <w:r>
        <w:rPr>
          <w:lang w:val="es-ES"/>
        </w:rPr>
        <w:t xml:space="preserve">. </w:t>
      </w:r>
      <w:r>
        <w:rPr>
          <w:i/>
          <w:lang w:val="es-ES"/>
        </w:rPr>
        <w:t>Revista Virtual Universidad Católica del Norte</w:t>
      </w:r>
      <w:r>
        <w:rPr>
          <w:lang w:val="es-ES"/>
        </w:rPr>
        <w:t xml:space="preserve">(46), 169-186. </w:t>
      </w:r>
      <w:r w:rsidR="00382836">
        <w:fldChar w:fldCharType="begin"/>
      </w:r>
      <w:r w:rsidR="00382836" w:rsidRPr="00D91CB9">
        <w:rPr>
          <w:lang w:val="es-419"/>
        </w:rPr>
        <w:instrText>HYPERLINK "https://revistavirtual.ucn.edu.co/index.php/RevistaUCN/article/view/707" \h</w:instrText>
      </w:r>
      <w:r w:rsidR="00382836">
        <w:fldChar w:fldCharType="separate"/>
      </w:r>
      <w:r w:rsidR="00382836">
        <w:rPr>
          <w:lang w:val="es-ES"/>
        </w:rPr>
        <w:t>https://revistavirtual.ucn.edu.co/index.php/RevistaUCN/article/view/707</w:t>
      </w:r>
      <w:r w:rsidR="00382836">
        <w:fldChar w:fldCharType="end"/>
      </w:r>
    </w:p>
    <w:p w14:paraId="2762D7B8" w14:textId="77777777" w:rsidR="00A64FB0" w:rsidRDefault="00000000">
      <w:pPr>
        <w:keepLines/>
        <w:ind w:left="720" w:hanging="720"/>
      </w:pPr>
      <w:r w:rsidRPr="00D91CB9">
        <w:rPr>
          <w:lang w:val="es-419"/>
        </w:rPr>
        <w:t xml:space="preserve">Khayashi, F., Jamasb, B., Akbari, R., y Shamsinejadbabaki, P. (2026). </w:t>
      </w:r>
      <w:r>
        <w:t>Deep Learning Methods for Software Requirement Classification: A Performance Study on the Pure Dataset. International Journal of Computational Intelligence and Applications, 2650037. https://doi.org/10.1142/s1469026826500379</w:t>
      </w:r>
    </w:p>
    <w:p w14:paraId="15FA788D" w14:textId="77777777" w:rsidR="00A64FB0" w:rsidRDefault="00000000">
      <w:pPr>
        <w:keepLines/>
        <w:ind w:left="720" w:hanging="720"/>
      </w:pPr>
      <w:r w:rsidRPr="00D91CB9">
        <w:rPr>
          <w:lang w:val="es-419"/>
        </w:rPr>
        <w:t xml:space="preserve">Krishna, M., Gaur, B., Verma, A., y Jalote, P. (2024). </w:t>
      </w:r>
      <w:r>
        <w:t>Using LLMs in Software Requirements Specifications: An Empirical Evaluation. 2024 IEEE 32nd International Requirements Engineering Conference (RE), 475-483. https://doi.org/10.1109/re59067.2024.00056</w:t>
      </w:r>
    </w:p>
    <w:p w14:paraId="44EF705F" w14:textId="77777777" w:rsidR="00382836" w:rsidRDefault="00000000">
      <w:pPr>
        <w:keepLines/>
        <w:ind w:left="720" w:hanging="720"/>
      </w:pPr>
      <w:r>
        <w:rPr>
          <w:lang w:val="es-ES"/>
        </w:rPr>
        <w:t xml:space="preserve">Limaylla-Lunarejo, M. I., Condori-Fernandez, N., &amp; Luaces, M. R. (2023a). </w:t>
      </w:r>
      <w:r w:rsidRPr="00CC5822">
        <w:rPr>
          <w:i/>
        </w:rPr>
        <w:t>Evaluating non-functional requirements classification for Spanish text: Traditional vs. deep learning approaches</w:t>
      </w:r>
      <w:r w:rsidRPr="00CC5822">
        <w:t xml:space="preserve">. En </w:t>
      </w:r>
      <w:proofErr w:type="spellStart"/>
      <w:r w:rsidRPr="00CC5822">
        <w:rPr>
          <w:i/>
        </w:rPr>
        <w:t>LatinX</w:t>
      </w:r>
      <w:proofErr w:type="spellEnd"/>
      <w:r w:rsidRPr="00CC5822">
        <w:rPr>
          <w:i/>
        </w:rPr>
        <w:t xml:space="preserve"> in AI Workshop</w:t>
      </w:r>
      <w:r w:rsidRPr="00CC5822">
        <w:t xml:space="preserve">. </w:t>
      </w:r>
      <w:hyperlink r:id="rId17">
        <w:r w:rsidR="00382836" w:rsidRPr="00CC5822">
          <w:t>https://doi.org/10.52591/lxai202312103</w:t>
        </w:r>
      </w:hyperlink>
    </w:p>
    <w:p w14:paraId="30B6BA5D" w14:textId="77777777" w:rsidR="00382836" w:rsidRDefault="00000000">
      <w:pPr>
        <w:keepLines/>
        <w:ind w:left="720" w:hanging="720"/>
      </w:pPr>
      <w:proofErr w:type="spellStart"/>
      <w:r w:rsidRPr="00CC5822">
        <w:t>Limaylla-Lunarejo</w:t>
      </w:r>
      <w:proofErr w:type="spellEnd"/>
      <w:r w:rsidRPr="00CC5822">
        <w:t xml:space="preserve">, M. I., Condori-Fernandez, N., &amp; Luaces, M. R. (2023b). </w:t>
      </w:r>
      <w:r w:rsidRPr="00CC5822">
        <w:rPr>
          <w:i/>
        </w:rPr>
        <w:t xml:space="preserve">Requirements classification using </w:t>
      </w:r>
      <w:proofErr w:type="spellStart"/>
      <w:r w:rsidRPr="00CC5822">
        <w:rPr>
          <w:i/>
        </w:rPr>
        <w:t>FastText</w:t>
      </w:r>
      <w:proofErr w:type="spellEnd"/>
      <w:r w:rsidRPr="00CC5822">
        <w:rPr>
          <w:i/>
        </w:rPr>
        <w:t xml:space="preserve"> and BETO in Spanish documents</w:t>
      </w:r>
      <w:r w:rsidRPr="00CC5822">
        <w:t xml:space="preserve">. En </w:t>
      </w:r>
      <w:r w:rsidRPr="00CC5822">
        <w:rPr>
          <w:i/>
        </w:rPr>
        <w:t>Requirements Engineering: Foundation for Software Quality (REFSQ 2023), Lecture Notes in Computer Science, vol. 13975</w:t>
      </w:r>
      <w:r w:rsidRPr="00CC5822">
        <w:t xml:space="preserve"> (pp. 159-176). Springer. </w:t>
      </w:r>
      <w:hyperlink r:id="rId18">
        <w:r w:rsidR="00382836" w:rsidRPr="00CC5822">
          <w:t>https://doi.org/10.1007/978-3-031-29786-1_11</w:t>
        </w:r>
      </w:hyperlink>
    </w:p>
    <w:p w14:paraId="6D18510F" w14:textId="77777777" w:rsidR="00382836" w:rsidRPr="00CC5822" w:rsidRDefault="00000000">
      <w:pPr>
        <w:keepLines/>
        <w:ind w:left="720" w:hanging="720"/>
        <w:rPr>
          <w:lang w:val="es-419"/>
        </w:rPr>
      </w:pPr>
      <w:proofErr w:type="spellStart"/>
      <w:r w:rsidRPr="00CC5822">
        <w:t>Limaylla-Lunarejo</w:t>
      </w:r>
      <w:proofErr w:type="spellEnd"/>
      <w:r w:rsidRPr="00CC5822">
        <w:t xml:space="preserve">, M. I., Condori-Fernandez, N., &amp; Luaces, M. R. (2023c). </w:t>
      </w:r>
      <w:r w:rsidRPr="00CC5822">
        <w:rPr>
          <w:i/>
        </w:rPr>
        <w:t>Towards a FAIR dataset for non-functional requirements</w:t>
      </w:r>
      <w:r w:rsidRPr="00CC5822">
        <w:t xml:space="preserve">. En </w:t>
      </w:r>
      <w:r w:rsidRPr="00CC5822">
        <w:rPr>
          <w:i/>
        </w:rPr>
        <w:t>Proceedings of the 38th ACM/SIGAPP Symposium on Applied Computing</w:t>
      </w:r>
      <w:r w:rsidRPr="00CC5822">
        <w:t xml:space="preserve"> (pp. 1414-1421). </w:t>
      </w:r>
      <w:r>
        <w:rPr>
          <w:lang w:val="es-ES"/>
        </w:rPr>
        <w:t xml:space="preserve">ACM. </w:t>
      </w:r>
      <w:r w:rsidR="00382836">
        <w:fldChar w:fldCharType="begin"/>
      </w:r>
      <w:r w:rsidR="00382836" w:rsidRPr="00D91CB9">
        <w:rPr>
          <w:lang w:val="es-419"/>
        </w:rPr>
        <w:instrText>HYPERLINK "https://doi.org/10.1145/3555776.3578611" \h</w:instrText>
      </w:r>
      <w:r w:rsidR="00382836">
        <w:fldChar w:fldCharType="separate"/>
      </w:r>
      <w:r w:rsidR="00382836">
        <w:rPr>
          <w:lang w:val="es-ES"/>
        </w:rPr>
        <w:t>https://doi.org/10.1145/3555776.3578611</w:t>
      </w:r>
      <w:r w:rsidR="00382836">
        <w:fldChar w:fldCharType="end"/>
      </w:r>
    </w:p>
    <w:p w14:paraId="58EA8D08" w14:textId="77777777" w:rsidR="00382836" w:rsidRPr="00CC5822" w:rsidRDefault="00000000">
      <w:pPr>
        <w:keepLines/>
        <w:ind w:left="720" w:hanging="720"/>
        <w:rPr>
          <w:lang w:val="es-419"/>
        </w:rPr>
      </w:pPr>
      <w:proofErr w:type="spellStart"/>
      <w:r>
        <w:rPr>
          <w:lang w:val="es-ES"/>
        </w:rPr>
        <w:t>Limaylla</w:t>
      </w:r>
      <w:proofErr w:type="spellEnd"/>
      <w:r>
        <w:rPr>
          <w:lang w:val="es-ES"/>
        </w:rPr>
        <w:t xml:space="preserve">-Lunarejo, M. I., Condori-Fernandez, N., &amp; Luaces, M. R. (2023d). </w:t>
      </w:r>
      <w:r w:rsidRPr="00CC5822">
        <w:rPr>
          <w:i/>
        </w:rPr>
        <w:t>Towards an automatic classification for Spanish software requirements</w:t>
      </w:r>
      <w:r w:rsidRPr="00CC5822">
        <w:t xml:space="preserve">. </w:t>
      </w:r>
      <w:r w:rsidRPr="00CC5822">
        <w:rPr>
          <w:i/>
        </w:rPr>
        <w:t>Kalpa Publications in Computing, 14</w:t>
      </w:r>
      <w:r w:rsidRPr="00CC5822">
        <w:t xml:space="preserve">, 124-126. </w:t>
      </w:r>
      <w:hyperlink r:id="rId19">
        <w:r w:rsidR="00382836">
          <w:rPr>
            <w:lang w:val="es-ES"/>
          </w:rPr>
          <w:t>https://doi.org/10.29007/b8sk</w:t>
        </w:r>
      </w:hyperlink>
    </w:p>
    <w:p w14:paraId="39314AFE" w14:textId="77777777" w:rsidR="00382836" w:rsidRPr="00CC5822" w:rsidRDefault="00000000">
      <w:pPr>
        <w:keepLines/>
        <w:ind w:left="720" w:hanging="720"/>
        <w:rPr>
          <w:lang w:val="es-419"/>
        </w:rPr>
      </w:pPr>
      <w:r>
        <w:rPr>
          <w:lang w:val="es-ES"/>
        </w:rPr>
        <w:lastRenderedPageBreak/>
        <w:t xml:space="preserve">Limaylla-Lunarejo, M. I., Condori-Fernandez, N., &amp; Luaces, M. R. (2025). </w:t>
      </w:r>
      <w:proofErr w:type="spellStart"/>
      <w:r w:rsidRPr="00CC5822">
        <w:rPr>
          <w:i/>
        </w:rPr>
        <w:t>SimRE</w:t>
      </w:r>
      <w:proofErr w:type="spellEnd"/>
      <w:r w:rsidRPr="00CC5822">
        <w:rPr>
          <w:i/>
        </w:rPr>
        <w:t>: A requirements similarity tool for software product lines</w:t>
      </w:r>
      <w:r w:rsidRPr="00CC5822">
        <w:t xml:space="preserve">. En </w:t>
      </w:r>
      <w:r w:rsidRPr="00CC5822">
        <w:rPr>
          <w:i/>
        </w:rPr>
        <w:t>Proceedings of the 40th ACM/SIGAPP Symposium on Applied Computing</w:t>
      </w:r>
      <w:r w:rsidRPr="00CC5822">
        <w:t xml:space="preserve"> (pp. 1473-1480). </w:t>
      </w:r>
      <w:r>
        <w:rPr>
          <w:lang w:val="es-ES"/>
        </w:rPr>
        <w:t xml:space="preserve">ACM. </w:t>
      </w:r>
      <w:r w:rsidR="00382836">
        <w:fldChar w:fldCharType="begin"/>
      </w:r>
      <w:r w:rsidR="00382836" w:rsidRPr="00D91CB9">
        <w:rPr>
          <w:lang w:val="es-419"/>
        </w:rPr>
        <w:instrText>HYPERLINK "https://doi.org/10.1145/3672608.3707758" \h</w:instrText>
      </w:r>
      <w:r w:rsidR="00382836">
        <w:fldChar w:fldCharType="separate"/>
      </w:r>
      <w:r w:rsidR="00382836">
        <w:rPr>
          <w:lang w:val="es-ES"/>
        </w:rPr>
        <w:t>https://doi.org/10.1145/3672608.3707758</w:t>
      </w:r>
      <w:r w:rsidR="00382836">
        <w:fldChar w:fldCharType="end"/>
      </w:r>
    </w:p>
    <w:p w14:paraId="3316B902" w14:textId="77777777" w:rsidR="00382836" w:rsidRPr="00CC5822" w:rsidRDefault="00000000">
      <w:pPr>
        <w:keepLines/>
        <w:ind w:left="720" w:hanging="720"/>
        <w:rPr>
          <w:lang w:val="es-419"/>
        </w:rPr>
      </w:pPr>
      <w:proofErr w:type="spellStart"/>
      <w:r>
        <w:rPr>
          <w:lang w:val="es-ES"/>
        </w:rPr>
        <w:t>Limaylla</w:t>
      </w:r>
      <w:proofErr w:type="spellEnd"/>
      <w:r>
        <w:rPr>
          <w:lang w:val="es-ES"/>
        </w:rPr>
        <w:t xml:space="preserve">-Lunarejo, M. I., Condori-Fernandez, N., &amp; Luaces, M. R. (2026). </w:t>
      </w:r>
      <w:r w:rsidRPr="00CC5822">
        <w:rPr>
          <w:i/>
        </w:rPr>
        <w:t>Automatic criteria for prioritizing software requirements in Spanish projects</w:t>
      </w:r>
      <w:r w:rsidRPr="00CC5822">
        <w:t xml:space="preserve">. </w:t>
      </w:r>
      <w:r w:rsidRPr="00CC5822">
        <w:rPr>
          <w:i/>
        </w:rPr>
        <w:t>Journal of Systems and Software, 238</w:t>
      </w:r>
      <w:r w:rsidRPr="00CC5822">
        <w:t xml:space="preserve">, </w:t>
      </w:r>
      <w:proofErr w:type="spellStart"/>
      <w:r w:rsidRPr="00CC5822">
        <w:t>Artículo</w:t>
      </w:r>
      <w:proofErr w:type="spellEnd"/>
      <w:r w:rsidRPr="00CC5822">
        <w:t xml:space="preserve"> 112858. </w:t>
      </w:r>
      <w:hyperlink r:id="rId20">
        <w:r w:rsidR="00382836">
          <w:rPr>
            <w:lang w:val="es-ES"/>
          </w:rPr>
          <w:t>https://doi.org/10.1016/j.jss.2026.112858</w:t>
        </w:r>
      </w:hyperlink>
    </w:p>
    <w:p w14:paraId="09C44730" w14:textId="77777777" w:rsidR="00382836" w:rsidRDefault="00000000">
      <w:pPr>
        <w:keepLines/>
        <w:ind w:left="720" w:hanging="720"/>
      </w:pPr>
      <w:r>
        <w:rPr>
          <w:lang w:val="es-ES"/>
        </w:rPr>
        <w:t xml:space="preserve">Limaylla-Lunarejo, M. I., Condori-Fernandez, N., Rodríguez Luaces, M., &amp; Karras, O. (2026). </w:t>
      </w:r>
      <w:r w:rsidRPr="00CC5822">
        <w:rPr>
          <w:i/>
        </w:rPr>
        <w:t>Improving the multi-class classification of non-functional requirements in Spanish: A study of dataset balancing and performance</w:t>
      </w:r>
      <w:r w:rsidRPr="00CC5822">
        <w:t xml:space="preserve">. </w:t>
      </w:r>
      <w:r w:rsidRPr="00CC5822">
        <w:rPr>
          <w:i/>
        </w:rPr>
        <w:t>Empirical Software Engineering, 31</w:t>
      </w:r>
      <w:r w:rsidRPr="00CC5822">
        <w:t xml:space="preserve">(1), </w:t>
      </w:r>
      <w:proofErr w:type="spellStart"/>
      <w:r w:rsidRPr="00CC5822">
        <w:t>Artículo</w:t>
      </w:r>
      <w:proofErr w:type="spellEnd"/>
      <w:r w:rsidRPr="00CC5822">
        <w:t xml:space="preserve"> 6. </w:t>
      </w:r>
      <w:hyperlink r:id="rId21">
        <w:r w:rsidR="00382836" w:rsidRPr="00CC5822">
          <w:t>https://doi.org/10.1007/s10664-025-10736-9</w:t>
        </w:r>
      </w:hyperlink>
    </w:p>
    <w:p w14:paraId="49EBBE86" w14:textId="77777777" w:rsidR="00A64FB0" w:rsidRDefault="00000000">
      <w:pPr>
        <w:keepLines/>
        <w:ind w:left="720" w:hanging="720"/>
      </w:pPr>
      <w:r>
        <w:t>Lubos, S., Felfernig, A., Tran, T. N. T., Garber, D., El Mansi, M., Erdeniz, S. P., y Le, V. M. (2024). Leveraging LLMs for the Quality Assurance of Software Requirements. 2024 IEEE 32nd International Requirements Engineering Conference (RE), 389-397. https://doi.org/10.1109/re59067.2024.00046</w:t>
      </w:r>
    </w:p>
    <w:p w14:paraId="73F8FC75" w14:textId="77777777" w:rsidR="00A64FB0" w:rsidRDefault="00000000">
      <w:pPr>
        <w:keepLines/>
        <w:ind w:left="720" w:hanging="720"/>
      </w:pPr>
      <w:r w:rsidRPr="00D91CB9">
        <w:rPr>
          <w:lang w:val="es-419"/>
        </w:rPr>
        <w:t xml:space="preserve">McFarland, K., y Yue, S. (2026). </w:t>
      </w:r>
      <w:r>
        <w:t>LLM-Assisted Workflow for Structural Difference Visualization in Evolving Software Requirements. 2026 IEEE 34th International Requirements Engineering Conference (RE), 593-594. https://doi.org/10.1109/re68928.2026.00070</w:t>
      </w:r>
    </w:p>
    <w:p w14:paraId="31FA1648" w14:textId="77777777" w:rsidR="00382836" w:rsidRDefault="00000000">
      <w:pPr>
        <w:keepLines/>
        <w:ind w:left="720" w:hanging="720"/>
      </w:pPr>
      <w:r w:rsidRPr="00CC5822">
        <w:t xml:space="preserve">Miller, G. A. (1995). </w:t>
      </w:r>
      <w:r w:rsidRPr="00CC5822">
        <w:rPr>
          <w:i/>
        </w:rPr>
        <w:t>WordNet: A lexical database for English</w:t>
      </w:r>
      <w:r w:rsidRPr="00CC5822">
        <w:t xml:space="preserve">. </w:t>
      </w:r>
      <w:r w:rsidRPr="00CC5822">
        <w:rPr>
          <w:i/>
        </w:rPr>
        <w:t>Communications of the ACM, 38</w:t>
      </w:r>
      <w:r w:rsidRPr="00CC5822">
        <w:t xml:space="preserve">(11), 39-41. </w:t>
      </w:r>
      <w:hyperlink r:id="rId22">
        <w:r w:rsidR="00382836" w:rsidRPr="00CC5822">
          <w:t>https://doi.org/10.1145/219717.219748</w:t>
        </w:r>
      </w:hyperlink>
    </w:p>
    <w:p w14:paraId="623592B5" w14:textId="77777777" w:rsidR="00A64FB0" w:rsidRDefault="00000000">
      <w:pPr>
        <w:keepLines/>
        <w:ind w:left="720" w:hanging="720"/>
      </w:pPr>
      <w:r w:rsidRPr="00D91CB9">
        <w:rPr>
          <w:lang w:val="es-419"/>
        </w:rPr>
        <w:t xml:space="preserve">Neo, G., Moura, J., Almeida, H., Neo, A., y Freitas Júnior, O. (2024). </w:t>
      </w:r>
      <w:r>
        <w:t>User Story Tutor (UST) to Support Agile Software Developers. Proceedings of the 16th International Conference on Computer Supported Education, 51-62. https://doi.org/10.5220/0012619200003693</w:t>
      </w:r>
    </w:p>
    <w:p w14:paraId="3C4A1FB1" w14:textId="77777777" w:rsidR="00382836" w:rsidRPr="00D91CB9" w:rsidRDefault="00000000">
      <w:pPr>
        <w:keepLines/>
        <w:ind w:left="720" w:hanging="720"/>
      </w:pPr>
      <w:r w:rsidRPr="00CC5822">
        <w:t xml:space="preserve">OpenAI. (2023). </w:t>
      </w:r>
      <w:r w:rsidRPr="00CC5822">
        <w:rPr>
          <w:i/>
        </w:rPr>
        <w:t>GPT-4 technical report</w:t>
      </w:r>
      <w:r w:rsidRPr="00CC5822">
        <w:t xml:space="preserve">. [Informe]. </w:t>
      </w:r>
      <w:proofErr w:type="spellStart"/>
      <w:r w:rsidRPr="00CC5822">
        <w:t>arXiv</w:t>
      </w:r>
      <w:proofErr w:type="spellEnd"/>
      <w:r w:rsidRPr="00CC5822">
        <w:t xml:space="preserve">. </w:t>
      </w:r>
      <w:hyperlink r:id="rId23">
        <w:r w:rsidR="00382836" w:rsidRPr="00D91CB9">
          <w:t>https://doi.org/10.48550/arXiv.2303.08774</w:t>
        </w:r>
      </w:hyperlink>
    </w:p>
    <w:p w14:paraId="02AE9F66" w14:textId="77777777" w:rsidR="00A64FB0" w:rsidRDefault="00000000">
      <w:pPr>
        <w:keepLines/>
        <w:ind w:left="720" w:hanging="720"/>
      </w:pPr>
      <w:r>
        <w:t>Pavlič, L., Bernsteiner, R., Schlögl, S., y Ploder, C. (2025). Splitting User Stories Into Tasks with AI - A Foe or an Ally? Knowledge Management in Organisations, 150-160. https://doi.org/10.1007/978-3-031-95901-1_11</w:t>
      </w:r>
    </w:p>
    <w:p w14:paraId="0025B438" w14:textId="77777777" w:rsidR="00382836" w:rsidRPr="00CC5822" w:rsidRDefault="00000000">
      <w:pPr>
        <w:keepLines/>
        <w:ind w:left="720" w:hanging="720"/>
        <w:rPr>
          <w:lang w:val="es-419"/>
        </w:rPr>
      </w:pPr>
      <w:r w:rsidRPr="00D91CB9">
        <w:lastRenderedPageBreak/>
        <w:t xml:space="preserve">Pérez, G., Mostaccio, C. A., Maltempo, G., &amp; Antonelli, L. (2025). </w:t>
      </w:r>
      <w:r w:rsidRPr="00CC5822">
        <w:rPr>
          <w:i/>
        </w:rPr>
        <w:t>Evaluation of natural language processing models to measure similarity between scenarios written in Spanish</w:t>
      </w:r>
      <w:r w:rsidRPr="00CC5822">
        <w:t xml:space="preserve">. </w:t>
      </w:r>
      <w:proofErr w:type="spellStart"/>
      <w:r>
        <w:rPr>
          <w:i/>
          <w:lang w:val="es-ES"/>
        </w:rPr>
        <w:t>Cadernos</w:t>
      </w:r>
      <w:proofErr w:type="spellEnd"/>
      <w:r>
        <w:rPr>
          <w:i/>
          <w:lang w:val="es-ES"/>
        </w:rPr>
        <w:t xml:space="preserve"> do IME - Série Informática, 50</w:t>
      </w:r>
      <w:r>
        <w:rPr>
          <w:lang w:val="es-ES"/>
        </w:rPr>
        <w:t xml:space="preserve">. </w:t>
      </w:r>
      <w:r w:rsidR="00382836">
        <w:fldChar w:fldCharType="begin"/>
      </w:r>
      <w:r w:rsidR="00382836" w:rsidRPr="00D91CB9">
        <w:rPr>
          <w:lang w:val="es-419"/>
        </w:rPr>
        <w:instrText>HYPERLINK "https://doi.org/10.12957/cadinf.2024.87935" \h</w:instrText>
      </w:r>
      <w:r w:rsidR="00382836">
        <w:fldChar w:fldCharType="separate"/>
      </w:r>
      <w:r w:rsidR="00382836">
        <w:rPr>
          <w:lang w:val="es-ES"/>
        </w:rPr>
        <w:t>https://doi.org/10.12957/cadinf.2024.87935</w:t>
      </w:r>
      <w:r w:rsidR="00382836">
        <w:fldChar w:fldCharType="end"/>
      </w:r>
    </w:p>
    <w:p w14:paraId="417F899C" w14:textId="77777777" w:rsidR="00382836" w:rsidRDefault="00000000">
      <w:pPr>
        <w:keepLines/>
        <w:ind w:left="720" w:hanging="720"/>
      </w:pPr>
      <w:r>
        <w:rPr>
          <w:lang w:val="es-ES"/>
        </w:rPr>
        <w:t xml:space="preserve">Petersen, K., Feldt, R., Mujtaba, S., &amp; Mattsson, M. (2008). </w:t>
      </w:r>
      <w:r w:rsidRPr="00CC5822">
        <w:rPr>
          <w:i/>
        </w:rPr>
        <w:t>Systematic mapping studies in software engineering</w:t>
      </w:r>
      <w:r w:rsidRPr="00CC5822">
        <w:t xml:space="preserve">. En </w:t>
      </w:r>
      <w:r w:rsidRPr="00CC5822">
        <w:rPr>
          <w:i/>
        </w:rPr>
        <w:t>Proceedings of the 12th International Conference on Evaluation and Assessment in Software Engineering</w:t>
      </w:r>
      <w:r w:rsidRPr="00CC5822">
        <w:t xml:space="preserve"> (pp. 68-77). BCS Learning &amp; Development. </w:t>
      </w:r>
      <w:hyperlink r:id="rId24">
        <w:r w:rsidR="00382836" w:rsidRPr="00CC5822">
          <w:t>https://doi.org/10.14236/ewic/EASE2008.8</w:t>
        </w:r>
      </w:hyperlink>
    </w:p>
    <w:p w14:paraId="54CEF829" w14:textId="77777777" w:rsidR="00382836" w:rsidRDefault="00000000">
      <w:pPr>
        <w:keepLines/>
        <w:ind w:left="720" w:hanging="720"/>
      </w:pPr>
      <w:r w:rsidRPr="00CC5822">
        <w:t xml:space="preserve">Petersen, K., </w:t>
      </w:r>
      <w:proofErr w:type="spellStart"/>
      <w:r w:rsidRPr="00CC5822">
        <w:t>Vakkalanka</w:t>
      </w:r>
      <w:proofErr w:type="spellEnd"/>
      <w:r w:rsidRPr="00CC5822">
        <w:t xml:space="preserve">, S., &amp; </w:t>
      </w:r>
      <w:proofErr w:type="spellStart"/>
      <w:r w:rsidRPr="00CC5822">
        <w:t>Kuzniarz</w:t>
      </w:r>
      <w:proofErr w:type="spellEnd"/>
      <w:r w:rsidRPr="00CC5822">
        <w:t xml:space="preserve">, L. (2015). </w:t>
      </w:r>
      <w:r w:rsidRPr="00CC5822">
        <w:rPr>
          <w:i/>
        </w:rPr>
        <w:t>Guidelines for conducting systematic mapping studies in software engineering: An update</w:t>
      </w:r>
      <w:r w:rsidRPr="00CC5822">
        <w:t xml:space="preserve">. </w:t>
      </w:r>
      <w:r w:rsidRPr="00CC5822">
        <w:rPr>
          <w:i/>
        </w:rPr>
        <w:t>Information and Software Technology, 64</w:t>
      </w:r>
      <w:r w:rsidRPr="00CC5822">
        <w:t xml:space="preserve">, 1-18. </w:t>
      </w:r>
      <w:hyperlink r:id="rId25">
        <w:r w:rsidR="00382836" w:rsidRPr="00CC5822">
          <w:t>https://doi.org/10.1016/j.infsof.2015.03.007</w:t>
        </w:r>
      </w:hyperlink>
    </w:p>
    <w:p w14:paraId="23132C51" w14:textId="77777777" w:rsidR="00382836" w:rsidRDefault="00000000">
      <w:pPr>
        <w:keepLines/>
        <w:ind w:left="720" w:hanging="720"/>
      </w:pPr>
      <w:r w:rsidRPr="00CC5822">
        <w:t xml:space="preserve">Priem, J., Piwowar, H., &amp; Orr, R. (2022). </w:t>
      </w:r>
      <w:proofErr w:type="spellStart"/>
      <w:r w:rsidRPr="00CC5822">
        <w:rPr>
          <w:i/>
        </w:rPr>
        <w:t>OpenAlex</w:t>
      </w:r>
      <w:proofErr w:type="spellEnd"/>
      <w:r w:rsidRPr="00CC5822">
        <w:rPr>
          <w:i/>
        </w:rPr>
        <w:t xml:space="preserve">: A </w:t>
      </w:r>
      <w:proofErr w:type="gramStart"/>
      <w:r w:rsidRPr="00CC5822">
        <w:rPr>
          <w:i/>
        </w:rPr>
        <w:t>fully-open</w:t>
      </w:r>
      <w:proofErr w:type="gramEnd"/>
      <w:r w:rsidRPr="00CC5822">
        <w:rPr>
          <w:i/>
        </w:rPr>
        <w:t xml:space="preserve"> index of scholarly works, authors, venues, institutions, and concepts</w:t>
      </w:r>
      <w:r w:rsidRPr="00CC5822">
        <w:t xml:space="preserve">. En </w:t>
      </w:r>
      <w:r w:rsidRPr="00CC5822">
        <w:rPr>
          <w:i/>
        </w:rPr>
        <w:t>26th International Conference on Science, Technology and Innovation Indicators (STI 2022)</w:t>
      </w:r>
      <w:r w:rsidRPr="00CC5822">
        <w:t xml:space="preserve">. </w:t>
      </w:r>
      <w:hyperlink r:id="rId26">
        <w:r w:rsidR="00382836" w:rsidRPr="00CC5822">
          <w:t>https://doi.org/10.5281/zenodo.6936227</w:t>
        </w:r>
      </w:hyperlink>
    </w:p>
    <w:p w14:paraId="3197D6B9" w14:textId="77777777" w:rsidR="00382836" w:rsidRDefault="00000000">
      <w:pPr>
        <w:keepLines/>
        <w:ind w:left="720" w:hanging="720"/>
      </w:pPr>
      <w:r w:rsidRPr="00CC5822">
        <w:t xml:space="preserve">Reimers, N., &amp; </w:t>
      </w:r>
      <w:proofErr w:type="spellStart"/>
      <w:r w:rsidRPr="00CC5822">
        <w:t>Gurevych</w:t>
      </w:r>
      <w:proofErr w:type="spellEnd"/>
      <w:r w:rsidRPr="00CC5822">
        <w:t xml:space="preserve">, I. (2020). </w:t>
      </w:r>
      <w:r w:rsidRPr="00CC5822">
        <w:rPr>
          <w:i/>
        </w:rPr>
        <w:t>Making monolingual sentence embeddings multilingual using knowledge distillation</w:t>
      </w:r>
      <w:r w:rsidRPr="00CC5822">
        <w:t xml:space="preserve">. En </w:t>
      </w:r>
      <w:r w:rsidRPr="00CC5822">
        <w:rPr>
          <w:i/>
        </w:rPr>
        <w:t>Proceedings of the 2020 Conference on Empirical Methods in Natural Language Processing (EMNLP)</w:t>
      </w:r>
      <w:r w:rsidRPr="00CC5822">
        <w:t xml:space="preserve"> (pp. 4512-4525). Association for Computational Linguistics. </w:t>
      </w:r>
      <w:hyperlink r:id="rId27">
        <w:r w:rsidR="00382836" w:rsidRPr="00CC5822">
          <w:t>https://doi.org/10.18653/v1/2020.emnlp-main.365</w:t>
        </w:r>
      </w:hyperlink>
    </w:p>
    <w:p w14:paraId="291552FF" w14:textId="77777777" w:rsidR="00A64FB0" w:rsidRDefault="00000000">
      <w:pPr>
        <w:keepLines/>
        <w:ind w:left="720" w:hanging="720"/>
      </w:pPr>
      <w:r>
        <w:t>Schwedt, S., y Ströder, T. (2025). From Bugs to Benefits: Improving User Stories by Leveraging Crowd Knowledge with CrUISE-AC. 2025 IEEE/ACM 47th International Conference on Software Engineering (ICSE), 1385-1395. https://doi.org/10.1109/icse55347.2025.00217</w:t>
      </w:r>
    </w:p>
    <w:p w14:paraId="321DC7AB" w14:textId="77777777" w:rsidR="00A64FB0" w:rsidRDefault="00000000">
      <w:pPr>
        <w:keepLines/>
        <w:ind w:left="720" w:hanging="720"/>
      </w:pPr>
      <w:r>
        <w:t>Zhang, Z., Rayhan, M., Herda, T., Goisauf, M., y Abrahamsson, P. (2024). LLM-Based Agents for Automating the Enhancement of User Story Quality: An Early Report. Agile Processes in Software Engineering and Extreme Programming, 117-126. https://doi.org/10.1007/978-3-031-61154-4_8</w:t>
      </w:r>
    </w:p>
    <w:p w14:paraId="3B81CC74" w14:textId="77777777" w:rsidR="00382836" w:rsidRDefault="00000000">
      <w:pPr>
        <w:keepLines/>
        <w:ind w:left="720" w:hanging="720"/>
      </w:pPr>
      <w:r>
        <w:rPr>
          <w:lang w:val="es-ES"/>
        </w:rPr>
        <w:t xml:space="preserve">Zhao, L., Alhoshan, W., Ferrari, A., Letsholo, K. J., Ajagbe, M. A., Chioasca, E.-V., &amp; Batista-Navarro, R. T. (2021). </w:t>
      </w:r>
      <w:r w:rsidRPr="00CC5822">
        <w:rPr>
          <w:i/>
        </w:rPr>
        <w:t>Natural language processing for requirements engineering: A systematic mapping study</w:t>
      </w:r>
      <w:r w:rsidRPr="00CC5822">
        <w:t xml:space="preserve">. </w:t>
      </w:r>
      <w:r>
        <w:rPr>
          <w:i/>
          <w:lang w:val="es-ES"/>
        </w:rPr>
        <w:t xml:space="preserve">ACM Computing </w:t>
      </w:r>
      <w:proofErr w:type="spellStart"/>
      <w:r>
        <w:rPr>
          <w:i/>
          <w:lang w:val="es-ES"/>
        </w:rPr>
        <w:t>Surveys</w:t>
      </w:r>
      <w:proofErr w:type="spellEnd"/>
      <w:r>
        <w:rPr>
          <w:i/>
          <w:lang w:val="es-ES"/>
        </w:rPr>
        <w:t>, 54</w:t>
      </w:r>
      <w:r>
        <w:rPr>
          <w:lang w:val="es-ES"/>
        </w:rPr>
        <w:t xml:space="preserve">(3), Artículo 55. </w:t>
      </w:r>
      <w:hyperlink r:id="rId28">
        <w:r w:rsidR="00382836">
          <w:rPr>
            <w:lang w:val="es-ES"/>
          </w:rPr>
          <w:t>https://doi.org/10.1145/3444689</w:t>
        </w:r>
      </w:hyperlink>
    </w:p>
    <w:sectPr w:rsidR="0038283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92875">
    <w:abstractNumId w:val="8"/>
  </w:num>
  <w:num w:numId="2" w16cid:durableId="1768428100">
    <w:abstractNumId w:val="6"/>
  </w:num>
  <w:num w:numId="3" w16cid:durableId="495078443">
    <w:abstractNumId w:val="5"/>
  </w:num>
  <w:num w:numId="4" w16cid:durableId="668867727">
    <w:abstractNumId w:val="4"/>
  </w:num>
  <w:num w:numId="5" w16cid:durableId="1582519793">
    <w:abstractNumId w:val="7"/>
  </w:num>
  <w:num w:numId="6" w16cid:durableId="1431466852">
    <w:abstractNumId w:val="3"/>
  </w:num>
  <w:num w:numId="7" w16cid:durableId="1282802478">
    <w:abstractNumId w:val="2"/>
  </w:num>
  <w:num w:numId="8" w16cid:durableId="162287394">
    <w:abstractNumId w:val="1"/>
  </w:num>
  <w:num w:numId="9" w16cid:durableId="11677506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115"/>
    <w:rsid w:val="00271166"/>
    <w:rsid w:val="0029639D"/>
    <w:rsid w:val="00326F90"/>
    <w:rsid w:val="00382836"/>
    <w:rsid w:val="003911C4"/>
    <w:rsid w:val="00522741"/>
    <w:rsid w:val="00533843"/>
    <w:rsid w:val="006B16E1"/>
    <w:rsid w:val="006B7ACA"/>
    <w:rsid w:val="007A35BD"/>
    <w:rsid w:val="00945FF1"/>
    <w:rsid w:val="009651C1"/>
    <w:rsid w:val="00972F6E"/>
    <w:rsid w:val="00A64FB0"/>
    <w:rsid w:val="00AA1D8D"/>
    <w:rsid w:val="00AD7550"/>
    <w:rsid w:val="00B20587"/>
    <w:rsid w:val="00B47730"/>
    <w:rsid w:val="00C8037C"/>
    <w:rsid w:val="00CB0664"/>
    <w:rsid w:val="00CC5822"/>
    <w:rsid w:val="00D21146"/>
    <w:rsid w:val="00D4115D"/>
    <w:rsid w:val="00D91CB9"/>
    <w:rsid w:val="00DA12EE"/>
    <w:rsid w:val="00DF463A"/>
    <w:rsid w:val="00E7649A"/>
    <w:rsid w:val="00EB0CD9"/>
    <w:rsid w:val="00EE2A92"/>
    <w:rsid w:val="00F75080"/>
    <w:rsid w:val="00FC693F"/>
    <w:rsid w:val="00FD0A34"/>
    <w:rsid w:val="00FE1934"/>
    <w:rsid w:val="00FE23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9A6165"/>
  <w14:defaultImageDpi w14:val="300"/>
  <w15:docId w15:val="{0C87A05C-59AE-FC4C-8B22-3B8507DF6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2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60"/>
      <w:ind w:firstLine="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ind w:firstLine="0"/>
      <w:outlineLvl w:val="1"/>
    </w:pPr>
    <w:rPr>
      <w:rFonts w:asciiTheme="majorHAnsi" w:eastAsiaTheme="majorEastAsia" w:hAnsiTheme="majorHAnsi" w:cstheme="majorBidi"/>
      <w:b/>
      <w:bCs/>
      <w:i/>
      <w:szCs w:val="26"/>
    </w:rPr>
  </w:style>
  <w:style w:type="paragraph" w:styleId="Heading3">
    <w:name w:val="heading 3"/>
    <w:basedOn w:val="Normal"/>
    <w:next w:val="Normal"/>
    <w:link w:val="Heading3Char"/>
    <w:uiPriority w:val="9"/>
    <w:unhideWhenUsed/>
    <w:qFormat/>
    <w:rsid w:val="00FC693F"/>
    <w:pPr>
      <w:keepNext/>
      <w:keepLines/>
      <w:spacing w:before="160"/>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before="160"/>
      <w:ind w:firstLine="0"/>
      <w:contextualSpacing/>
      <w:jc w:val="center"/>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27116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27116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99"/>
    <w:rsid w:val="002711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62/tacl_a_00051" TargetMode="External"/><Relationship Id="rId18" Type="http://schemas.openxmlformats.org/officeDocument/2006/relationships/hyperlink" Target="https://doi.org/10.1007/978-3-031-29786-1_11" TargetMode="External"/><Relationship Id="rId26" Type="http://schemas.openxmlformats.org/officeDocument/2006/relationships/hyperlink" Target="https://doi.org/10.5281/zenodo.6936227" TargetMode="External"/><Relationship Id="rId3" Type="http://schemas.openxmlformats.org/officeDocument/2006/relationships/numbering" Target="numbering.xml"/><Relationship Id="rId21" Type="http://schemas.openxmlformats.org/officeDocument/2006/relationships/hyperlink" Target="https://doi.org/10.1007/s10664-025-10736-9" TargetMode="External"/><Relationship Id="rId7" Type="http://schemas.openxmlformats.org/officeDocument/2006/relationships/image" Target="media/image1.png"/><Relationship Id="rId12" Type="http://schemas.openxmlformats.org/officeDocument/2006/relationships/hyperlink" Target="https://doi.org/10.3115/980845.980860" TargetMode="External"/><Relationship Id="rId17" Type="http://schemas.openxmlformats.org/officeDocument/2006/relationships/hyperlink" Target="https://doi.org/10.52591/lxai202312103" TargetMode="External"/><Relationship Id="rId25" Type="http://schemas.openxmlformats.org/officeDocument/2006/relationships/hyperlink" Target="https://doi.org/10.1016/j.infsof.2015.03.007" TargetMode="External"/><Relationship Id="rId2" Type="http://schemas.openxmlformats.org/officeDocument/2006/relationships/customXml" Target="../customXml/item2.xml"/><Relationship Id="rId16" Type="http://schemas.openxmlformats.org/officeDocument/2006/relationships/hyperlink" Target="https://doi.org/10.18653/v1/N19-1423" TargetMode="External"/><Relationship Id="rId20" Type="http://schemas.openxmlformats.org/officeDocument/2006/relationships/hyperlink" Target="https://doi.org/10.1016/j.jss.2026.112858"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doi.org/10.14236/ewic/EASE2008.8" TargetMode="External"/><Relationship Id="rId5" Type="http://schemas.openxmlformats.org/officeDocument/2006/relationships/settings" Target="settings.xml"/><Relationship Id="rId15" Type="http://schemas.openxmlformats.org/officeDocument/2006/relationships/hyperlink" Target="https://doi.org/10.1177/001316446002000104" TargetMode="External"/><Relationship Id="rId23" Type="http://schemas.openxmlformats.org/officeDocument/2006/relationships/hyperlink" Target="https://doi.org/10.48550/arXiv.2303.08774" TargetMode="External"/><Relationship Id="rId28" Type="http://schemas.openxmlformats.org/officeDocument/2006/relationships/hyperlink" Target="https://doi.org/10.1145/3444689" TargetMode="External"/><Relationship Id="rId10" Type="http://schemas.openxmlformats.org/officeDocument/2006/relationships/image" Target="media/image4.png"/><Relationship Id="rId19" Type="http://schemas.openxmlformats.org/officeDocument/2006/relationships/hyperlink" Target="https://doi.org/10.29007/b8sk"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hyperlink" Target="https://doi.org/10.48550/arXiv.2308.02976" TargetMode="External"/><Relationship Id="rId22" Type="http://schemas.openxmlformats.org/officeDocument/2006/relationships/hyperlink" Target="https://doi.org/10.1145/219717.219748" TargetMode="External"/><Relationship Id="rId27" Type="http://schemas.openxmlformats.org/officeDocument/2006/relationships/hyperlink" Target="https://doi.org/10.18653/v1/2020.emnlp-main.365"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SelectedStyle="\APA.XSL" StyleName="APA" Version="6">
  <b:Source>
    <b:Tag>Bak98</b:Tag>
    <b:SourceType>ConferenceProceedings</b:SourceType>
    <b:Guid>{7E42D9B1-3A6F-4C28-9D15-B2E8C4F0A001}</b:Guid>
    <b:Author>
      <b:Author>
        <b:NameList>
          <b:Person>
            <b:Last>Baker</b:Last>
            <b:First>C. F.</b:First>
          </b:Person>
          <b:Person>
            <b:Last>Fillmore</b:Last>
            <b:First>C. J.</b:First>
          </b:Person>
          <b:Person>
            <b:Last>Lowe</b:Last>
            <b:First>J. B.</b:First>
          </b:Person>
        </b:NameList>
      </b:Author>
    </b:Author>
    <b:Title>The Berkeley FrameNet project</b:Title>
    <b:Year>1998</b:Year>
    <b:ConferenceName>Proceedings of the 36th Annual Meeting of the Association for Computational Linguistics and 17th International Conference on Computational Linguistics</b:ConferenceName>
    <b:Publisher>Association for Computational Linguistics</b:Publisher>
    <b:Pages>86-90</b:Pages>
    <b:URL>https://doi.org/10.3115/980845.980860</b:URL>
  </b:Source>
  <b:Source>
    <b:Tag>Boj17</b:Tag>
    <b:SourceType>JournalArticle</b:SourceType>
    <b:Guid>{7E42D9B1-3A6F-4C28-9D15-B2E8C4F0A002}</b:Guid>
    <b:Author>
      <b:Author>
        <b:NameList>
          <b:Person>
            <b:Last>Bojanowski</b:Last>
            <b:First>P.</b:First>
          </b:Person>
          <b:Person>
            <b:Last>Grave</b:Last>
            <b:First>E.</b:First>
          </b:Person>
          <b:Person>
            <b:Last>Joulin</b:Last>
            <b:First>A.</b:First>
          </b:Person>
          <b:Person>
            <b:Last>Mikolov</b:Last>
            <b:First>T.</b:First>
          </b:Person>
        </b:NameList>
      </b:Author>
    </b:Author>
    <b:Title>Enriching word vectors with subword information</b:Title>
    <b:Year>2017</b:Year>
    <b:JournalName>Transactions of the Association for Computational Linguistics</b:JournalName>
    <b:Volume>5</b:Volume>
    <b:Pages>135-146</b:Pages>
    <b:URL>https://doi.org/10.1162/tacl_a_00051</b:URL>
  </b:Source>
  <b:Source>
    <b:Tag>Can23</b:Tag>
    <b:SourceType>Report</b:SourceType>
    <b:Guid>{7E42D9B1-3A6F-4C28-9D15-B2E8C4F0A003}</b:Guid>
    <b:Author>
      <b:Author>
        <b:NameList>
          <b:Person>
            <b:Last>Cañete</b:Last>
            <b:First>J.</b:First>
          </b:Person>
          <b:Person>
            <b:Last>Chaperon</b:Last>
            <b:First>G.</b:First>
          </b:Person>
          <b:Person>
            <b:Last>Fuentes</b:Last>
            <b:First>R.</b:First>
          </b:Person>
          <b:Person>
            <b:Last>Ho</b:Last>
            <b:First>J.-H.</b:First>
          </b:Person>
          <b:Person>
            <b:Last>Kang</b:Last>
            <b:First>H.</b:First>
          </b:Person>
          <b:Person>
            <b:Last>Pérez</b:Last>
            <b:First>J.</b:First>
          </b:Person>
        </b:NameList>
      </b:Author>
    </b:Author>
    <b:Title>Spanish pre-trained BERT model and evaluation data</b:Title>
    <b:Year>2023</b:Year>
    <b:URL>https://doi.org/10.48550/arXiv.2308.02976</b:URL>
    <b:Publisher>arXiv</b:Publisher>
    <b:Comments>Versión arXiv de 2023; trabajo presentado originalmente en ICLR 2020.</b:Comments>
  </b:Source>
  <b:Source>
    <b:Tag>Car16</b:Tag>
    <b:SourceType>ElectronicSource</b:SourceType>
    <b:Guid>{2CC2D4D2-C908-4F9F-A50A-31F1464F1636}</b:Guid>
    <b:Author>
      <b:Author>
        <b:NameList>
          <b:Person>
            <b:Last>Cardellino</b:Last>
            <b:First>C.</b:First>
          </b:Person>
        </b:NameList>
      </b:Author>
    </b:Author>
    <b:Title>Spanish Billion Words Corpus and Embeddings</b:Title>
    <b:Year>2016</b:Year>
    <b:URL>https://crscardellino.net/SBWCE/</b:URL>
    <b:Comments>Corpus y representaciones vectoriales</b:Comments>
  </b:Source>
  <b:Source>
    <b:Tag>Coh60</b:Tag>
    <b:SourceType>JournalArticle</b:SourceType>
    <b:Guid>{7E42D9B1-3A6F-4C28-9D15-B2E8C4F0A004}</b:Guid>
    <b:Author>
      <b:Author>
        <b:NameList>
          <b:Person>
            <b:Last>Cohen</b:Last>
            <b:First>J.</b:First>
          </b:Person>
        </b:NameList>
      </b:Author>
    </b:Author>
    <b:Title>A coefficient of agreement for nominal scales</b:Title>
    <b:Year>1960</b:Year>
    <b:JournalName>Educational and Psychological Measurement</b:JournalName>
    <b:Volume>20</b:Volume>
    <b:Issue>1</b:Issue>
    <b:Pages>37-46</b:Pages>
    <b:URL>https://doi.org/10.1177/001316446002000104</b:URL>
  </b:Source>
  <b:Source>
    <b:Tag>Dev19</b:Tag>
    <b:SourceType>ConferenceProceedings</b:SourceType>
    <b:Guid>{7E42D9B1-3A6F-4C28-9D15-B2E8C4F0A005}</b:Guid>
    <b:Author>
      <b:Author>
        <b:NameList>
          <b:Person>
            <b:Last>Devlin</b:Last>
            <b:First>J.</b:First>
          </b:Person>
          <b:Person>
            <b:Last>Chang</b:Last>
            <b:First>M.-W.</b:First>
          </b:Person>
          <b:Person>
            <b:Last>Lee</b:Last>
            <b:First>K.</b:First>
          </b:Person>
          <b:Person>
            <b:Last>Toutanova</b:Last>
            <b:First>K.</b:First>
          </b:Person>
        </b:NameList>
      </b:Author>
    </b:Author>
    <b:Title>BERT: Pre-training of deep bidirectional transformers for language understanding</b:Title>
    <b:Year>2019</b:Year>
    <b:ConferenceName>Proceedings of the 2019 Conference of the North American Chapter of the Association for Computational Linguistics: Human Language Technologies, Volume 1 (Long and Short Papers)</b:ConferenceName>
    <b:Publisher>Association for Computational Linguistics</b:Publisher>
    <b:Pages>4171-4186</b:Pages>
    <b:URL>https://doi.org/10.18653/v1/N19-1423</b:URL>
  </b:Source>
  <b:Source>
    <b:Tag>Fei90</b:Tag>
    <b:SourceType>JournalArticle</b:SourceType>
    <b:Guid>{7E42D9B1-3A6F-4C28-9D15-B2E8C4F0A006}</b:Guid>
    <b:Author>
      <b:Author>
        <b:NameList>
          <b:Person>
            <b:Last>Feinstein</b:Last>
            <b:First>A. R.</b:First>
          </b:Person>
          <b:Person>
            <b:Last>Cicchetti</b:Last>
            <b:First>D. V.</b:First>
          </b:Person>
        </b:NameList>
      </b:Author>
    </b:Author>
    <b:Title>High agreement but low kappa: I. The problems of two paradoxes</b:Title>
    <b:Year>1990</b:Year>
    <b:JournalName>Journal of Clinical Epidemiology</b:JournalName>
    <b:Volume>43</b:Volume>
    <b:Issue>6</b:Issue>
    <b:Pages>543-549</b:Pages>
    <b:URL>https://doi.org/10.1016/0895-4356(90)90158-L</b:URL>
  </b:Source>
  <b:Source>
    <b:Tag>Gut22</b:Tag>
    <b:SourceType>JournalArticle</b:SourceType>
    <b:Guid>{7E42D9B1-3A6F-4C28-9D15-B2E8C4F0A007}</b:Guid>
    <b:Author>
      <b:Author>
        <b:NameList>
          <b:Person>
            <b:Last>Gutiérrez-Fandiño</b:Last>
            <b:First>A.</b:First>
          </b:Person>
          <b:Person>
            <b:Last>Armengol-Estapé</b:Last>
            <b:First>J.</b:First>
          </b:Person>
          <b:Person>
            <b:Last>Pàmies</b:Last>
            <b:First>M.</b:First>
          </b:Person>
          <b:Person>
            <b:Last>Llop-Palao</b:Last>
            <b:First>J.</b:First>
          </b:Person>
          <b:Person>
            <b:Last>Silveira-Ocampo</b:Last>
            <b:First>J.</b:First>
          </b:Person>
          <b:Person>
            <b:Last>Carrino</b:Last>
            <b:First>C. P.</b:First>
          </b:Person>
          <b:Person>
            <b:Last>Armentano-Oller</b:Last>
            <b:First>C.</b:First>
          </b:Person>
          <b:Person>
            <b:Last>Rodríguez-Penagos</b:Last>
            <b:First>C.</b:First>
          </b:Person>
          <b:Person>
            <b:Last>Gonzalez-Agirre</b:Last>
            <b:First>A.</b:First>
          </b:Person>
          <b:Person>
            <b:Last>Villegas</b:Last>
            <b:First>M.</b:First>
          </b:Person>
        </b:NameList>
      </b:Author>
    </b:Author>
    <b:Title>MarIA: Spanish language models</b:Title>
    <b:Year>2022</b:Year>
    <b:JournalName>Procesamiento del Lenguaje Natural</b:JournalName>
    <b:Volume>68</b:Volume>
    <b:Pages>39-60</b:Pages>
    <b:URL>https://journal.sepln.org/sepln/ojs/ojs/index.php/pln/article/view/6405</b:URL>
  </b:Source>
  <b:Source>
    <b:Tag>Guz15</b:Tag>
    <b:SourceType>JournalArticle</b:SourceType>
    <b:Guid>{F494F2B4-F0C5-4568-8EB5-7230745CD423}</b:Guid>
    <b:Author>
      <b:Author>
        <b:NameList>
          <b:Person>
            <b:Last>Guzmán Luna</b:Last>
            <b:First>J. A.</b:First>
          </b:Person>
          <b:Person>
            <b:Last>Gómez Arias</b:Last>
            <b:First>S. A.</b:First>
          </b:Person>
          <b:Person>
            <b:Last>Vélez Carvajal</b:Last>
            <b:First>C. A.</b:First>
          </b:Person>
        </b:NameList>
      </b:Author>
    </b:Author>
    <b:Title>Un modelo de procesamiento de lenguaje natural para la detección de errores en requisitos de software</b:Title>
    <b:Year>2015</b:Year>
    <b:JournalName>Revista Virtual Universidad Católica del Norte</b:JournalName>
    <b:Issue>46</b:Issue>
    <b:Pages>169-186</b:Pages>
    <b:URL>https://revistavirtual.ucn.edu.co/index.php/RevistaUCN/article/view/707</b:URL>
  </b:Source>
  <b:Source>
    <b:Tag>Lim23a</b:Tag>
    <b:SourceType>ConferenceProceedings</b:SourceType>
    <b:Guid>{7E42D9B1-3A6F-4C28-9D15-B2E8C4F0A010}</b:Guid>
    <b:Author>
      <b:Author>
        <b:NameList>
          <b:Person>
            <b:Last>Limaylla-Lunarejo</b:Last>
            <b:First>M. I.</b:First>
          </b:Person>
          <b:Person>
            <b:Last>Condori-Fernandez</b:Last>
            <b:First>N.</b:First>
          </b:Person>
          <b:Person>
            <b:Last>Luaces</b:Last>
            <b:First>M. R.</b:First>
          </b:Person>
        </b:NameList>
      </b:Author>
    </b:Author>
    <b:Title>Evaluating non-functional requirements classification for Spanish text: Traditional vs. deep learning approaches</b:Title>
    <b:Year>2023</b:Year>
    <b:ConferenceName>LatinX in AI Workshop</b:ConferenceName>
    <b:URL>https://doi.org/10.52591/lxai202312103</b:URL>
  </b:Source>
  <b:Source>
    <b:Tag>Lim23b</b:Tag>
    <b:SourceType>ConferenceProceedings</b:SourceType>
    <b:Guid>{7E42D9B1-3A6F-4C28-9D15-B2E8C4F0A011}</b:Guid>
    <b:Author>
      <b:Author>
        <b:NameList>
          <b:Person>
            <b:Last>Limaylla-Lunarejo</b:Last>
            <b:First>M. I.</b:First>
          </b:Person>
          <b:Person>
            <b:Last>Condori-Fernandez</b:Last>
            <b:First>N.</b:First>
          </b:Person>
          <b:Person>
            <b:Last>Luaces</b:Last>
            <b:First>M. R.</b:First>
          </b:Person>
        </b:NameList>
      </b:Author>
    </b:Author>
    <b:Title>Requirements classification using FastText and BETO in Spanish documents</b:Title>
    <b:Year>2023</b:Year>
    <b:ConferenceName>Requirements Engineering: Foundation for Software Quality (REFSQ 2023), Lecture Notes in Computer Science, vol. 13975</b:ConferenceName>
    <b:Publisher>Springer</b:Publisher>
    <b:Pages>159-176</b:Pages>
    <b:URL>https://doi.org/10.1007/978-3-031-29786-1_11</b:URL>
  </b:Source>
  <b:Source>
    <b:Tag>Lim23c</b:Tag>
    <b:SourceType>ConferenceProceedings</b:SourceType>
    <b:Guid>{7E42D9B1-3A6F-4C28-9D15-B2E8C4F0A012}</b:Guid>
    <b:Author>
      <b:Author>
        <b:NameList>
          <b:Person>
            <b:Last>Limaylla-Lunarejo</b:Last>
            <b:First>M. I.</b:First>
          </b:Person>
          <b:Person>
            <b:Last>Condori-Fernandez</b:Last>
            <b:First>N.</b:First>
          </b:Person>
          <b:Person>
            <b:Last>Luaces</b:Last>
            <b:First>M. R.</b:First>
          </b:Person>
        </b:NameList>
      </b:Author>
    </b:Author>
    <b:Title>Towards a FAIR dataset for non-functional requirements</b:Title>
    <b:Year>2023</b:Year>
    <b:ConferenceName>Proceedings of the 38th ACM/SIGAPP Symposium on Applied Computing</b:ConferenceName>
    <b:Publisher>ACM</b:Publisher>
    <b:Pages>1414-1421</b:Pages>
    <b:URL>https://doi.org/10.1145/3555776.3578611</b:URL>
  </b:Source>
  <b:Source>
    <b:Tag>Lim23e</b:Tag>
    <b:SourceType>JournalArticle</b:SourceType>
    <b:Guid>{7E42D9B1-3A6F-4C28-9D15-B2E8C4F0A014}</b:Guid>
    <b:Author>
      <b:Author>
        <b:NameList>
          <b:Person>
            <b:Last>Limaylla-Lunarejo</b:Last>
            <b:First>M. I.</b:First>
          </b:Person>
          <b:Person>
            <b:Last>Condori-Fernandez</b:Last>
            <b:First>N.</b:First>
          </b:Person>
          <b:Person>
            <b:Last>Luaces</b:Last>
            <b:First>M. R.</b:First>
          </b:Person>
        </b:NameList>
      </b:Author>
    </b:Author>
    <b:Title>Towards an automatic classification for Spanish software requirements</b:Title>
    <b:Year>2023</b:Year>
    <b:JournalName>Kalpa Publications in Computing</b:JournalName>
    <b:Volume>14</b:Volume>
    <b:Pages>124-126</b:Pages>
    <b:URL>https://doi.org/10.29007/b8sk</b:URL>
  </b:Source>
  <b:Source>
    <b:Tag>Lim25a</b:Tag>
    <b:SourceType>ConferenceProceedings</b:SourceType>
    <b:Guid>{7E42D9B1-3A6F-4C28-9D15-B2E8C4F0A015}</b:Guid>
    <b:Author>
      <b:Author>
        <b:NameList>
          <b:Person>
            <b:Last>Limaylla-Lunarejo</b:Last>
            <b:First>M. I.</b:First>
          </b:Person>
          <b:Person>
            <b:Last>Condori-Fernandez</b:Last>
            <b:First>N.</b:First>
          </b:Person>
          <b:Person>
            <b:Last>Luaces</b:Last>
            <b:First>M. R.</b:First>
          </b:Person>
        </b:NameList>
      </b:Author>
    </b:Author>
    <b:Title>SimRE: A requirements similarity tool for software product lines</b:Title>
    <b:Year>2025</b:Year>
    <b:ConferenceName>Proceedings of the 40th ACM/SIGAPP Symposium on Applied Computing</b:ConferenceName>
    <b:Publisher>ACM</b:Publisher>
    <b:Pages>1473-1480</b:Pages>
    <b:URL>https://doi.org/10.1145/3672608.3707758</b:URL>
  </b:Source>
  <b:Source>
    <b:Tag>Lim26</b:Tag>
    <b:SourceType>JournalArticle</b:SourceType>
    <b:Guid>{7E42D9B1-3A6F-4C28-9D15-B2E8C4F0A017}</b:Guid>
    <b:Author>
      <b:Author>
        <b:NameList>
          <b:Person>
            <b:Last>Limaylla-Lunarejo</b:Last>
            <b:First>M. I.</b:First>
          </b:Person>
          <b:Person>
            <b:Last>Condori-Fernandez</b:Last>
            <b:First>N.</b:First>
          </b:Person>
          <b:Person>
            <b:Last>Luaces</b:Last>
            <b:First>M. R.</b:First>
          </b:Person>
        </b:NameList>
      </b:Author>
    </b:Author>
    <b:Title>Automatic criteria for prioritizing software requirements in Spanish projects</b:Title>
    <b:Year>2026</b:Year>
    <b:JournalName>Journal of Systems and Software</b:JournalName>
    <b:Volume>238</b:Volume>
    <b:Pages>112858</b:Pages>
    <b:URL>https://doi.org/10.1016/j.jss.2026.112858</b:URL>
  </b:Source>
  <b:Source>
    <b:Tag>Lim25b</b:Tag>
    <b:SourceType>JournalArticle</b:SourceType>
    <b:Guid>{7E42D9B1-3A6F-4C28-9D15-B2E8C4F0A016}</b:Guid>
    <b:Author>
      <b:Author>
        <b:NameList>
          <b:Person>
            <b:Last>Limaylla-Lunarejo</b:Last>
            <b:First>M. I.</b:First>
          </b:Person>
          <b:Person>
            <b:Last>Condori-Fernandez</b:Last>
            <b:First>N.</b:First>
          </b:Person>
          <b:Person>
            <b:Last>Rodríguez Luaces</b:Last>
            <b:First>M.</b:First>
          </b:Person>
          <b:Person>
            <b:Last>Karras</b:Last>
            <b:First>O.</b:First>
          </b:Person>
        </b:NameList>
      </b:Author>
    </b:Author>
    <b:Title>Improving the multi-class classification of non-functional requirements in Spanish: A study of dataset balancing and performance</b:Title>
    <b:Year>2026</b:Year>
    <b:JournalName>Empirical Software Engineering</b:JournalName>
    <b:Volume>31</b:Volume>
    <b:Issue>1</b:Issue>
    <b:URL>https://doi.org/10.1007/s10664-025-10736-9</b:URL>
    <b:Pages>6</b:Pages>
    <b:Comments>Publicado en línea el 2 de noviembre de 2025; volumen 31, artículo 6, 2026.</b:Comments>
  </b:Source>
  <b:Source>
    <b:Tag>Mil95</b:Tag>
    <b:SourceType>JournalArticle</b:SourceType>
    <b:Guid>{7E42D9B1-3A6F-4C28-9D15-B2E8C4F0A020}</b:Guid>
    <b:Author>
      <b:Author>
        <b:NameList>
          <b:Person>
            <b:Last>Miller</b:Last>
            <b:First>G. A.</b:First>
          </b:Person>
        </b:NameList>
      </b:Author>
    </b:Author>
    <b:Title>WordNet: A lexical database for English</b:Title>
    <b:Year>1995</b:Year>
    <b:JournalName>Communications of the ACM</b:JournalName>
    <b:Volume>38</b:Volume>
    <b:Issue>11</b:Issue>
    <b:Pages>39-41</b:Pages>
    <b:URL>https://doi.org/10.1145/219717.219748</b:URL>
  </b:Source>
  <b:Source>
    <b:Tag>Ope23</b:Tag>
    <b:SourceType>Report</b:SourceType>
    <b:Guid>{ADB5AE81-5F30-4109-B620-9E4BA488B893}</b:Guid>
    <b:Author>
      <b:Author>
        <b:Corporate>OpenAI</b:Corporate>
      </b:Author>
    </b:Author>
    <b:Title>GPT-4 technical report</b:Title>
    <b:Year>2023</b:Year>
    <b:Publisher>arXiv</b:Publisher>
    <b:URL>https://doi.org/10.48550/arXiv.2303.08774</b:URL>
  </b:Source>
  <b:Source>
    <b:Tag>Per25</b:Tag>
    <b:SourceType>JournalArticle</b:SourceType>
    <b:Guid>{7E42D9B1-3A6F-4C28-9D15-B2E8C4F0A022}</b:Guid>
    <b:Author>
      <b:Author>
        <b:NameList>
          <b:Person>
            <b:Last>Pérez</b:Last>
            <b:First>G.</b:First>
          </b:Person>
          <b:Person>
            <b:Last>Mostaccio</b:Last>
            <b:First>C. A.</b:First>
          </b:Person>
          <b:Person>
            <b:Last>Maltempo</b:Last>
            <b:First>G.</b:First>
          </b:Person>
          <b:Person>
            <b:Last>Antonelli</b:Last>
            <b:First>L.</b:First>
          </b:Person>
        </b:NameList>
      </b:Author>
    </b:Author>
    <b:Title>Evaluation of natural language processing models to measure similarity between scenarios written in Spanish</b:Title>
    <b:Year>2025</b:Year>
    <b:JournalName>Cadernos do IME - Série Informática</b:JournalName>
    <b:Volume>50</b:Volume>
    <b:URL>https://doi.org/10.12957/cadinf.2024.87935</b:URL>
  </b:Source>
  <b:Source>
    <b:Tag>Pet08</b:Tag>
    <b:SourceType>ConferenceProceedings</b:SourceType>
    <b:Guid>{7E42D9B1-3A6F-4C28-9D15-B2E8C4F0A023}</b:Guid>
    <b:Author>
      <b:Author>
        <b:NameList>
          <b:Person>
            <b:Last>Petersen</b:Last>
            <b:First>K.</b:First>
          </b:Person>
          <b:Person>
            <b:Last>Feldt</b:Last>
            <b:First>R.</b:First>
          </b:Person>
          <b:Person>
            <b:Last>Mujtaba</b:Last>
            <b:First>S.</b:First>
          </b:Person>
          <b:Person>
            <b:Last>Mattsson</b:Last>
            <b:First>M.</b:First>
          </b:Person>
        </b:NameList>
      </b:Author>
    </b:Author>
    <b:Title>Systematic mapping studies in software engineering</b:Title>
    <b:Year>2008</b:Year>
    <b:ConferenceName>Proceedings of the 12th International Conference on Evaluation and Assessment in Software Engineering</b:ConferenceName>
    <b:Publisher>BCS Learning &amp; Development</b:Publisher>
    <b:Pages>68-77</b:Pages>
    <b:URL>https://doi.org/10.14236/ewic/EASE2008.8</b:URL>
  </b:Source>
  <b:Source>
    <b:Tag>Pet15</b:Tag>
    <b:SourceType>JournalArticle</b:SourceType>
    <b:Guid>{7E42D9B1-3A6F-4C28-9D15-B2E8C4F0A024}</b:Guid>
    <b:Author>
      <b:Author>
        <b:NameList>
          <b:Person>
            <b:Last>Petersen</b:Last>
            <b:First>K.</b:First>
          </b:Person>
          <b:Person>
            <b:Last>Vakkalanka</b:Last>
            <b:First>S.</b:First>
          </b:Person>
          <b:Person>
            <b:Last>Kuzniarz</b:Last>
            <b:First>L.</b:First>
          </b:Person>
        </b:NameList>
      </b:Author>
    </b:Author>
    <b:Title>Guidelines for conducting systematic mapping studies in software engineering: An update</b:Title>
    <b:Year>2015</b:Year>
    <b:JournalName>Information and Software Technology</b:JournalName>
    <b:Volume>64</b:Volume>
    <b:Pages>1-18</b:Pages>
    <b:URL>https://doi.org/10.1016/j.infsof.2015.03.007</b:URL>
  </b:Source>
  <b:Source>
    <b:Tag>Pri22</b:Tag>
    <b:SourceType>ConferenceProceedings</b:SourceType>
    <b:Guid>{7E42D9B1-3A6F-4C28-9D15-B2E8C4F0A025}</b:Guid>
    <b:Author>
      <b:Author>
        <b:NameList>
          <b:Person>
            <b:Last>Priem</b:Last>
            <b:First>J.</b:First>
          </b:Person>
          <b:Person>
            <b:Last>Piwowar</b:Last>
            <b:First>H.</b:First>
          </b:Person>
          <b:Person>
            <b:Last>Orr</b:Last>
            <b:First>R.</b:First>
          </b:Person>
        </b:NameList>
      </b:Author>
    </b:Author>
    <b:Title>OpenAlex: A fully-open index of scholarly works, authors, venues, institutions, and concepts</b:Title>
    <b:Year>2022</b:Year>
    <b:ConferenceName>26th International Conference on Science, Technology and Innovation Indicators (STI 2022)</b:ConferenceName>
    <b:City>Granada, España</b:City>
    <b:URL>https://doi.org/10.5281/zenodo.6936227</b:URL>
  </b:Source>
  <b:Source>
    <b:Tag>Rei20</b:Tag>
    <b:SourceType>ConferenceProceedings</b:SourceType>
    <b:Guid>{73DD23CF-D146-4F2B-8633-8DC57C9F898F}</b:Guid>
    <b:Author>
      <b:Author>
        <b:NameList>
          <b:Person>
            <b:Last>Reimers</b:Last>
            <b:First>N.</b:First>
          </b:Person>
          <b:Person>
            <b:Last>Gurevych</b:Last>
            <b:First>I.</b:First>
          </b:Person>
        </b:NameList>
      </b:Author>
    </b:Author>
    <b:Title>Making monolingual sentence embeddings multilingual using knowledge distillation</b:Title>
    <b:Year>2020</b:Year>
    <b:ConferenceName>Proceedings of the 2020 Conference on Empirical Methods in Natural Language Processing (EMNLP)</b:ConferenceName>
    <b:Publisher>Association for Computational Linguistics</b:Publisher>
    <b:Pages>4512-4525</b:Pages>
    <b:URL>https://doi.org/10.18653/v1/2020.emnlp-main.365</b:URL>
  </b:Source>
  <b:Source>
    <b:Tag>Zha21</b:Tag>
    <b:SourceType>JournalArticle</b:SourceType>
    <b:Guid>{7E42D9B1-3A6F-4C28-9D15-B2E8C4F0A026}</b:Guid>
    <b:Author>
      <b:Author>
        <b:NameList>
          <b:Person>
            <b:Last>Zhao</b:Last>
            <b:First>L.</b:First>
          </b:Person>
          <b:Person>
            <b:Last>Alhoshan</b:Last>
            <b:First>W.</b:First>
          </b:Person>
          <b:Person>
            <b:Last>Ferrari</b:Last>
            <b:First>A.</b:First>
          </b:Person>
          <b:Person>
            <b:Last>Letsholo</b:Last>
            <b:First>K. J.</b:First>
          </b:Person>
          <b:Person>
            <b:Last>Ajagbe</b:Last>
            <b:First>M. A.</b:First>
          </b:Person>
          <b:Person>
            <b:Last>Chioasca</b:Last>
            <b:First>E.-V.</b:First>
          </b:Person>
          <b:Person>
            <b:Last>Batista-Navarro</b:Last>
            <b:First>R. T.</b:First>
          </b:Person>
        </b:NameList>
      </b:Author>
    </b:Author>
    <b:Title>Natural language processing for requirements engineering: A systematic mapping study</b:Title>
    <b:Year>2021</b:Year>
    <b:JournalName>ACM Computing Surveys</b:JournalName>
    <b:Volume>54</b:Volume>
    <b:Issue>3</b:Issue>
    <b:Pages>Artículo 55</b:Pages>
    <b:URL>https://doi.org/10.1145/3444689</b:URL>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B3C1A2E-4F5D-4E6A-9B7C-1D2E3F4A5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22</Pages>
  <Words>6452</Words>
  <Characters>34329</Characters>
  <Application>Microsoft Office Word</Application>
  <DocSecurity>0</DocSecurity>
  <Lines>746</Lines>
  <Paragraphs>308</Paragraphs>
  <ScaleCrop>false</ScaleCrop>
  <HeadingPairs>
    <vt:vector size="2" baseType="variant">
      <vt:variant>
        <vt:lpstr>Title</vt:lpstr>
      </vt:variant>
      <vt:variant>
        <vt:i4>1</vt:i4>
      </vt:variant>
    </vt:vector>
  </HeadingPairs>
  <TitlesOfParts>
    <vt:vector size="1" baseType="lpstr">
      <vt:lpstr>Recursos léxico-semánticos en NLP4RE: un mapeo sistemático con atención al español</vt:lpstr>
    </vt:vector>
  </TitlesOfParts>
  <Manager/>
  <Company/>
  <LinksUpToDate>false</LinksUpToDate>
  <CharactersWithSpaces>40473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Recursos léxico-semánticos en NLP4RE y evidencia para el procesamiento de requisitos en español</dc:title>
  <dc:subject>Mapeo sistemático de NLP4RE — versión diez</dc:subject>
  <dc:creator>python-docx</dc:creator>
  <cp:keywords/>
  <dc:description>Versión v6. Original preservado. Citas vinculadas y fuentes registradas.</dc:description>
  <cp:lastModifiedBy>Kenji Kawaida Villegas</cp:lastModifiedBy>
  <cp:revision>10</cp:revision>
  <dcterms:created xsi:type="dcterms:W3CDTF">2013-12-23T23:15:00Z</dcterms:created>
  <dcterms:modified xsi:type="dcterms:W3CDTF">2026-09-29T04:25:00Z</dcterms:modified>
  <cp:category/>
  <cp:version>10</cp:version>
</cp:coreProperties>
</file>