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ascii="Noto Sans JP" w:hAnsi="Noto Sans JP" w:eastAsia="Noto Sans JP" w:cs="Noto Sans JP"/>
        </w:rPr>
        <w:t xml:space="preserve">マクロ経済学B</w:t>
      </w:r>
      <w:r>
        <w:rPr>
          <w:rFonts w:ascii="Noto Sans JP" w:hAnsi="Noto Sans JP" w:eastAsia="Noto Sans JP" w:cs="Noto Sans JP"/>
        </w:rPr>
        <w:t xml:space="preserve"> </w:t>
      </w:r>
      <w:r>
        <w:rPr>
          <w:rFonts w:hint="eastAsia" w:ascii="Noto Sans JP" w:hAnsi="Noto Sans JP" w:eastAsia="Noto Sans JP" w:cs="Noto Sans JP"/>
        </w:rPr>
        <w:t xml:space="preserve">シラバス案</w:t>
      </w:r>
    </w:p>
    <w:p>
      <w:pPr>
        <w:pStyle w:val="Subtitle"/>
      </w:pPr>
      <w:r>
        <w:rPr>
          <w:rFonts w:hint="eastAsia" w:ascii="Noto Sans JP" w:hAnsi="Noto Sans JP" w:eastAsia="Noto Sans JP" w:cs="Noto Sans JP"/>
        </w:rPr>
        <w:t xml:space="preserve">マクロ経済学B</w:t>
      </w:r>
    </w:p>
    <w:p>
      <w:pPr>
        <w:pStyle w:val="Author"/>
      </w:pPr>
      <w:r>
        <w:rPr>
          <w:rFonts w:hint="eastAsia" w:ascii="Noto Sans JP" w:hAnsi="Noto Sans JP" w:eastAsia="Noto Sans JP" w:cs="Noto Sans JP"/>
        </w:rPr>
        <w:t xml:space="preserve">宮﨑憲治</w:t>
      </w:r>
    </w:p>
    <w:p>
      <w:pPr>
        <w:pStyle w:val="Date"/>
      </w:pPr>
      <w:r>
        <w:rPr>
          <w:rFonts w:hint="eastAsia" w:ascii="Noto Sans JP" w:hAnsi="Noto Sans JP" w:eastAsia="Noto Sans JP" w:cs="Noto Sans JP"/>
        </w:rPr>
        <w:t xml:space="preserve">2026年度</w:t>
      </w:r>
    </w:p>
    <w:p>
      <w:pPr>
        <w:pStyle w:val="FirstParagraph"/>
      </w:pPr>
      <w:r>
        <w:rPr>
          <w:rFonts w:hint="eastAsia" w:ascii="Noto Sans JP" w:hAnsi="Noto Sans JP" w:eastAsia="Noto Sans JP" w:cs="Noto Sans JP"/>
        </w:rPr>
        <w:t xml:space="preserve">2026年度。講義ノート第1〜12回に対応。</w:t>
      </w:r>
    </w:p>
    <w:bookmarkStart w:id="9" w:name="講義概要と位置づけ"/>
    <w:p>
      <w:pPr>
        <w:pStyle w:val="Heading2"/>
      </w:pPr>
      <w:r>
        <w:rPr>
          <w:rFonts w:hint="eastAsia" w:ascii="Noto Sans JP" w:hAnsi="Noto Sans JP" w:eastAsia="Noto Sans JP" w:cs="Noto Sans JP"/>
        </w:rPr>
        <w:t xml:space="preserve">講義概要と位置づけ</w:t>
      </w:r>
    </w:p>
    <w:p>
      <w:pPr>
        <w:pStyle w:val="FirstParagraph"/>
      </w:pPr>
      <w:r>
        <w:rPr>
          <w:rFonts w:hint="eastAsia" w:ascii="Noto Sans JP" w:hAnsi="Noto Sans JP" w:eastAsia="Noto Sans JP" w:cs="Noto Sans JP"/>
        </w:rPr>
        <w:t xml:space="preserve">修士課程のニューケインジアン・マクロ経済学入門として、家計・企業の最適化から動学的需要、名目硬直性、金融・財政政策、家計異質性を学びます。学部マクロの復習と分析手法から始め、完全競争、政府部門、独占的競争、価格硬直性を順に導入します。後半では最適金融政策、賃金硬直性、TANKモデルを扱い、最後にNew</w:t>
      </w:r>
      <w:r>
        <w:rPr>
          <w:rFonts w:ascii="Noto Sans JP" w:hAnsi="Noto Sans JP" w:eastAsia="Noto Sans JP" w:cs="Noto Sans JP"/>
        </w:rPr>
        <w:t xml:space="preserve"> Keynesian </w:t>
      </w:r>
      <w:r>
        <w:rPr>
          <w:rFonts w:hint="eastAsia" w:ascii="Noto Sans JP" w:hAnsi="Noto Sans JP" w:eastAsia="Noto Sans JP" w:cs="Noto Sans JP"/>
        </w:rPr>
        <w:t xml:space="preserve">Crossで所得分配と総需要の関係を整理します。</w:t>
      </w:r>
    </w:p>
    <w:p>
      <w:pPr>
        <w:pStyle w:val="BodyText"/>
      </w:pPr>
      <w:r>
        <w:rPr>
          <w:rFonts w:hint="eastAsia" w:ascii="Noto Sans JP" w:hAnsi="Noto Sans JP" w:eastAsia="Noto Sans JP" w:cs="Noto Sans JP"/>
        </w:rPr>
        <w:t xml:space="preserve">マクロ経済学Aで学ぶ成長理論・資本蓄積・定常成長を背景とし、本講義では資本ストックを所与とするか、線形生産へ簡略化します。確率的ショックのもとで資本蓄積を内生化するRBC、一般的なDSGE数値解法、投資調整費用、習慣形成、ゼロ金利制約、サーチ・マッチング、HANKの詳細は、本講義の先の発展課題です。第12回の政策比較は、各モデルの自然利子率から測った同じ実質利子率ギャップに対する条件付き需要反応として扱います。</w:t>
      </w:r>
    </w:p>
    <w:bookmarkEnd w:id="9"/>
    <w:bookmarkStart w:id="10" w:name="到達目標"/>
    <w:p>
      <w:pPr>
        <w:pStyle w:val="Heading2"/>
      </w:pPr>
      <w:r>
        <w:rPr>
          <w:rFonts w:hint="eastAsia" w:ascii="Noto Sans JP" w:hAnsi="Noto Sans JP" w:eastAsia="Noto Sans JP" w:cs="Noto Sans JP"/>
        </w:rPr>
        <w:t xml:space="preserve">到達目標</w:t>
      </w:r>
    </w:p>
    <w:p>
      <w:pPr>
        <w:pStyle w:val="Compact"/>
        <w:numPr>
          <w:ilvl w:val="0"/>
          <w:numId w:val="1001"/>
        </w:numPr>
      </w:pPr>
      <w:r>
        <w:rPr>
          <w:rFonts w:hint="eastAsia" w:ascii="Noto Sans JP" w:hAnsi="Noto Sans JP" w:eastAsia="Noto Sans JP" w:cs="Noto Sans JP"/>
        </w:rPr>
        <w:t xml:space="preserve">家計のEuler方程式、確率的割引因子、横断性条件を説明し、消費・資産価格の簡単な問題に使える。</w:t>
      </w:r>
    </w:p>
    <w:p>
      <w:pPr>
        <w:pStyle w:val="Compact"/>
        <w:numPr>
          <w:ilvl w:val="0"/>
          <w:numId w:val="1001"/>
        </w:numPr>
      </w:pPr>
      <w:r>
        <w:rPr>
          <w:rFonts w:hint="eastAsia" w:ascii="Noto Sans JP" w:hAnsi="Noto Sans JP" w:eastAsia="Noto Sans JP" w:cs="Noto Sans JP"/>
        </w:rPr>
        <w:t xml:space="preserve">均衡条件を定常状態の周りで対数線形化し、水準・対数偏差・産出ギャップを区別できる。</w:t>
      </w:r>
    </w:p>
    <w:p>
      <w:pPr>
        <w:pStyle w:val="Compact"/>
        <w:numPr>
          <w:ilvl w:val="0"/>
          <w:numId w:val="1001"/>
        </w:numPr>
      </w:pPr>
      <w:r>
        <w:rPr>
          <w:rFonts w:hint="eastAsia" w:ascii="Noto Sans JP" w:hAnsi="Noto Sans JP" w:eastAsia="Noto Sans JP" w:cs="Noto Sans JP"/>
        </w:rPr>
        <w:t xml:space="preserve">家計・企業・政府の条件を統合してNKの基本体系を導き、ショックの反応を計算・解釈できる。</w:t>
      </w:r>
    </w:p>
    <w:p>
      <w:pPr>
        <w:pStyle w:val="Compact"/>
        <w:numPr>
          <w:ilvl w:val="0"/>
          <w:numId w:val="1001"/>
        </w:numPr>
      </w:pPr>
      <w:r>
        <w:rPr>
          <w:rFonts w:hint="eastAsia" w:ascii="Noto Sans JP" w:hAnsi="Noto Sans JP" w:eastAsia="Noto Sans JP" w:cs="Noto Sans JP"/>
        </w:rPr>
        <w:t xml:space="preserve">自然配分と効率的配分、最適配分とその一意実装、裁量とコミットメントを区別できる。</w:t>
      </w:r>
    </w:p>
    <w:p>
      <w:pPr>
        <w:pStyle w:val="Compact"/>
        <w:numPr>
          <w:ilvl w:val="0"/>
          <w:numId w:val="1001"/>
        </w:numPr>
      </w:pPr>
      <w:r>
        <w:rPr>
          <w:rFonts w:hint="eastAsia" w:ascii="Noto Sans JP" w:hAnsi="Noto Sans JP" w:eastAsia="Noto Sans JP" w:cs="Noto Sans JP"/>
        </w:rPr>
        <w:t xml:space="preserve">賃金硬直性が実質賃金の動学を変える理由と、家計異質性・所得再分配が集計需要を変える条件を説明できる。</w:t>
      </w:r>
    </w:p>
    <w:bookmarkEnd w:id="10"/>
    <w:bookmarkStart w:id="11" w:name="履修の前提"/>
    <w:p>
      <w:pPr>
        <w:pStyle w:val="Heading2"/>
      </w:pPr>
      <w:r>
        <w:rPr>
          <w:rFonts w:hint="eastAsia" w:ascii="Noto Sans JP" w:hAnsi="Noto Sans JP" w:eastAsia="Noto Sans JP" w:cs="Noto Sans JP"/>
        </w:rPr>
        <w:t xml:space="preserve">履修の前提</w:t>
      </w:r>
    </w:p>
    <w:p>
      <w:pPr>
        <w:pStyle w:val="FirstParagraph"/>
      </w:pPr>
      <w:r>
        <w:rPr>
          <w:rFonts w:hint="eastAsia" w:ascii="Noto Sans JP" w:hAnsi="Noto Sans JP" w:eastAsia="Noto Sans JP" w:cs="Noto Sans JP"/>
        </w:rPr>
        <w:t xml:space="preserve">学部のマクロ経済学・ミクロ経済学、および微分、偏微分、行列・固有値、期待値・条件付き期待値の基礎を前提とします。動学的最適化は第3回で整理します。計算では簡単な代入や反復計算から始め、図の再現にRやPythonを利用できます。</w:t>
      </w:r>
    </w:p>
    <w:bookmarkEnd w:id="11"/>
    <w:bookmarkStart w:id="12" w:name="評価方法"/>
    <w:p>
      <w:pPr>
        <w:pStyle w:val="Heading2"/>
      </w:pPr>
      <w:r>
        <w:rPr>
          <w:rFonts w:hint="eastAsia" w:ascii="Noto Sans JP" w:hAnsi="Noto Sans JP" w:eastAsia="Noto Sans JP" w:cs="Noto Sans JP"/>
        </w:rPr>
        <w:t xml:space="preserve">評価方法</w:t>
      </w:r>
    </w:p>
    <w:p>
      <w:pPr>
        <w:pStyle w:val="Compact"/>
        <w:numPr>
          <w:ilvl w:val="0"/>
          <w:numId w:val="1002"/>
        </w:numPr>
      </w:pPr>
      <w:r>
        <w:rPr>
          <w:rFonts w:hint="eastAsia" w:ascii="Noto Sans JP" w:hAnsi="Noto Sans JP" w:eastAsia="Noto Sans JP" w:cs="Noto Sans JP"/>
        </w:rPr>
        <w:t xml:space="preserve">中間試験：40%</w:t>
      </w:r>
    </w:p>
    <w:p>
      <w:pPr>
        <w:pStyle w:val="Compact"/>
        <w:numPr>
          <w:ilvl w:val="0"/>
          <w:numId w:val="1002"/>
        </w:numPr>
      </w:pPr>
      <w:r>
        <w:rPr>
          <w:rFonts w:hint="eastAsia" w:ascii="Noto Sans JP" w:hAnsi="Noto Sans JP" w:eastAsia="Noto Sans JP" w:cs="Noto Sans JP"/>
        </w:rPr>
        <w:t xml:space="preserve">期末試験：50%</w:t>
      </w:r>
    </w:p>
    <w:p>
      <w:pPr>
        <w:pStyle w:val="Compact"/>
        <w:numPr>
          <w:ilvl w:val="0"/>
          <w:numId w:val="1002"/>
        </w:numPr>
      </w:pPr>
      <w:r>
        <w:rPr>
          <w:rFonts w:hint="eastAsia" w:ascii="Noto Sans JP" w:hAnsi="Noto Sans JP" w:eastAsia="Noto Sans JP" w:cs="Noto Sans JP"/>
        </w:rPr>
        <w:t xml:space="preserve">平常点（課題・ディスカッション）：10%</w:t>
      </w:r>
    </w:p>
    <w:p>
      <w:pPr>
        <w:pStyle w:val="FirstParagraph"/>
      </w:pPr>
      <w:r>
        <w:rPr>
          <w:rFonts w:hint="eastAsia" w:ascii="Noto Sans JP" w:hAnsi="Noto Sans JP" w:eastAsia="Noto Sans JP" w:cs="Noto Sans JP"/>
        </w:rPr>
        <w:t xml:space="preserve">中間試験は教材第1〜6回、期末試験は教材第7〜12回を中心とし、後半の導出に必要な前半の知識も用います。基本問題の理解を共通の到達目標とし、発展補論・発展問題を試験や提出課題に含める場合は対象を事前に指定します。</w:t>
      </w:r>
    </w:p>
    <w:bookmarkEnd w:id="12"/>
    <w:bookmarkStart w:id="13" w:name="授業日程と教材番号"/>
    <w:p>
      <w:pPr>
        <w:pStyle w:val="Heading2"/>
      </w:pPr>
      <w:r>
        <w:rPr>
          <w:rFonts w:hint="eastAsia" w:ascii="Noto Sans JP" w:hAnsi="Noto Sans JP" w:eastAsia="Noto Sans JP" w:cs="Noto Sans JP"/>
        </w:rPr>
        <w:t xml:space="preserve">授業日程と教材番号</w:t>
      </w:r>
    </w:p>
    <w:p>
      <w:pPr>
        <w:pStyle w:val="FirstParagraph"/>
      </w:pPr>
      <w:r>
        <w:rPr>
          <w:rFonts w:hint="eastAsia" w:ascii="Noto Sans JP" w:hAnsi="Noto Sans JP" w:eastAsia="Noto Sans JP" w:cs="Noto Sans JP"/>
        </w:rPr>
        <w:t xml:space="preserve">以下は、講義12回と試験2回で構成する14回の日程案です。</w:t>
      </w:r>
      <w:r>
        <w:rPr>
          <w:rFonts w:hint="eastAsia" w:ascii="Noto Sans JP" w:hAnsi="Noto Sans JP" w:eastAsia="Noto Sans JP" w:cs="Noto Sans JP"/>
          <w:b/>
          <w:bCs/>
        </w:rPr>
        <w:t xml:space="preserve">講義ノートの「第○回」は教材番号であり、試験を含む授業回次とは異なります。</w:t>
      </w:r>
      <w:r>
        <w:rPr>
          <w:rFonts w:ascii="Noto Sans JP" w:hAnsi="Noto Sans JP" w:eastAsia="Noto Sans JP" w:cs="Noto Sans JP"/>
        </w:rPr>
        <w:t xml:space="preserve"> </w:t>
      </w:r>
      <w:r>
        <w:rPr>
          <w:rFonts w:hint="eastAsia" w:ascii="Noto Sans JP" w:hAnsi="Noto Sans JP" w:eastAsia="Noto Sans JP" w:cs="Noto Sans JP"/>
        </w:rPr>
        <w:t xml:space="preserve">実施日は開講時に周知します。</w:t>
      </w:r>
    </w:p>
    <w:tbl>
      <w:tblPr>
        <w:tblStyle w:val="Table"/>
        <w:tblW w:type="auto" w:w="0"/>
        <w:tblLook w:firstRow="1" w:lastRow="0" w:firstColumn="0" w:lastColumn="0" w:noHBand="0" w:noVBand="0" w:val="0020"/>
      </w:tblPr>
      <w:tblGrid>
        <w:gridCol w:w="2640"/>
        <w:gridCol w:w="2640"/>
        <w:gridCol w:w="2640"/>
      </w:tblGrid>
      <w:tr>
        <w:trPr>
          <w:tblHeader w:val="on"/>
          <w:cantSplit/>
        </w:trPr>
        <w:tc>
          <w:tcPr/>
          <w:p>
            <w:pPr>
              <w:pStyle w:val="Compact"/>
              <w:jc w:val="right"/>
            </w:pPr>
            <w:r>
              <w:rPr>
                <w:rFonts w:hint="eastAsia" w:ascii="Noto Sans JP" w:hAnsi="Noto Sans JP" w:eastAsia="Noto Sans JP" w:cs="Noto Sans JP"/>
              </w:rPr>
              <w:t xml:space="preserve">授業回次</w:t>
            </w:r>
          </w:p>
        </w:tc>
        <w:tc>
          <w:tcPr/>
          <w:p>
            <w:pPr>
              <w:pStyle w:val="Compact"/>
            </w:pPr>
            <w:r>
              <w:rPr>
                <w:rFonts w:hint="eastAsia" w:ascii="Noto Sans JP" w:hAnsi="Noto Sans JP" w:eastAsia="Noto Sans JP" w:cs="Noto Sans JP"/>
              </w:rPr>
              <w:t xml:space="preserve">対応する教材・試験</w:t>
            </w:r>
          </w:p>
        </w:tc>
        <w:tc>
          <w:tcPr/>
          <w:p>
            <w:pPr>
              <w:pStyle w:val="Compact"/>
            </w:pPr>
            <w:r>
              <w:rPr>
                <w:rFonts w:hint="eastAsia" w:ascii="Noto Sans JP" w:hAnsi="Noto Sans JP" w:eastAsia="Noto Sans JP" w:cs="Noto Sans JP"/>
              </w:rPr>
              <w:t xml:space="preserve">主な内容</w:t>
            </w:r>
          </w:p>
        </w:tc>
      </w:tr>
      <w:tr>
        <w:trPr>
          <w:cantSplit/>
        </w:trPr>
        <w:tc>
          <w:tcPr/>
          <w:p>
            <w:pPr>
              <w:pStyle w:val="Compact"/>
              <w:jc w:val="right"/>
            </w:pPr>
            <w:r>
              <w:rPr>
                <w:rFonts w:ascii="Noto Sans JP" w:hAnsi="Noto Sans JP" w:eastAsia="Noto Sans JP" w:cs="Noto Sans JP"/>
              </w:rPr>
              <w:t xml:space="preserve">1</w:t>
            </w:r>
          </w:p>
        </w:tc>
        <w:tc>
          <w:tcPr/>
          <w:p>
            <w:pPr>
              <w:pStyle w:val="Compact"/>
            </w:pPr>
            <w:r>
              <w:rPr>
                <w:rFonts w:hint="eastAsia" w:ascii="Noto Sans JP" w:hAnsi="Noto Sans JP" w:eastAsia="Noto Sans JP" w:cs="Noto Sans JP"/>
              </w:rPr>
              <w:t xml:space="preserve">教材第1回</w:t>
            </w:r>
          </w:p>
        </w:tc>
        <w:tc>
          <w:tcPr/>
          <w:p>
            <w:pPr>
              <w:pStyle w:val="Compact"/>
            </w:pPr>
            <w:r>
              <w:rPr>
                <w:rFonts w:hint="eastAsia" w:ascii="Noto Sans JP" w:hAnsi="Noto Sans JP" w:eastAsia="Noto Sans JP" w:cs="Noto Sans JP"/>
              </w:rPr>
              <w:t xml:space="preserve">学部マクロの復習</w:t>
            </w:r>
          </w:p>
        </w:tc>
      </w:tr>
      <w:tr>
        <w:trPr>
          <w:cantSplit/>
        </w:trPr>
        <w:tc>
          <w:tcPr/>
          <w:p>
            <w:pPr>
              <w:pStyle w:val="Compact"/>
              <w:jc w:val="right"/>
            </w:pPr>
            <w:r>
              <w:rPr>
                <w:rFonts w:ascii="Noto Sans JP" w:hAnsi="Noto Sans JP" w:eastAsia="Noto Sans JP" w:cs="Noto Sans JP"/>
              </w:rPr>
              <w:t xml:space="preserve">2</w:t>
            </w:r>
          </w:p>
        </w:tc>
        <w:tc>
          <w:tcPr/>
          <w:p>
            <w:pPr>
              <w:pStyle w:val="Compact"/>
            </w:pPr>
            <w:r>
              <w:rPr>
                <w:rFonts w:hint="eastAsia" w:ascii="Noto Sans JP" w:hAnsi="Noto Sans JP" w:eastAsia="Noto Sans JP" w:cs="Noto Sans JP"/>
              </w:rPr>
              <w:t xml:space="preserve">教材第2回</w:t>
            </w:r>
          </w:p>
        </w:tc>
        <w:tc>
          <w:tcPr/>
          <w:p>
            <w:pPr>
              <w:pStyle w:val="Compact"/>
            </w:pPr>
            <w:r>
              <w:rPr>
                <w:rFonts w:hint="eastAsia" w:ascii="Noto Sans JP" w:hAnsi="Noto Sans JP" w:eastAsia="Noto Sans JP" w:cs="Noto Sans JP"/>
              </w:rPr>
              <w:t xml:space="preserve">時系列分析と対数近似</w:t>
            </w:r>
          </w:p>
        </w:tc>
      </w:tr>
      <w:tr>
        <w:trPr>
          <w:cantSplit/>
        </w:trPr>
        <w:tc>
          <w:tcPr/>
          <w:p>
            <w:pPr>
              <w:pStyle w:val="Compact"/>
              <w:jc w:val="right"/>
            </w:pPr>
            <w:r>
              <w:rPr>
                <w:rFonts w:ascii="Noto Sans JP" w:hAnsi="Noto Sans JP" w:eastAsia="Noto Sans JP" w:cs="Noto Sans JP"/>
              </w:rPr>
              <w:t xml:space="preserve">3</w:t>
            </w:r>
          </w:p>
        </w:tc>
        <w:tc>
          <w:tcPr/>
          <w:p>
            <w:pPr>
              <w:pStyle w:val="Compact"/>
            </w:pPr>
            <w:r>
              <w:rPr>
                <w:rFonts w:hint="eastAsia" w:ascii="Noto Sans JP" w:hAnsi="Noto Sans JP" w:eastAsia="Noto Sans JP" w:cs="Noto Sans JP"/>
              </w:rPr>
              <w:t xml:space="preserve">教材第3回</w:t>
            </w:r>
          </w:p>
        </w:tc>
        <w:tc>
          <w:tcPr/>
          <w:p>
            <w:pPr>
              <w:pStyle w:val="Compact"/>
            </w:pPr>
            <w:r>
              <w:rPr>
                <w:rFonts w:hint="eastAsia" w:ascii="Noto Sans JP" w:hAnsi="Noto Sans JP" w:eastAsia="Noto Sans JP" w:cs="Noto Sans JP"/>
              </w:rPr>
              <w:t xml:space="preserve">動学的最適化と資産価格付け</w:t>
            </w:r>
          </w:p>
        </w:tc>
      </w:tr>
      <w:tr>
        <w:trPr>
          <w:cantSplit/>
        </w:trPr>
        <w:tc>
          <w:tcPr/>
          <w:p>
            <w:pPr>
              <w:pStyle w:val="Compact"/>
              <w:jc w:val="right"/>
            </w:pPr>
            <w:r>
              <w:rPr>
                <w:rFonts w:ascii="Noto Sans JP" w:hAnsi="Noto Sans JP" w:eastAsia="Noto Sans JP" w:cs="Noto Sans JP"/>
              </w:rPr>
              <w:t xml:space="preserve">4</w:t>
            </w:r>
          </w:p>
        </w:tc>
        <w:tc>
          <w:tcPr/>
          <w:p>
            <w:pPr>
              <w:pStyle w:val="Compact"/>
            </w:pPr>
            <w:r>
              <w:rPr>
                <w:rFonts w:hint="eastAsia" w:ascii="Noto Sans JP" w:hAnsi="Noto Sans JP" w:eastAsia="Noto Sans JP" w:cs="Noto Sans JP"/>
              </w:rPr>
              <w:t xml:space="preserve">教材第4回</w:t>
            </w:r>
          </w:p>
        </w:tc>
        <w:tc>
          <w:tcPr/>
          <w:p>
            <w:pPr>
              <w:pStyle w:val="Compact"/>
            </w:pPr>
            <w:r>
              <w:rPr>
                <w:rFonts w:hint="eastAsia" w:ascii="Noto Sans JP" w:hAnsi="Noto Sans JP" w:eastAsia="Noto Sans JP" w:cs="Noto Sans JP"/>
              </w:rPr>
              <w:t xml:space="preserve">資本蓄積のないRBCモデル</w:t>
            </w:r>
          </w:p>
        </w:tc>
      </w:tr>
      <w:tr>
        <w:trPr>
          <w:cantSplit/>
        </w:trPr>
        <w:tc>
          <w:tcPr/>
          <w:p>
            <w:pPr>
              <w:pStyle w:val="Compact"/>
              <w:jc w:val="right"/>
            </w:pPr>
            <w:r>
              <w:rPr>
                <w:rFonts w:ascii="Noto Sans JP" w:hAnsi="Noto Sans JP" w:eastAsia="Noto Sans JP" w:cs="Noto Sans JP"/>
              </w:rPr>
              <w:t xml:space="preserve">5</w:t>
            </w:r>
          </w:p>
        </w:tc>
        <w:tc>
          <w:tcPr/>
          <w:p>
            <w:pPr>
              <w:pStyle w:val="Compact"/>
            </w:pPr>
            <w:r>
              <w:rPr>
                <w:rFonts w:hint="eastAsia" w:ascii="Noto Sans JP" w:hAnsi="Noto Sans JP" w:eastAsia="Noto Sans JP" w:cs="Noto Sans JP"/>
              </w:rPr>
              <w:t xml:space="preserve">教材第5回</w:t>
            </w:r>
          </w:p>
        </w:tc>
        <w:tc>
          <w:tcPr/>
          <w:p>
            <w:pPr>
              <w:pStyle w:val="Compact"/>
            </w:pPr>
            <w:r>
              <w:rPr>
                <w:rFonts w:hint="eastAsia" w:ascii="Noto Sans JP" w:hAnsi="Noto Sans JP" w:eastAsia="Noto Sans JP" w:cs="Noto Sans JP"/>
              </w:rPr>
              <w:t xml:space="preserve">政府部門</w:t>
            </w:r>
          </w:p>
        </w:tc>
      </w:tr>
      <w:tr>
        <w:trPr>
          <w:cantSplit/>
        </w:trPr>
        <w:tc>
          <w:tcPr/>
          <w:p>
            <w:pPr>
              <w:pStyle w:val="Compact"/>
              <w:jc w:val="right"/>
            </w:pPr>
            <w:r>
              <w:rPr>
                <w:rFonts w:ascii="Noto Sans JP" w:hAnsi="Noto Sans JP" w:eastAsia="Noto Sans JP" w:cs="Noto Sans JP"/>
              </w:rPr>
              <w:t xml:space="preserve">6</w:t>
            </w:r>
          </w:p>
        </w:tc>
        <w:tc>
          <w:tcPr/>
          <w:p>
            <w:pPr>
              <w:pStyle w:val="Compact"/>
            </w:pPr>
            <w:r>
              <w:rPr>
                <w:rFonts w:hint="eastAsia" w:ascii="Noto Sans JP" w:hAnsi="Noto Sans JP" w:eastAsia="Noto Sans JP" w:cs="Noto Sans JP"/>
              </w:rPr>
              <w:t xml:space="preserve">教材第6回</w:t>
            </w:r>
          </w:p>
        </w:tc>
        <w:tc>
          <w:tcPr/>
          <w:p>
            <w:pPr>
              <w:pStyle w:val="Compact"/>
            </w:pPr>
            <w:r>
              <w:rPr>
                <w:rFonts w:hint="eastAsia" w:ascii="Noto Sans JP" w:hAnsi="Noto Sans JP" w:eastAsia="Noto Sans JP" w:cs="Noto Sans JP"/>
              </w:rPr>
              <w:t xml:space="preserve">独占的競争</w:t>
            </w:r>
          </w:p>
        </w:tc>
      </w:tr>
      <w:tr>
        <w:trPr>
          <w:cantSplit/>
        </w:trPr>
        <w:tc>
          <w:tcPr/>
          <w:p>
            <w:pPr>
              <w:pStyle w:val="Compact"/>
              <w:jc w:val="right"/>
            </w:pPr>
            <w:r>
              <w:rPr>
                <w:rFonts w:ascii="Noto Sans JP" w:hAnsi="Noto Sans JP" w:eastAsia="Noto Sans JP" w:cs="Noto Sans JP"/>
              </w:rPr>
              <w:t xml:space="preserve">7</w:t>
            </w:r>
          </w:p>
        </w:tc>
        <w:tc>
          <w:tcPr/>
          <w:p>
            <w:pPr>
              <w:pStyle w:val="Compact"/>
            </w:pPr>
            <w:r>
              <w:rPr>
                <w:rFonts w:hint="eastAsia" w:ascii="Noto Sans JP" w:hAnsi="Noto Sans JP" w:eastAsia="Noto Sans JP" w:cs="Noto Sans JP"/>
              </w:rPr>
              <w:t xml:space="preserve">中間試験</w:t>
            </w:r>
          </w:p>
        </w:tc>
        <w:tc>
          <w:tcPr/>
          <w:p>
            <w:pPr>
              <w:pStyle w:val="Compact"/>
            </w:pPr>
            <w:r>
              <w:rPr>
                <w:rFonts w:hint="eastAsia" w:ascii="Noto Sans JP" w:hAnsi="Noto Sans JP" w:eastAsia="Noto Sans JP" w:cs="Noto Sans JP"/>
              </w:rPr>
              <w:t xml:space="preserve">教材第1〜6回</w:t>
            </w:r>
          </w:p>
        </w:tc>
      </w:tr>
      <w:tr>
        <w:trPr>
          <w:cantSplit/>
        </w:trPr>
        <w:tc>
          <w:tcPr/>
          <w:p>
            <w:pPr>
              <w:pStyle w:val="Compact"/>
              <w:jc w:val="right"/>
            </w:pPr>
            <w:r>
              <w:rPr>
                <w:rFonts w:ascii="Noto Sans JP" w:hAnsi="Noto Sans JP" w:eastAsia="Noto Sans JP" w:cs="Noto Sans JP"/>
              </w:rPr>
              <w:t xml:space="preserve">8</w:t>
            </w:r>
          </w:p>
        </w:tc>
        <w:tc>
          <w:tcPr/>
          <w:p>
            <w:pPr>
              <w:pStyle w:val="Compact"/>
            </w:pPr>
            <w:r>
              <w:rPr>
                <w:rFonts w:hint="eastAsia" w:ascii="Noto Sans JP" w:hAnsi="Noto Sans JP" w:eastAsia="Noto Sans JP" w:cs="Noto Sans JP"/>
              </w:rPr>
              <w:t xml:space="preserve">教材第7回</w:t>
            </w:r>
          </w:p>
        </w:tc>
        <w:tc>
          <w:tcPr/>
          <w:p>
            <w:pPr>
              <w:pStyle w:val="Compact"/>
            </w:pPr>
            <w:r>
              <w:rPr>
                <w:rFonts w:hint="eastAsia" w:ascii="Noto Sans JP" w:hAnsi="Noto Sans JP" w:eastAsia="Noto Sans JP" w:cs="Noto Sans JP"/>
              </w:rPr>
              <w:t xml:space="preserve">価格硬直性とNK方程式</w:t>
            </w:r>
          </w:p>
        </w:tc>
      </w:tr>
      <w:tr>
        <w:trPr>
          <w:cantSplit/>
        </w:trPr>
        <w:tc>
          <w:tcPr/>
          <w:p>
            <w:pPr>
              <w:pStyle w:val="Compact"/>
              <w:jc w:val="right"/>
            </w:pPr>
            <w:r>
              <w:rPr>
                <w:rFonts w:ascii="Noto Sans JP" w:hAnsi="Noto Sans JP" w:eastAsia="Noto Sans JP" w:cs="Noto Sans JP"/>
              </w:rPr>
              <w:t xml:space="preserve">9</w:t>
            </w:r>
          </w:p>
        </w:tc>
        <w:tc>
          <w:tcPr/>
          <w:p>
            <w:pPr>
              <w:pStyle w:val="Compact"/>
            </w:pPr>
            <w:r>
              <w:rPr>
                <w:rFonts w:hint="eastAsia" w:ascii="Noto Sans JP" w:hAnsi="Noto Sans JP" w:eastAsia="Noto Sans JP" w:cs="Noto Sans JP"/>
              </w:rPr>
              <w:t xml:space="preserve">教材第8回</w:t>
            </w:r>
          </w:p>
        </w:tc>
        <w:tc>
          <w:tcPr/>
          <w:p>
            <w:pPr>
              <w:pStyle w:val="Compact"/>
            </w:pPr>
            <w:r>
              <w:rPr>
                <w:rFonts w:hint="eastAsia" w:ascii="Noto Sans JP" w:hAnsi="Noto Sans JP" w:eastAsia="Noto Sans JP" w:cs="Noto Sans JP"/>
              </w:rPr>
              <w:t xml:space="preserve">一般形のRANKモデル</w:t>
            </w:r>
          </w:p>
        </w:tc>
      </w:tr>
      <w:tr>
        <w:trPr>
          <w:cantSplit/>
        </w:trPr>
        <w:tc>
          <w:tcPr/>
          <w:p>
            <w:pPr>
              <w:pStyle w:val="Compact"/>
              <w:jc w:val="right"/>
            </w:pPr>
            <w:r>
              <w:rPr>
                <w:rFonts w:ascii="Noto Sans JP" w:hAnsi="Noto Sans JP" w:eastAsia="Noto Sans JP" w:cs="Noto Sans JP"/>
              </w:rPr>
              <w:t xml:space="preserve">10</w:t>
            </w:r>
          </w:p>
        </w:tc>
        <w:tc>
          <w:tcPr/>
          <w:p>
            <w:pPr>
              <w:pStyle w:val="Compact"/>
            </w:pPr>
            <w:r>
              <w:rPr>
                <w:rFonts w:hint="eastAsia" w:ascii="Noto Sans JP" w:hAnsi="Noto Sans JP" w:eastAsia="Noto Sans JP" w:cs="Noto Sans JP"/>
              </w:rPr>
              <w:t xml:space="preserve">教材第9回</w:t>
            </w:r>
          </w:p>
        </w:tc>
        <w:tc>
          <w:tcPr/>
          <w:p>
            <w:pPr>
              <w:pStyle w:val="Compact"/>
            </w:pPr>
            <w:r>
              <w:rPr>
                <w:rFonts w:hint="eastAsia" w:ascii="Noto Sans JP" w:hAnsi="Noto Sans JP" w:eastAsia="Noto Sans JP" w:cs="Noto Sans JP"/>
              </w:rPr>
              <w:t xml:space="preserve">最適金融政策とルールの評価</w:t>
            </w:r>
          </w:p>
        </w:tc>
      </w:tr>
      <w:tr>
        <w:trPr>
          <w:cantSplit/>
        </w:trPr>
        <w:tc>
          <w:tcPr/>
          <w:p>
            <w:pPr>
              <w:pStyle w:val="Compact"/>
              <w:jc w:val="right"/>
            </w:pPr>
            <w:r>
              <w:rPr>
                <w:rFonts w:ascii="Noto Sans JP" w:hAnsi="Noto Sans JP" w:eastAsia="Noto Sans JP" w:cs="Noto Sans JP"/>
              </w:rPr>
              <w:t xml:space="preserve">11</w:t>
            </w:r>
          </w:p>
        </w:tc>
        <w:tc>
          <w:tcPr/>
          <w:p>
            <w:pPr>
              <w:pStyle w:val="Compact"/>
            </w:pPr>
            <w:r>
              <w:rPr>
                <w:rFonts w:hint="eastAsia" w:ascii="Noto Sans JP" w:hAnsi="Noto Sans JP" w:eastAsia="Noto Sans JP" w:cs="Noto Sans JP"/>
              </w:rPr>
              <w:t xml:space="preserve">教材第10回</w:t>
            </w:r>
          </w:p>
        </w:tc>
        <w:tc>
          <w:tcPr/>
          <w:p>
            <w:pPr>
              <w:pStyle w:val="Compact"/>
            </w:pPr>
            <w:r>
              <w:rPr>
                <w:rFonts w:hint="eastAsia" w:ascii="Noto Sans JP" w:hAnsi="Noto Sans JP" w:eastAsia="Noto Sans JP" w:cs="Noto Sans JP"/>
              </w:rPr>
              <w:t xml:space="preserve">価格・賃金硬直性とRANKモデル</w:t>
            </w:r>
          </w:p>
        </w:tc>
      </w:tr>
      <w:tr>
        <w:trPr>
          <w:cantSplit/>
        </w:trPr>
        <w:tc>
          <w:tcPr/>
          <w:p>
            <w:pPr>
              <w:pStyle w:val="Compact"/>
              <w:jc w:val="right"/>
            </w:pPr>
            <w:r>
              <w:rPr>
                <w:rFonts w:ascii="Noto Sans JP" w:hAnsi="Noto Sans JP" w:eastAsia="Noto Sans JP" w:cs="Noto Sans JP"/>
              </w:rPr>
              <w:t xml:space="preserve">12</w:t>
            </w:r>
          </w:p>
        </w:tc>
        <w:tc>
          <w:tcPr/>
          <w:p>
            <w:pPr>
              <w:pStyle w:val="Compact"/>
            </w:pPr>
            <w:r>
              <w:rPr>
                <w:rFonts w:hint="eastAsia" w:ascii="Noto Sans JP" w:hAnsi="Noto Sans JP" w:eastAsia="Noto Sans JP" w:cs="Noto Sans JP"/>
              </w:rPr>
              <w:t xml:space="preserve">教材第11回</w:t>
            </w:r>
          </w:p>
        </w:tc>
        <w:tc>
          <w:tcPr/>
          <w:p>
            <w:pPr>
              <w:pStyle w:val="Compact"/>
            </w:pPr>
            <w:r>
              <w:rPr>
                <w:rFonts w:hint="eastAsia" w:ascii="Noto Sans JP" w:hAnsi="Noto Sans JP" w:eastAsia="Noto Sans JP" w:cs="Noto Sans JP"/>
              </w:rPr>
              <w:t xml:space="preserve">価格硬直性をもつTANKモデル</w:t>
            </w:r>
          </w:p>
        </w:tc>
      </w:tr>
      <w:tr>
        <w:trPr>
          <w:cantSplit/>
        </w:trPr>
        <w:tc>
          <w:tcPr/>
          <w:p>
            <w:pPr>
              <w:pStyle w:val="Compact"/>
              <w:jc w:val="right"/>
            </w:pPr>
            <w:r>
              <w:rPr>
                <w:rFonts w:ascii="Noto Sans JP" w:hAnsi="Noto Sans JP" w:eastAsia="Noto Sans JP" w:cs="Noto Sans JP"/>
              </w:rPr>
              <w:t xml:space="preserve">13</w:t>
            </w:r>
          </w:p>
        </w:tc>
        <w:tc>
          <w:tcPr/>
          <w:p>
            <w:pPr>
              <w:pStyle w:val="Compact"/>
            </w:pPr>
            <w:r>
              <w:rPr>
                <w:rFonts w:hint="eastAsia" w:ascii="Noto Sans JP" w:hAnsi="Noto Sans JP" w:eastAsia="Noto Sans JP" w:cs="Noto Sans JP"/>
              </w:rPr>
              <w:t xml:space="preserve">教材第12回</w:t>
            </w:r>
          </w:p>
        </w:tc>
        <w:tc>
          <w:tcPr/>
          <w:p>
            <w:pPr>
              <w:pStyle w:val="Compact"/>
            </w:pPr>
            <w:r>
              <w:rPr>
                <w:rFonts w:ascii="Noto Sans JP" w:hAnsi="Noto Sans JP" w:eastAsia="Noto Sans JP" w:cs="Noto Sans JP"/>
              </w:rPr>
              <w:t xml:space="preserve">New Keynesian CrossとTANK</w:t>
            </w:r>
          </w:p>
        </w:tc>
      </w:tr>
      <w:tr>
        <w:trPr>
          <w:cantSplit/>
        </w:trPr>
        <w:tc>
          <w:tcPr/>
          <w:p>
            <w:pPr>
              <w:pStyle w:val="Compact"/>
              <w:jc w:val="right"/>
            </w:pPr>
            <w:r>
              <w:rPr>
                <w:rFonts w:ascii="Noto Sans JP" w:hAnsi="Noto Sans JP" w:eastAsia="Noto Sans JP" w:cs="Noto Sans JP"/>
              </w:rPr>
              <w:t xml:space="preserve">14</w:t>
            </w:r>
          </w:p>
        </w:tc>
        <w:tc>
          <w:tcPr/>
          <w:p>
            <w:pPr>
              <w:pStyle w:val="Compact"/>
            </w:pPr>
            <w:r>
              <w:rPr>
                <w:rFonts w:hint="eastAsia" w:ascii="Noto Sans JP" w:hAnsi="Noto Sans JP" w:eastAsia="Noto Sans JP" w:cs="Noto Sans JP"/>
              </w:rPr>
              <w:t xml:space="preserve">期末試験</w:t>
            </w:r>
          </w:p>
        </w:tc>
        <w:tc>
          <w:tcPr/>
          <w:p>
            <w:pPr>
              <w:pStyle w:val="Compact"/>
            </w:pPr>
            <w:r>
              <w:rPr>
                <w:rFonts w:hint="eastAsia" w:ascii="Noto Sans JP" w:hAnsi="Noto Sans JP" w:eastAsia="Noto Sans JP" w:cs="Noto Sans JP"/>
              </w:rPr>
              <w:t xml:space="preserve">教材第7〜12回を中心とする総合問題</w:t>
            </w:r>
          </w:p>
        </w:tc>
      </w:tr>
    </w:tbl>
    <w:bookmarkEnd w:id="13"/>
    <w:bookmarkStart w:id="26" w:name="教材ごとの学習内容"/>
    <w:p>
      <w:pPr>
        <w:pStyle w:val="Heading2"/>
      </w:pPr>
      <w:r>
        <w:rPr>
          <w:rFonts w:hint="eastAsia" w:ascii="Noto Sans JP" w:hAnsi="Noto Sans JP" w:eastAsia="Noto Sans JP" w:cs="Noto Sans JP"/>
        </w:rPr>
        <w:t xml:space="preserve">教材ごとの学習内容</w:t>
      </w:r>
    </w:p>
    <w:bookmarkStart w:id="14" w:name="教材第1回学部マクロの復習"/>
    <w:p>
      <w:pPr>
        <w:pStyle w:val="Heading3"/>
      </w:pPr>
      <w:r>
        <w:rPr>
          <w:rFonts w:hint="eastAsia" w:ascii="Noto Sans JP" w:hAnsi="Noto Sans JP" w:eastAsia="Noto Sans JP" w:cs="Noto Sans JP"/>
        </w:rPr>
        <w:t xml:space="preserve">教材第1回：学部マクロの復習</w:t>
      </w:r>
    </w:p>
    <w:p>
      <w:pPr>
        <w:pStyle w:val="FirstParagraph"/>
      </w:pPr>
      <w:r>
        <w:rPr>
          <w:rFonts w:hint="eastAsia" w:ascii="Noto Sans JP" w:hAnsi="Noto Sans JP" w:eastAsia="Noto Sans JP" w:cs="Noto Sans JP"/>
        </w:rPr>
        <w:t xml:space="preserve">ケインジアン・クロス、IS–LM、AD–AS、期待修正型フィリップス曲線を復習します。自然産出量・需給ギャップへの読み替え、ルーカス批判を通じて、期待とミクロ的基礎づけを用いる理由を説明します。</w:t>
      </w:r>
    </w:p>
    <w:bookmarkEnd w:id="14"/>
    <w:bookmarkStart w:id="15" w:name="教材第2回時系列分析と対数近似"/>
    <w:p>
      <w:pPr>
        <w:pStyle w:val="Heading3"/>
      </w:pPr>
      <w:r>
        <w:rPr>
          <w:rFonts w:hint="eastAsia" w:ascii="Noto Sans JP" w:hAnsi="Noto Sans JP" w:eastAsia="Noto Sans JP" w:cs="Noto Sans JP"/>
        </w:rPr>
        <w:t xml:space="preserve">教材第2回：時系列分析と対数近似</w:t>
      </w:r>
    </w:p>
    <w:p>
      <w:pPr>
        <w:pStyle w:val="FirstParagraph"/>
      </w:pPr>
      <w:r>
        <w:rPr>
          <w:rFonts w:hint="eastAsia" w:ascii="Noto Sans JP" w:hAnsi="Noto Sans JP" w:eastAsia="Noto Sans JP" w:cs="Noto Sans JP"/>
        </w:rPr>
        <w:t xml:space="preserve">米国GDPのトレンドと循環、弱定常性、AR(1)、インパルス応答、状態遷移の安定性、対数線形化を扱います。HP循環成分と理論上の産出ギャップを区別します。対数二次近似は参照節とし、第9回の厚生分析に入る前に再訪します。</w:t>
      </w:r>
    </w:p>
    <w:bookmarkEnd w:id="15"/>
    <w:bookmarkStart w:id="16" w:name="教材第3回動学的最適化と資産価格付け"/>
    <w:p>
      <w:pPr>
        <w:pStyle w:val="Heading3"/>
      </w:pPr>
      <w:r>
        <w:rPr>
          <w:rFonts w:hint="eastAsia" w:ascii="Noto Sans JP" w:hAnsi="Noto Sans JP" w:eastAsia="Noto Sans JP" w:cs="Noto Sans JP"/>
        </w:rPr>
        <w:t xml:space="preserve">教材第3回：動学的最適化と資産価格付け</w:t>
      </w:r>
    </w:p>
    <w:p>
      <w:pPr>
        <w:pStyle w:val="FirstParagraph"/>
      </w:pPr>
      <w:r>
        <w:rPr>
          <w:rFonts w:hint="eastAsia" w:ascii="Noto Sans JP" w:hAnsi="Noto Sans JP" w:eastAsia="Noto Sans JP" w:cs="Noto Sans JP"/>
        </w:rPr>
        <w:t xml:space="preserve">有限期間・無限期間の消費貯蓄問題、ラグランジュ法、Bellman方程式、Euler方程式、SDFを学びます。横断性条件が消費水準を選ぶ例を計算します。株式価格条件と一定配当の評価は基本範囲、株式条件の詳細な導出やリスクプレミアムは発展範囲です。</w:t>
      </w:r>
    </w:p>
    <w:bookmarkEnd w:id="16"/>
    <w:bookmarkStart w:id="17" w:name="教材第4回資本蓄積のないrbcモデル"/>
    <w:p>
      <w:pPr>
        <w:pStyle w:val="Heading3"/>
      </w:pPr>
      <w:r>
        <w:rPr>
          <w:rFonts w:hint="eastAsia" w:ascii="Noto Sans JP" w:hAnsi="Noto Sans JP" w:eastAsia="Noto Sans JP" w:cs="Noto Sans JP"/>
        </w:rPr>
        <w:t xml:space="preserve">教材第4回：資本蓄積のないRBCモデル</w:t>
      </w:r>
    </w:p>
    <w:p>
      <w:pPr>
        <w:pStyle w:val="FirstParagraph"/>
      </w:pPr>
      <w:r>
        <w:rPr>
          <w:rFonts w:hint="eastAsia" w:ascii="Noto Sans JP" w:hAnsi="Noto Sans JP" w:eastAsia="Noto Sans JP" w:cs="Noto Sans JP"/>
        </w:rPr>
        <w:t xml:space="preserve">完全競争・柔軟価格のもとで、家計の労働供給、企業の労働需要、市場均衡を結びます。固定資本からの配当、定常状態、技術ショックの閉形式解を確認し、自然産出量と自然利子率の基準を作ります。</w:t>
      </w:r>
    </w:p>
    <w:bookmarkEnd w:id="17"/>
    <w:bookmarkStart w:id="18" w:name="教材第5回政府部門"/>
    <w:p>
      <w:pPr>
        <w:pStyle w:val="Heading3"/>
      </w:pPr>
      <w:r>
        <w:rPr>
          <w:rFonts w:hint="eastAsia" w:ascii="Noto Sans JP" w:hAnsi="Noto Sans JP" w:eastAsia="Noto Sans JP" w:cs="Noto Sans JP"/>
        </w:rPr>
        <w:t xml:space="preserve">教材第5回：政府部門</w:t>
      </w:r>
    </w:p>
    <w:p>
      <w:pPr>
        <w:pStyle w:val="FirstParagraph"/>
      </w:pPr>
      <w:r>
        <w:rPr>
          <w:rFonts w:hint="eastAsia" w:ascii="Noto Sans JP" w:hAnsi="Noto Sans JP" w:eastAsia="Noto Sans JP" w:cs="Noto Sans JP"/>
        </w:rPr>
        <w:t xml:space="preserve">政府予算制約、政府購入と一括税・移転、政府購入を含む資源制約を扱います。政府購入が消費・労働・産出へ与える影響を導き、リカードの中立命題の条件を確認します。比例税の帰着、ラッファーカーブ、SDFによる政府予算の反復は発展的な理解に用います。</w:t>
      </w:r>
    </w:p>
    <w:bookmarkEnd w:id="18"/>
    <w:bookmarkStart w:id="19" w:name="教材第6回独占的競争"/>
    <w:p>
      <w:pPr>
        <w:pStyle w:val="Heading3"/>
      </w:pPr>
      <w:r>
        <w:rPr>
          <w:rFonts w:hint="eastAsia" w:ascii="Noto Sans JP" w:hAnsi="Noto Sans JP" w:eastAsia="Noto Sans JP" w:cs="Noto Sans JP"/>
        </w:rPr>
        <w:t xml:space="preserve">教材第6回：独占的競争</w:t>
      </w:r>
    </w:p>
    <w:p>
      <w:pPr>
        <w:pStyle w:val="FirstParagraph"/>
      </w:pPr>
      <w:r>
        <w:rPr>
          <w:rFonts w:hint="eastAsia" w:ascii="Noto Sans JP" w:hAnsi="Noto Sans JP" w:eastAsia="Noto Sans JP" w:cs="Noto Sans JP"/>
        </w:rPr>
        <w:t xml:space="preserve">Dixit–Stiglitz型の最終財集計から中間財需要と価格指数を導き、企業の価格設定とマークアップを求めます。売上補助金と財源の会計を通じて、自然配分と効率的配分の関係を整理します。</w:t>
      </w:r>
    </w:p>
    <w:bookmarkEnd w:id="19"/>
    <w:bookmarkStart w:id="20" w:name="教材第7回価格硬直性とnk方程式"/>
    <w:p>
      <w:pPr>
        <w:pStyle w:val="Heading3"/>
      </w:pPr>
      <w:r>
        <w:rPr>
          <w:rFonts w:hint="eastAsia" w:ascii="Noto Sans JP" w:hAnsi="Noto Sans JP" w:eastAsia="Noto Sans JP" w:cs="Noto Sans JP"/>
        </w:rPr>
        <w:t xml:space="preserve">教材第7回：価格硬直性とNK方程式</w:t>
      </w:r>
    </w:p>
    <w:p>
      <w:pPr>
        <w:pStyle w:val="FirstParagraph"/>
      </w:pPr>
      <w:r>
        <w:rPr>
          <w:rFonts w:hint="eastAsia" w:ascii="Noto Sans JP" w:hAnsi="Noto Sans JP" w:eastAsia="Noto Sans JP" w:cs="Noto Sans JP"/>
        </w:rPr>
        <w:t xml:space="preserve">線形生産・政府購入なしの基本ケースで、Rotemberg型価格調整費用からNKフィリップス曲線を導きます。動学的IS、フィッシャー関係、テイラー・ルールを結び、自然利子率からの乖離が需要とインフレを動かす仕組みを学びます。</w:t>
      </w:r>
    </w:p>
    <w:bookmarkEnd w:id="20"/>
    <w:bookmarkStart w:id="21" w:name="教材第8回一般形のrankモデル"/>
    <w:p>
      <w:pPr>
        <w:pStyle w:val="Heading3"/>
      </w:pPr>
      <w:r>
        <w:rPr>
          <w:rFonts w:hint="eastAsia" w:ascii="Noto Sans JP" w:hAnsi="Noto Sans JP" w:eastAsia="Noto Sans JP" w:cs="Noto Sans JP"/>
        </w:rPr>
        <w:t xml:space="preserve">教材第8回：一般形のRANKモデル</w:t>
      </w:r>
    </w:p>
    <w:p>
      <w:pPr>
        <w:pStyle w:val="FirstParagraph"/>
      </w:pPr>
      <w:r>
        <w:rPr>
          <w:rFonts w:hint="eastAsia" w:ascii="Noto Sans JP" w:hAnsi="Noto Sans JP" w:eastAsia="Noto Sans JP" w:cs="Noto Sans JP"/>
        </w:rPr>
        <w:t xml:space="preserve">所与の固定資本と正の政府購入比率を許す一般形へ拡張し、これまでの家計・企業・政府・金融政策の条件を統合します。金融政策・技術・政府購入の各ショックについて自然水準と均衡反応を比較します。</w:t>
      </w:r>
    </w:p>
    <w:bookmarkEnd w:id="21"/>
    <w:bookmarkStart w:id="22" w:name="教材第9回最適金融政策とルールの評価"/>
    <w:p>
      <w:pPr>
        <w:pStyle w:val="Heading3"/>
      </w:pPr>
      <w:r>
        <w:rPr>
          <w:rFonts w:hint="eastAsia" w:ascii="Noto Sans JP" w:hAnsi="Noto Sans JP" w:eastAsia="Noto Sans JP" w:cs="Noto Sans JP"/>
        </w:rPr>
        <w:t xml:space="preserve">教材第9回：最適金融政策とルールの評価</w:t>
      </w:r>
    </w:p>
    <w:p>
      <w:pPr>
        <w:pStyle w:val="FirstParagraph"/>
      </w:pPr>
      <w:r>
        <w:rPr>
          <w:rFonts w:hint="eastAsia" w:ascii="Noto Sans JP" w:hAnsi="Noto Sans JP" w:eastAsia="Noto Sans JP" w:cs="Noto Sans JP"/>
        </w:rPr>
        <w:t xml:space="preserve">効率的配分から測る厚生損失、神々の配剤、利子率ペッグとテイラー原理を学びます。コストプッシュショック下の裁量・コミットメント・タイムレスな政策を比較し、最適配分を支持する金利経路と、その配分を一意に実現する反応ルールを区別します。固有値計算の詳細と二次厚生の導出は補論で確認します。</w:t>
      </w:r>
    </w:p>
    <w:bookmarkEnd w:id="22"/>
    <w:bookmarkStart w:id="23" w:name="教材第10回価格賃金硬直性とrankモデル"/>
    <w:p>
      <w:pPr>
        <w:pStyle w:val="Heading3"/>
      </w:pPr>
      <w:r>
        <w:rPr>
          <w:rFonts w:hint="eastAsia" w:ascii="Noto Sans JP" w:hAnsi="Noto Sans JP" w:eastAsia="Noto Sans JP" w:cs="Noto Sans JP"/>
        </w:rPr>
        <w:t xml:space="preserve">教材第10回：価格・賃金硬直性とRANKモデル</w:t>
      </w:r>
    </w:p>
    <w:p>
      <w:pPr>
        <w:pStyle w:val="FirstParagraph"/>
      </w:pPr>
      <w:r>
        <w:rPr>
          <w:rFonts w:hint="eastAsia" w:ascii="Noto Sans JP" w:hAnsi="Noto Sans JP" w:eastAsia="Noto Sans JP" w:cs="Noto Sans JP"/>
        </w:rPr>
        <w:t xml:space="preserve">労働パッカー、差別化された労働、Rotemberg型賃金調整費用、賃金フィリップス曲線を導入します。価格・賃金マークアップの合計と需給ギャップ、二つのインフレ率の差と実質賃金の変化を結び、初期実質賃金を引き継ぐ動学を確認します。発展問題では完全安定化の可否、静学解の極限、実質賃金調整の費用下限を確認します。二重硬直性の最適政策の詳細は本編の範囲に含めません。</w:t>
      </w:r>
    </w:p>
    <w:bookmarkEnd w:id="23"/>
    <w:bookmarkStart w:id="24" w:name="教材第11回価格硬直性をもつtankモデル"/>
    <w:p>
      <w:pPr>
        <w:pStyle w:val="Heading3"/>
      </w:pPr>
      <w:r>
        <w:rPr>
          <w:rFonts w:hint="eastAsia" w:ascii="Noto Sans JP" w:hAnsi="Noto Sans JP" w:eastAsia="Noto Sans JP" w:cs="Noto Sans JP"/>
        </w:rPr>
        <w:t xml:space="preserve">教材第11回：価格硬直性をもつTANKモデル</w:t>
      </w:r>
    </w:p>
    <w:p>
      <w:pPr>
        <w:pStyle w:val="FirstParagraph"/>
      </w:pPr>
      <w:r>
        <w:rPr>
          <w:rFonts w:hint="eastAsia" w:ascii="Noto Sans JP" w:hAnsi="Noto Sans JP" w:eastAsia="Noto Sans JP" w:cs="Noto Sans JP"/>
        </w:rPr>
        <w:t xml:space="preserve">賃金を柔軟に戻し、Type</w:t>
      </w:r>
      <w:r>
        <w:rPr>
          <w:rFonts w:ascii="Noto Sans JP" w:hAnsi="Noto Sans JP" w:eastAsia="Noto Sans JP" w:cs="Noto Sans JP"/>
        </w:rPr>
        <w:t xml:space="preserve"> HとType </w:t>
      </w:r>
      <w:r>
        <w:rPr>
          <w:rFonts w:hint="eastAsia" w:ascii="Noto Sans JP" w:hAnsi="Noto Sans JP" w:eastAsia="Noto Sans JP" w:cs="Noto Sans JP"/>
        </w:rPr>
        <w:t xml:space="preserve">S、純配当と移転、消費・労働格差を導入します。分配ブロックから閉じたIS曲線を導き、RANKとの傾きの違いを学びます。金融政策・再分配ショックの閉形式解と数値例は発展補論です。</w:t>
      </w:r>
    </w:p>
    <w:bookmarkEnd w:id="24"/>
    <w:bookmarkStart w:id="25" w:name="教材第12回new-keynesian-crossとtank"/>
    <w:p>
      <w:pPr>
        <w:pStyle w:val="Heading3"/>
      </w:pPr>
      <w:r>
        <w:rPr>
          <w:rFonts w:hint="eastAsia" w:ascii="Noto Sans JP" w:hAnsi="Noto Sans JP" w:eastAsia="Noto Sans JP" w:cs="Noto Sans JP"/>
        </w:rPr>
        <w:t xml:space="preserve">教材第12回：New</w:t>
      </w:r>
      <w:r>
        <w:rPr>
          <w:rFonts w:ascii="Noto Sans JP" w:hAnsi="Noto Sans JP" w:eastAsia="Noto Sans JP" w:cs="Noto Sans JP"/>
        </w:rPr>
        <w:t xml:space="preserve"> Keynesian CrossとTANK</w:t>
      </w:r>
    </w:p>
    <w:p>
      <w:pPr>
        <w:pStyle w:val="FirstParagraph"/>
      </w:pPr>
      <w:r>
        <w:rPr>
          <w:rFonts w:hint="eastAsia" w:ascii="Noto Sans JP" w:hAnsi="Noto Sans JP" w:eastAsia="Noto Sans JP" w:cs="Noto Sans JP"/>
        </w:rPr>
        <w:t xml:space="preserve">純配当移転ルールからType</w:t>
      </w:r>
      <w:r>
        <w:rPr>
          <w:rFonts w:ascii="Noto Sans JP" w:hAnsi="Noto Sans JP" w:eastAsia="Noto Sans JP" w:cs="Noto Sans JP"/>
        </w:rPr>
        <w:t xml:space="preserve"> </w:t>
      </w:r>
      <w:r>
        <w:rPr>
          <w:rFonts w:hint="eastAsia" w:ascii="Noto Sans JP" w:hAnsi="Noto Sans JP" w:eastAsia="Noto Sans JP" w:cs="Noto Sans JP"/>
        </w:rPr>
        <w:t xml:space="preserve">Hの所得反応を導き、RANK・TANKのPE曲線、直接シフト、所得フィードバックを比較します。同じ実質利子率ギャップへの条件付き総効果が増幅・抑制される条件を求めます。期待閉鎖、所得分配、政策の閉じ方を区別し、大きい乗数だけでは厚生改善を判断できないことを確認します。</w:t>
      </w:r>
    </w:p>
    <w:bookmarkEnd w:id="25"/>
    <w:bookmarkEnd w:id="26"/>
    <w:bookmarkStart w:id="27" w:name="予習復習と演習の使い方"/>
    <w:p>
      <w:pPr>
        <w:pStyle w:val="Heading2"/>
      </w:pPr>
      <w:r>
        <w:rPr>
          <w:rFonts w:hint="eastAsia" w:ascii="Noto Sans JP" w:hAnsi="Noto Sans JP" w:eastAsia="Noto Sans JP" w:cs="Noto Sans JP"/>
        </w:rPr>
        <w:t xml:space="preserve">予習・復習と演習の使い方</w:t>
      </w:r>
    </w:p>
    <w:p>
      <w:pPr>
        <w:pStyle w:val="FirstParagraph"/>
      </w:pPr>
      <w:r>
        <w:rPr>
          <w:rFonts w:hint="eastAsia" w:ascii="Noto Sans JP" w:hAnsi="Noto Sans JP" w:eastAsia="Noto Sans JP" w:cs="Noto Sans JP"/>
        </w:rPr>
        <w:t xml:space="preserve">予習では、対応する講義ノートの「講義の目的」、本編、基本問題に目を通し、不明な式や仮定を記録してください。授業後はCoreの問題を解き、解答集と照合して、途中の代入と経済的な意味を確認します。講義ノートの「基本参考文献」は、各項目に示した論点を復習するための参照先です。</w:t>
      </w:r>
    </w:p>
    <w:tbl>
      <w:tblPr>
        <w:tblStyle w:val="Table"/>
        <w:tblW w:type="pct" w:w="5000"/>
        <w:tblLayout w:type="fixed"/>
        <w:tblLook w:firstRow="1" w:lastRow="0" w:firstColumn="0" w:lastColumn="0" w:noHBand="0" w:noVBand="0" w:val="0020"/>
      </w:tblPr>
      <w:tblGrid>
        <w:gridCol w:w="3960"/>
        <w:gridCol w:w="3960"/>
      </w:tblGrid>
      <w:tr>
        <w:trPr>
          <w:tblHeader w:val="on"/>
          <w:cantSplit/>
        </w:trPr>
        <w:tc>
          <w:tcPr/>
          <w:p>
            <w:pPr>
              <w:pStyle w:val="Compact"/>
            </w:pPr>
            <w:r>
              <w:rPr>
                <w:rFonts w:hint="eastAsia" w:ascii="Noto Sans JP" w:hAnsi="Noto Sans JP" w:eastAsia="Noto Sans JP" w:cs="Noto Sans JP"/>
              </w:rPr>
              <w:t xml:space="preserve">表示</w:t>
            </w:r>
          </w:p>
        </w:tc>
        <w:tc>
          <w:tcPr/>
          <w:p>
            <w:pPr>
              <w:pStyle w:val="Compact"/>
            </w:pPr>
            <w:r>
              <w:rPr>
                <w:rFonts w:hint="eastAsia" w:ascii="Noto Sans JP" w:hAnsi="Noto Sans JP" w:eastAsia="Noto Sans JP" w:cs="Noto Sans JP"/>
              </w:rPr>
              <w:t xml:space="preserve">学習上の位置づけ</w:t>
            </w:r>
          </w:p>
        </w:tc>
      </w:tr>
      <w:tr>
        <w:trPr>
          <w:cantSplit/>
        </w:trPr>
        <w:tc>
          <w:tcPr/>
          <w:p>
            <w:pPr>
              <w:pStyle w:val="Compact"/>
            </w:pPr>
            <w:r>
              <w:rPr>
                <w:rFonts w:ascii="Noto Sans JP" w:hAnsi="Noto Sans JP" w:eastAsia="Noto Sans JP" w:cs="Noto Sans JP"/>
              </w:rPr>
              <w:t xml:space="preserve">Core</w:t>
            </w:r>
          </w:p>
        </w:tc>
        <w:tc>
          <w:tcPr/>
          <w:p>
            <w:pPr>
              <w:pStyle w:val="Compact"/>
            </w:pPr>
            <w:r>
              <w:rPr>
                <w:rFonts w:hint="eastAsia" w:ascii="Noto Sans JP" w:hAnsi="Noto Sans JP" w:eastAsia="Noto Sans JP" w:cs="Noto Sans JP"/>
              </w:rPr>
              <w:t xml:space="preserve">全員が授業後に確認する基本問題</w:t>
            </w:r>
          </w:p>
        </w:tc>
      </w:tr>
      <w:tr>
        <w:trPr>
          <w:cantSplit/>
        </w:trPr>
        <w:tc>
          <w:tcPr/>
          <w:p>
            <w:pPr>
              <w:pStyle w:val="Compact"/>
            </w:pPr>
            <w:r>
              <w:rPr>
                <w:rFonts w:ascii="Noto Sans JP" w:hAnsi="Noto Sans JP" w:eastAsia="Noto Sans JP" w:cs="Noto Sans JP"/>
              </w:rPr>
              <w:t xml:space="preserve">Derivation</w:t>
            </w:r>
          </w:p>
        </w:tc>
        <w:tc>
          <w:tcPr/>
          <w:p>
            <w:pPr>
              <w:pStyle w:val="Compact"/>
            </w:pPr>
            <w:r>
              <w:rPr>
                <w:rFonts w:hint="eastAsia" w:ascii="Noto Sans JP" w:hAnsi="Noto Sans JP" w:eastAsia="Noto Sans JP" w:cs="Noto Sans JP"/>
              </w:rPr>
              <w:t xml:space="preserve">式の導出を練習する問題</w:t>
            </w:r>
          </w:p>
        </w:tc>
      </w:tr>
      <w:tr>
        <w:trPr>
          <w:cantSplit/>
        </w:trPr>
        <w:tc>
          <w:tcPr/>
          <w:p>
            <w:pPr>
              <w:pStyle w:val="Compact"/>
            </w:pPr>
            <w:r>
              <w:rPr>
                <w:rFonts w:ascii="Noto Sans JP" w:hAnsi="Noto Sans JP" w:eastAsia="Noto Sans JP" w:cs="Noto Sans JP"/>
              </w:rPr>
              <w:t xml:space="preserve">Computation</w:t>
            </w:r>
          </w:p>
        </w:tc>
        <w:tc>
          <w:tcPr/>
          <w:p>
            <w:pPr>
              <w:pStyle w:val="Compact"/>
            </w:pPr>
            <w:r>
              <w:rPr>
                <w:rFonts w:hint="eastAsia" w:ascii="Noto Sans JP" w:hAnsi="Noto Sans JP" w:eastAsia="Noto Sans JP" w:cs="Noto Sans JP"/>
              </w:rPr>
              <w:t xml:space="preserve">数値の代入・反復計算、またはコードによる確認</w:t>
            </w:r>
          </w:p>
        </w:tc>
      </w:tr>
      <w:tr>
        <w:trPr>
          <w:cantSplit/>
        </w:trPr>
        <w:tc>
          <w:tcPr/>
          <w:p>
            <w:pPr>
              <w:pStyle w:val="Compact"/>
            </w:pPr>
            <w:r>
              <w:rPr>
                <w:rFonts w:ascii="Noto Sans JP" w:hAnsi="Noto Sans JP" w:eastAsia="Noto Sans JP" w:cs="Noto Sans JP"/>
              </w:rPr>
              <w:t xml:space="preserve">Research </w:t>
            </w:r>
            <w:r>
              <w:rPr>
                <w:rFonts w:hint="eastAsia" w:ascii="Noto Sans JP" w:hAnsi="Noto Sans JP" w:eastAsia="Noto Sans JP" w:cs="Noto Sans JP"/>
              </w:rPr>
              <w:t xml:space="preserve">extension／発展補論</w:t>
            </w:r>
          </w:p>
        </w:tc>
        <w:tc>
          <w:tcPr/>
          <w:p>
            <w:pPr>
              <w:pStyle w:val="Compact"/>
            </w:pPr>
            <w:r>
              <w:rPr>
                <w:rFonts w:hint="eastAsia" w:ascii="Noto Sans JP" w:hAnsi="Noto Sans JP" w:eastAsia="Noto Sans JP" w:cs="Noto Sans JP"/>
              </w:rPr>
              <w:t xml:space="preserve">本編の理解を深める追加範囲。課題として扱う場合は対象を指定</w:t>
            </w:r>
          </w:p>
        </w:tc>
      </w:tr>
      <w:tr>
        <w:trPr>
          <w:cantSplit/>
        </w:trPr>
        <w:tc>
          <w:tcPr/>
          <w:p>
            <w:pPr>
              <w:pStyle w:val="Compact"/>
            </w:pPr>
            <w:r>
              <w:rPr>
                <w:rFonts w:hint="eastAsia" w:ascii="Noto Sans JP" w:hAnsi="Noto Sans JP" w:eastAsia="Noto Sans JP" w:cs="Noto Sans JP"/>
              </w:rPr>
              <w:t xml:space="preserve">第9回前に再訪</w:t>
            </w:r>
          </w:p>
        </w:tc>
        <w:tc>
          <w:tcPr/>
          <w:p>
            <w:pPr>
              <w:pStyle w:val="Compact"/>
            </w:pPr>
            <w:r>
              <w:rPr>
                <w:rFonts w:hint="eastAsia" w:ascii="Noto Sans JP" w:hAnsi="Noto Sans JP" w:eastAsia="Noto Sans JP" w:cs="Noto Sans JP"/>
              </w:rPr>
              <w:t xml:space="preserve">厚生分析の前に読み直す対数二次近似</w:t>
            </w:r>
          </w:p>
        </w:tc>
      </w:tr>
    </w:tbl>
    <w:p>
      <w:pPr>
        <w:pStyle w:val="BodyText"/>
      </w:pPr>
      <w:r>
        <w:rPr>
          <w:rFonts w:hint="eastAsia" w:ascii="Noto Sans JP" w:hAnsi="Noto Sans JP" w:eastAsia="Noto Sans JP" w:cs="Noto Sans JP"/>
        </w:rPr>
        <w:t xml:space="preserve">第2回の二次近似と、第3・9〜12回の発展項目は、各ノートに示した読み方に従って参照してください。課題の提出期限と発展範囲の指定は授業で周知します。</w:t>
      </w:r>
    </w:p>
    <w:bookmarkEnd w:id="27"/>
    <w:bookmarkStart w:id="30" w:name="教材基本参考文献"/>
    <w:p>
      <w:pPr>
        <w:pStyle w:val="Heading2"/>
      </w:pPr>
      <w:r>
        <w:rPr>
          <w:rFonts w:hint="eastAsia" w:ascii="Noto Sans JP" w:hAnsi="Noto Sans JP" w:eastAsia="Noto Sans JP" w:cs="Noto Sans JP"/>
        </w:rPr>
        <w:t xml:space="preserve">教材・基本参考文献</w:t>
      </w:r>
    </w:p>
    <w:p>
      <w:pPr>
        <w:pStyle w:val="FirstParagraph"/>
      </w:pPr>
      <w:r>
        <w:rPr>
          <w:rFonts w:hint="eastAsia" w:ascii="Noto Sans JP" w:hAnsi="Noto Sans JP" w:eastAsia="Noto Sans JP" w:cs="Noto Sans JP"/>
        </w:rPr>
        <w:t xml:space="preserve">主教材は配布する講義ノート第1〜12回と練習問題解答です。文献は次の論点の復習に用い、詳しい一覧は各回の参考文献欄に示します。</w:t>
      </w:r>
    </w:p>
    <w:p>
      <w:pPr>
        <w:pStyle w:val="Compact"/>
        <w:numPr>
          <w:ilvl w:val="0"/>
          <w:numId w:val="1003"/>
        </w:numPr>
      </w:pPr>
      <w:r>
        <w:rPr>
          <w:rFonts w:ascii="Noto Sans JP" w:hAnsi="Noto Sans JP" w:eastAsia="Noto Sans JP" w:cs="Noto Sans JP"/>
        </w:rPr>
        <w:t xml:space="preserve">Galí, Jordi (2015),</w:t>
      </w:r>
      <w:r>
        <w:rPr>
          <w:rFonts w:ascii="Noto Sans JP" w:hAnsi="Noto Sans JP" w:eastAsia="Noto Sans JP" w:cs="Noto Sans JP"/>
        </w:rPr>
        <w:t xml:space="preserve"> </w:t>
      </w:r>
      <w:r>
        <w:rPr>
          <w:rFonts w:ascii="Noto Sans JP" w:hAnsi="Noto Sans JP" w:eastAsia="Noto Sans JP" w:cs="Noto Sans JP"/>
          <w:i/>
          <w:iCs/>
        </w:rPr>
        <w:t xml:space="preserve">Monetary Policy, Inflation, and the Business Cycle</w:t>
      </w:r>
      <w:r>
        <w:rPr>
          <w:rFonts w:ascii="Noto Sans JP" w:hAnsi="Noto Sans JP" w:eastAsia="Noto Sans JP" w:cs="Noto Sans JP"/>
        </w:rPr>
        <w:t xml:space="preserve">, 2nd ed., Princeton University </w:t>
      </w:r>
      <w:r>
        <w:rPr>
          <w:rFonts w:hint="eastAsia" w:ascii="Noto Sans JP" w:hAnsi="Noto Sans JP" w:eastAsia="Noto Sans JP" w:cs="Noto Sans JP"/>
        </w:rPr>
        <w:t xml:space="preserve">Press：第7〜10回のNKモデル、決定性、最適金融政策。</w:t>
      </w:r>
    </w:p>
    <w:p>
      <w:pPr>
        <w:pStyle w:val="Compact"/>
        <w:numPr>
          <w:ilvl w:val="0"/>
          <w:numId w:val="1003"/>
        </w:numPr>
      </w:pPr>
      <w:r>
        <w:rPr>
          <w:rFonts w:ascii="Noto Sans JP" w:hAnsi="Noto Sans JP" w:eastAsia="Noto Sans JP" w:cs="Noto Sans JP"/>
        </w:rPr>
        <w:t xml:space="preserve">Ljungqvist, Lars, and Thomas J. Sargent (2018),</w:t>
      </w:r>
      <w:r>
        <w:rPr>
          <w:rFonts w:ascii="Noto Sans JP" w:hAnsi="Noto Sans JP" w:eastAsia="Noto Sans JP" w:cs="Noto Sans JP"/>
        </w:rPr>
        <w:t xml:space="preserve"> </w:t>
      </w:r>
      <w:r>
        <w:rPr>
          <w:rFonts w:ascii="Noto Sans JP" w:hAnsi="Noto Sans JP" w:eastAsia="Noto Sans JP" w:cs="Noto Sans JP"/>
          <w:i/>
          <w:iCs/>
        </w:rPr>
        <w:t xml:space="preserve">Recursive Macroeconomic Theory</w:t>
      </w:r>
      <w:r>
        <w:rPr>
          <w:rFonts w:ascii="Noto Sans JP" w:hAnsi="Noto Sans JP" w:eastAsia="Noto Sans JP" w:cs="Noto Sans JP"/>
        </w:rPr>
        <w:t xml:space="preserve">, 4th ed., MIT </w:t>
      </w:r>
      <w:r>
        <w:rPr>
          <w:rFonts w:hint="eastAsia" w:ascii="Noto Sans JP" w:hAnsi="Noto Sans JP" w:eastAsia="Noto Sans JP" w:cs="Noto Sans JP"/>
        </w:rPr>
        <w:t xml:space="preserve">Press：第3回の再帰的最適化と資産価格条件。</w:t>
      </w:r>
    </w:p>
    <w:p>
      <w:pPr>
        <w:pStyle w:val="Compact"/>
        <w:numPr>
          <w:ilvl w:val="0"/>
          <w:numId w:val="1003"/>
        </w:numPr>
      </w:pPr>
      <w:r>
        <w:rPr>
          <w:rFonts w:ascii="Noto Sans JP" w:hAnsi="Noto Sans JP" w:eastAsia="Noto Sans JP" w:cs="Noto Sans JP"/>
        </w:rPr>
        <w:t xml:space="preserve">Hamilton, James D. (1994),</w:t>
      </w:r>
      <w:r>
        <w:rPr>
          <w:rFonts w:ascii="Noto Sans JP" w:hAnsi="Noto Sans JP" w:eastAsia="Noto Sans JP" w:cs="Noto Sans JP"/>
        </w:rPr>
        <w:t xml:space="preserve"> </w:t>
      </w:r>
      <w:r>
        <w:rPr>
          <w:rFonts w:ascii="Noto Sans JP" w:hAnsi="Noto Sans JP" w:eastAsia="Noto Sans JP" w:cs="Noto Sans JP"/>
          <w:i/>
          <w:iCs/>
        </w:rPr>
        <w:t xml:space="preserve">Time Series Analysis</w:t>
      </w:r>
      <w:r>
        <w:rPr>
          <w:rFonts w:ascii="Noto Sans JP" w:hAnsi="Noto Sans JP" w:eastAsia="Noto Sans JP" w:cs="Noto Sans JP"/>
        </w:rPr>
        <w:t xml:space="preserve">, Princeton University </w:t>
      </w:r>
      <w:r>
        <w:rPr>
          <w:rFonts w:hint="eastAsia" w:ascii="Noto Sans JP" w:hAnsi="Noto Sans JP" w:eastAsia="Noto Sans JP" w:cs="Noto Sans JP"/>
        </w:rPr>
        <w:t xml:space="preserve">Press：第2回の定常性、AR過程、予測。</w:t>
      </w:r>
    </w:p>
    <w:p>
      <w:pPr>
        <w:pStyle w:val="Compact"/>
        <w:numPr>
          <w:ilvl w:val="0"/>
          <w:numId w:val="1003"/>
        </w:numPr>
      </w:pPr>
      <w:r>
        <w:rPr>
          <w:rFonts w:ascii="Noto Sans JP" w:hAnsi="Noto Sans JP" w:eastAsia="Noto Sans JP" w:cs="Noto Sans JP"/>
        </w:rPr>
        <w:t xml:space="preserve">Woodford, Michael (2003),</w:t>
      </w:r>
      <w:r>
        <w:rPr>
          <w:rFonts w:ascii="Noto Sans JP" w:hAnsi="Noto Sans JP" w:eastAsia="Noto Sans JP" w:cs="Noto Sans JP"/>
        </w:rPr>
        <w:t xml:space="preserve"> </w:t>
      </w:r>
      <w:r>
        <w:rPr>
          <w:rFonts w:ascii="Noto Sans JP" w:hAnsi="Noto Sans JP" w:eastAsia="Noto Sans JP" w:cs="Noto Sans JP"/>
          <w:i/>
          <w:iCs/>
        </w:rPr>
        <w:t xml:space="preserve">Interest and Prices</w:t>
      </w:r>
      <w:r>
        <w:rPr>
          <w:rFonts w:ascii="Noto Sans JP" w:hAnsi="Noto Sans JP" w:eastAsia="Noto Sans JP" w:cs="Noto Sans JP"/>
        </w:rPr>
        <w:t xml:space="preserve">, Princeton University </w:t>
      </w:r>
      <w:r>
        <w:rPr>
          <w:rFonts w:hint="eastAsia" w:ascii="Noto Sans JP" w:hAnsi="Noto Sans JP" w:eastAsia="Noto Sans JP" w:cs="Noto Sans JP"/>
        </w:rPr>
        <w:t xml:space="preserve">Press：第9・10回の政策実装・厚生分析を深めるための参照先。</w:t>
      </w:r>
    </w:p>
    <w:p>
      <w:pPr>
        <w:pStyle w:val="Compact"/>
        <w:numPr>
          <w:ilvl w:val="0"/>
          <w:numId w:val="1003"/>
        </w:numPr>
      </w:pPr>
      <w:r>
        <w:rPr>
          <w:rFonts w:hint="eastAsia" w:ascii="Noto Sans JP" w:hAnsi="Noto Sans JP" w:eastAsia="Noto Sans JP" w:cs="Noto Sans JP"/>
        </w:rPr>
        <w:t xml:space="preserve">齊藤誠・岩本康志・太田聰一・柴田章久</w:t>
      </w:r>
      <w:r>
        <w:rPr>
          <w:rFonts w:ascii="Noto Sans JP" w:hAnsi="Noto Sans JP" w:eastAsia="Noto Sans JP" w:cs="Noto Sans JP"/>
        </w:rPr>
        <w:t xml:space="preserve"> </w:t>
      </w:r>
      <w:r>
        <w:rPr>
          <w:rFonts w:hint="eastAsia" w:ascii="Noto Sans JP" w:hAnsi="Noto Sans JP" w:eastAsia="Noto Sans JP" w:cs="Noto Sans JP"/>
        </w:rPr>
        <w:t xml:space="preserve">(2016)『マクロ経済学（新版）』有斐閣：第1回の学部マクロの復習。</w:t>
      </w:r>
    </w:p>
    <w:p>
      <w:pPr>
        <w:pStyle w:val="Compact"/>
        <w:numPr>
          <w:ilvl w:val="0"/>
          <w:numId w:val="1003"/>
        </w:numPr>
      </w:pPr>
      <w:r>
        <w:rPr>
          <w:rFonts w:hint="eastAsia" w:ascii="Noto Sans JP" w:hAnsi="Noto Sans JP" w:eastAsia="Noto Sans JP" w:cs="Noto Sans JP"/>
        </w:rPr>
        <w:t xml:space="preserve">二神孝一・堀敬一</w:t>
      </w:r>
      <w:r>
        <w:rPr>
          <w:rFonts w:ascii="Noto Sans JP" w:hAnsi="Noto Sans JP" w:eastAsia="Noto Sans JP" w:cs="Noto Sans JP"/>
        </w:rPr>
        <w:t xml:space="preserve"> (2025)『</w:t>
      </w:r>
      <w:hyperlink r:id="rId28">
        <w:r>
          <w:rPr>
            <w:rStyle w:val="Hyperlink"/>
            <w:rFonts w:hint="eastAsia"/>
          </w:rPr>
          <w:t xml:space="preserve">マクロ経済学</w:t>
        </w:r>
        <w:r>
          <w:rPr>
            <w:rStyle w:val="Hyperlink"/>
          </w:rPr>
          <w:t xml:space="preserve"> </w:t>
        </w:r>
        <w:r>
          <w:rPr>
            <w:rStyle w:val="Hyperlink"/>
            <w:rFonts w:hint="eastAsia"/>
          </w:rPr>
          <w:t xml:space="preserve">第3版</w:t>
        </w:r>
        <w:r>
          <w:rPr>
            <w:rStyle w:val="Hyperlink"/>
          </w:rPr>
          <w:t xml:space="preserve">　</w:t>
        </w:r>
        <w:r>
          <w:rPr>
            <w:rStyle w:val="Hyperlink"/>
            <w:rFonts w:hint="eastAsia"/>
          </w:rPr>
          <w:t xml:space="preserve">基礎編</w:t>
        </w:r>
      </w:hyperlink>
      <w:r>
        <w:rPr>
          <w:rFonts w:hint="eastAsia" w:ascii="Noto Sans JP" w:hAnsi="Noto Sans JP" w:eastAsia="Noto Sans JP" w:cs="Noto Sans JP"/>
        </w:rPr>
        <w:t xml:space="preserve">』有斐閣：学部マクロの復習から長期・短期の標準モデル、財政・金融政策までを確認するための新しい基礎テキスト。</w:t>
      </w:r>
    </w:p>
    <w:p>
      <w:pPr>
        <w:pStyle w:val="Compact"/>
        <w:numPr>
          <w:ilvl w:val="0"/>
          <w:numId w:val="1003"/>
        </w:numPr>
      </w:pPr>
      <w:r>
        <w:rPr>
          <w:rFonts w:hint="eastAsia" w:ascii="Noto Sans JP" w:hAnsi="Noto Sans JP" w:eastAsia="Noto Sans JP" w:cs="Noto Sans JP"/>
        </w:rPr>
        <w:t xml:space="preserve">二神孝一・堀敬一・祝迫達郎</w:t>
      </w:r>
      <w:r>
        <w:rPr>
          <w:rFonts w:ascii="Noto Sans JP" w:hAnsi="Noto Sans JP" w:eastAsia="Noto Sans JP" w:cs="Noto Sans JP"/>
        </w:rPr>
        <w:t xml:space="preserve"> (2026)『</w:t>
      </w:r>
      <w:hyperlink r:id="rId29">
        <w:r>
          <w:rPr>
            <w:rStyle w:val="Hyperlink"/>
            <w:rFonts w:hint="eastAsia"/>
          </w:rPr>
          <w:t xml:space="preserve">マクロ経済学</w:t>
        </w:r>
        <w:r>
          <w:rPr>
            <w:rStyle w:val="Hyperlink"/>
          </w:rPr>
          <w:t xml:space="preserve"> </w:t>
        </w:r>
        <w:r>
          <w:rPr>
            <w:rStyle w:val="Hyperlink"/>
            <w:rFonts w:hint="eastAsia"/>
          </w:rPr>
          <w:t xml:space="preserve">第3版</w:t>
        </w:r>
        <w:r>
          <w:rPr>
            <w:rStyle w:val="Hyperlink"/>
          </w:rPr>
          <w:t xml:space="preserve">　</w:t>
        </w:r>
        <w:r>
          <w:rPr>
            <w:rStyle w:val="Hyperlink"/>
            <w:rFonts w:hint="eastAsia"/>
          </w:rPr>
          <w:t xml:space="preserve">応用編</w:t>
        </w:r>
      </w:hyperlink>
      <w:r>
        <w:rPr>
          <w:rFonts w:hint="eastAsia" w:ascii="Noto Sans JP" w:hAnsi="Noto Sans JP" w:eastAsia="Noto Sans JP" w:cs="Noto Sans JP"/>
        </w:rPr>
        <w:t xml:space="preserve">』有斐閣：動学的一般均衡、ニューケインジアン理論、家計・企業の異質性、動学的最適化を発展的に学ぶための参照書。</w:t>
      </w:r>
    </w:p>
    <w:p>
      <w:pPr>
        <w:pStyle w:val="FirstParagraph"/>
      </w:pPr>
      <w:r>
        <w:rPr>
          <w:rFonts w:hint="eastAsia" w:ascii="Noto Sans JP" w:hAnsi="Noto Sans JP" w:eastAsia="Noto Sans JP" w:cs="Noto Sans JP"/>
        </w:rPr>
        <w:t xml:space="preserve">第9回のClarida–Galí–Gertler、第10回のErceg–Henderson–Levin、第11・12回のBilbiie等の論文は、各講義で扱う方程式や比較の背景を確認する際に参照します。原論文の全モデル・全結果を本講義の範囲とはしません。</w:t>
      </w:r>
    </w:p>
    <w:bookmarkEnd w:id="30"/>
    <w:bookmarkStart w:id="31" w:name="計算資料"/>
    <w:p>
      <w:pPr>
        <w:pStyle w:val="Heading2"/>
      </w:pPr>
      <w:r>
        <w:rPr>
          <w:rFonts w:hint="eastAsia" w:ascii="Noto Sans JP" w:hAnsi="Noto Sans JP" w:eastAsia="Noto Sans JP" w:cs="Noto Sans JP"/>
        </w:rPr>
        <w:t xml:space="preserve">計算資料</w:t>
      </w:r>
    </w:p>
    <w:p>
      <w:pPr>
        <w:pStyle w:val="FirstParagraph"/>
      </w:pPr>
      <w:r>
        <w:rPr>
          <w:rFonts w:hint="eastAsia" w:ascii="Noto Sans JP" w:hAnsi="Noto Sans JP" w:eastAsia="Noto Sans JP" w:cs="Noto Sans JP"/>
        </w:rPr>
        <w:t xml:space="preserve">計算演習は、閉形式解への代入、AR(1)の反復、行列の固有値、図と式の照合を中心に行います。第5・8・9回の掲載図にはRコード、第2回のGDP・HP図と第12回のNKクロス図にはPythonの生成資料を用意しています。実行環境が必要な場合は資料の手順に従って準備してください。Dynareによる一般的なDSGE解法は、本講義修了後の発展学習として位置づけます。</w:t>
      </w:r>
    </w:p>
    <w:bookmarkEnd w:id="31"/>
    <w:bookmarkStart w:id="32" w:name="オフィスアワー"/>
    <w:p>
      <w:pPr>
        <w:pStyle w:val="Heading2"/>
      </w:pPr>
      <w:r>
        <w:rPr>
          <w:rFonts w:ascii="Noto Sans JP" w:hAnsi="Noto Sans JP" w:eastAsia="Noto Sans JP" w:cs="Noto Sans JP"/>
        </w:rPr>
        <w:t xml:space="preserve">オフィスアワー</w:t>
      </w:r>
    </w:p>
    <w:p>
      <w:pPr>
        <w:pStyle w:val="FirstParagraph"/>
      </w:pPr>
      <w:r>
        <w:rPr>
          <w:rFonts w:hint="eastAsia" w:ascii="Noto Sans JP" w:hAnsi="Noto Sans JP" w:eastAsia="Noto Sans JP" w:cs="Noto Sans JP"/>
        </w:rPr>
        <w:t xml:space="preserve">zoomにて（事前にメールで予約してください）。</w:t>
      </w:r>
    </w:p>
    <w:bookmarkEnd w:id="32"/>
    <w:sectPr>
      <w:headerReference w:type="default" r:id="rId9"/>
      <w:footerReference w:type="default" r:id="rId10"/>
      <w:footnotePr>
        <w:numRestart w:val="eachSect"/>
      </w:footnotePr>
      <w:pgSz w:w="11906" w:h="16838"/>
      <w:pgMar w:top="964" w:bottom="964" w:left="1134"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ja"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Noto Sans JP" w:hAnsi="Noto Sans JP" w:eastAsia="Noto Sans JP" w:cs="Noto Sans JP"/>
      <w:sz w:val="21"/>
    </w:rPr>
  </w:style>
  <w:style w:styleId="BodyText" w:type="paragraph">
    <w:name w:val="Body Text"/>
    <w:basedOn w:val="Normal"/>
    <w:link w:val="BodyTextChar"/>
    <w:qFormat/>
    <w:pPr>
      <w:spacing w:after="180" w:before="180"/>
    </w:pPr>
    <w:rPr>
      <w:rFonts w:ascii="Noto Sans JP" w:hAnsi="Noto Sans JP" w:eastAsia="Noto Sans JP" w:cs="Noto Sans JP"/>
      <w:sz w:val="21"/>
    </w:rPr>
  </w:style>
  <w:style w:customStyle="1" w:styleId="FirstParagraph" w:type="paragraph">
    <w:name w:val="First Paragraph"/>
    <w:basedOn w:val="BodyText"/>
    <w:next w:val="BodyText"/>
    <w:qFormat/>
    <w:rPr>
      <w:rFonts w:ascii="Noto Sans JP" w:hAnsi="Noto Sans JP" w:eastAsia="Noto Sans JP" w:cs="Noto Sans JP"/>
    </w:rPr>
  </w:style>
  <w:style w:customStyle="1" w:styleId="Compact" w:type="paragraph">
    <w:name w:val="Compact"/>
    <w:basedOn w:val="BodyText"/>
    <w:qFormat/>
    <w:pPr>
      <w:spacing w:after="36" w:before="36"/>
    </w:pPr>
    <w:rPr>
      <w:rFonts w:ascii="Noto Sans JP" w:hAnsi="Noto Sans JP" w:eastAsia="Noto Sans JP" w:cs="Noto Sans JP"/>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Noto Sans JP" w:hAnsi="Noto Sans JP" w:eastAsia="Noto Sans JP" w:cs="Noto Sans JP"/>
      <w:color w:val="000000"/>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Noto Sans JP" w:hAnsi="Noto Sans JP" w:eastAsia="Noto Sans JP" w:cs="Noto Sans JP"/>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Noto Sans JP" w:hAnsi="Noto Sans JP" w:eastAsia="Noto Sans JP" w:cs="Noto Sans JP"/>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ascii="Noto Sans JP" w:hAnsi="Noto Sans JP" w:eastAsia="Noto Sans JP" w:cs="Noto Sans JP"/>
      <w:color w:themeColor="text1" w:themeTint="A6" w:val="595959"/>
      <w:spacing w:val="15"/>
      <w:sz w:val="28"/>
      <w:szCs w:val="28"/>
    </w:rPr>
  </w:style>
  <w:style w:customStyle="1" w:styleId="Author" w:type="paragraph">
    <w:name w:val="Author"/>
    <w:basedOn w:val="Title"/>
    <w:next w:val="BodyText"/>
    <w:qFormat/>
    <w:pPr>
      <w:keepNext/>
      <w:keepLines/>
    </w:pPr>
    <w:rPr>
      <w:rFonts w:ascii="Noto Sans JP" w:hAnsi="Noto Sans JP" w:eastAsia="Noto Sans JP" w:cs="Noto Sans JP"/>
      <w:color w:val="000000"/>
      <w:sz w:val="21"/>
      <w:szCs w:val="24"/>
    </w:rPr>
  </w:style>
  <w:style w:styleId="Date" w:type="paragraph">
    <w:name w:val="Date"/>
    <w:basedOn w:val="Title"/>
    <w:next w:val="BodyText"/>
    <w:qFormat/>
    <w:pPr>
      <w:keepNext/>
      <w:keepLines/>
    </w:pPr>
    <w:rPr>
      <w:rFonts w:ascii="Noto Sans JP" w:hAnsi="Noto Sans JP" w:eastAsia="Noto Sans JP" w:cs="Noto Sans JP"/>
      <w:sz w:val="24"/>
      <w:szCs w:val="24"/>
    </w:rPr>
  </w:style>
  <w:style w:customStyle="1" w:styleId="AbstractTitle" w:type="paragraph">
    <w:name w:val="Abstract Title"/>
    <w:basedOn w:val="Normal"/>
    <w:next w:val="Abstract"/>
    <w:qFormat/>
    <w:pPr>
      <w:keepNext/>
      <w:keepLines/>
      <w:spacing w:after="0" w:before="300"/>
      <w:jc w:val="center"/>
    </w:pPr>
    <w:rPr>
      <w:rFonts w:ascii="Noto Sans JP" w:hAnsi="Noto Sans JP" w:eastAsia="Noto Sans JP" w:cs="Noto Sans JP"/>
      <w:b/>
      <w:sz w:val="20"/>
      <w:szCs w:val="20"/>
    </w:rPr>
  </w:style>
  <w:style w:customStyle="1" w:styleId="Abstract" w:type="paragraph">
    <w:name w:val="Abstract"/>
    <w:basedOn w:val="Normal"/>
    <w:next w:val="BodyText"/>
    <w:qFormat/>
    <w:pPr>
      <w:keepNext/>
      <w:keepLines/>
      <w:spacing w:after="300" w:before="100"/>
    </w:pPr>
    <w:rPr>
      <w:rFonts w:ascii="Noto Sans JP" w:hAnsi="Noto Sans JP" w:eastAsia="Noto Sans JP" w:cs="Noto Sans JP"/>
      <w:sz w:val="20"/>
      <w:szCs w:val="20"/>
    </w:rPr>
  </w:style>
  <w:style w:styleId="Bibliography" w:type="paragraph">
    <w:name w:val="Bibliography"/>
    <w:basedOn w:val="Normal"/>
    <w:next w:val="Bibliography"/>
    <w:qFormat/>
    <w:pPr/>
    <w:rPr>
      <w:rFonts w:ascii="Noto Sans JP" w:hAnsi="Noto Sans JP" w:eastAsia="Noto Sans JP" w:cs="Noto Sans JP"/>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Noto Sans JP" w:hAnsi="Noto Sans JP" w:eastAsia="Noto Sans JP" w:cs="Noto Sans JP"/>
      <w:color w:val="000000"/>
      <w:sz w:val="3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Noto Sans JP" w:hAnsi="Noto Sans JP" w:eastAsia="Noto Sans JP" w:cs="Noto Sans JP"/>
      <w:color w:val="000000"/>
      <w:sz w:val="25"/>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Noto Sans JP" w:hAnsi="Noto Sans JP" w:eastAsia="Noto Sans JP" w:cs="Noto Sans JP"/>
      <w:color w:val="000000"/>
      <w:sz w:val="23"/>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Noto Sans JP" w:hAnsi="Noto Sans JP" w:eastAsia="Noto Sans JP" w:cs="Noto Sans JP"/>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Noto Sans JP" w:hAnsi="Noto Sans JP" w:eastAsia="Noto Sans JP" w:cs="Noto Sans JP"/>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Noto Sans JP" w:hAnsi="Noto Sans JP" w:eastAsia="Noto Sans JP" w:cs="Noto Sans JP"/>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Noto Sans JP" w:hAnsi="Noto Sans JP" w:eastAsia="Noto Sans JP" w:cs="Noto Sans JP"/>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Noto Sans JP" w:hAnsi="Noto Sans JP" w:eastAsia="Noto Sans JP" w:cs="Noto Sans JP"/>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Noto Sans JP" w:hAnsi="Noto Sans JP" w:eastAsia="Noto Sans JP" w:cs="Noto Sans JP"/>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Noto Sans JP" w:hAnsi="Noto Sans JP" w:eastAsia="Noto Sans JP" w:cs="Noto Sans JP"/>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Noto Sans JP" w:hAnsi="Noto Sans JP" w:eastAsia="Noto Sans JP" w:cs="Noto Sans JP"/>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ascii="Noto Sans JP" w:hAnsi="Noto Sans JP" w:eastAsia="Noto Sans JP" w:cs="Noto Sans JP"/>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ascii="Noto Sans JP" w:hAnsi="Noto Sans JP" w:eastAsia="Noto Sans JP" w:cs="Noto Sans JP"/>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ascii="Noto Sans JP" w:hAnsi="Noto Sans JP" w:eastAsia="Noto Sans JP" w:cs="Noto Sans JP"/>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ascii="Noto Sans JP" w:hAnsi="Noto Sans JP" w:eastAsia="Noto Sans JP" w:cs="Noto Sans JP"/>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ascii="Noto Sans JP" w:hAnsi="Noto Sans JP" w:eastAsia="Noto Sans JP" w:cs="Noto Sans JP"/>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ascii="Noto Sans JP" w:hAnsi="Noto Sans JP" w:eastAsia="Noto Sans JP" w:cs="Noto Sans JP"/>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ascii="Noto Sans JP" w:hAnsi="Noto Sans JP" w:eastAsia="Noto Sans JP" w:cs="Noto Sans JP"/>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Noto Sans JP" w:hAnsi="Noto Sans JP" w:eastAsia="Noto Sans JP" w:cs="Noto Sans JP"/>
    </w:rPr>
  </w:style>
  <w:style w:styleId="FootnoteText" w:type="paragraph">
    <w:name w:val="Footnote Text"/>
    <w:basedOn w:val="Normal"/>
    <w:next w:val="FootnoteText"/>
    <w:uiPriority w:val="9"/>
    <w:unhideWhenUsed/>
    <w:qFormat/>
    <w:rPr>
      <w:rFonts w:ascii="Noto Sans JP" w:hAnsi="Noto Sans JP" w:eastAsia="Noto Sans JP" w:cs="Noto Sans JP"/>
    </w:rPr>
  </w:style>
  <w:style w:styleId="FootnoteBlockText" w:type="paragraph">
    <w:name w:val="Footnote Block Text"/>
    <w:basedOn w:val="FootnoteText"/>
    <w:next w:val="FootnoteText"/>
    <w:uiPriority w:val="9"/>
    <w:unhideWhenUsed/>
    <w:qFormat/>
    <w:pPr>
      <w:spacing w:after="100" w:before="100"/>
      <w:ind w:firstLine="0" w:left="480" w:right="480"/>
    </w:pPr>
    <w:rPr>
      <w:rFonts w:ascii="Noto Sans JP" w:hAnsi="Noto Sans JP" w:eastAsia="Noto Sans JP" w:cs="Noto Sans JP"/>
    </w:rPr>
  </w:style>
  <w:style w:default="1" w:styleId="DefaultParagraphFont" w:type="character">
    <w:name w:val="Default Paragraph Font"/>
    <w:semiHidden/>
    <w:unhideWhenUsed/>
    <w:rPr>
      <w:rFonts w:ascii="Noto Sans JP" w:hAnsi="Noto Sans JP" w:eastAsia="Noto Sans JP" w:cs="Noto Sans JP"/>
    </w:rPr>
  </w:style>
  <w:style w:default="1" w:styleId="Table" w:type="table">
    <w:name w:val="Table"/>
    <w:basedOn w:val="TableNormal"/>
    <w:semiHidden/>
    <w:unhideWhenUsed/>
    <w:qFormat/>
    <w:rPr>
      <w:rFonts w:ascii="Noto Sans JP" w:hAnsi="Noto Sans JP" w:eastAsia="Noto Sans JP" w:cs="Noto Sans JP"/>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Noto Sans JP" w:hAnsi="Noto Sans JP" w:eastAsia="Noto Sans JP" w:cs="Noto Sans JP"/>
      <w:b/>
    </w:rPr>
  </w:style>
  <w:style w:customStyle="1" w:styleId="Definition" w:type="paragraph">
    <w:name w:val="Definition"/>
    <w:basedOn w:val="Normal"/>
    <w:rPr>
      <w:rFonts w:ascii="Noto Sans JP" w:hAnsi="Noto Sans JP" w:eastAsia="Noto Sans JP" w:cs="Noto Sans JP"/>
    </w:rPr>
  </w:style>
  <w:style w:styleId="Caption" w:type="paragraph">
    <w:name w:val="Caption"/>
    <w:basedOn w:val="Normal"/>
    <w:link w:val="BodyTextChar"/>
    <w:pPr>
      <w:spacing w:after="120" w:before="0"/>
    </w:pPr>
    <w:rPr>
      <w:rFonts w:ascii="Noto Sans JP" w:hAnsi="Noto Sans JP" w:eastAsia="Noto Sans JP" w:cs="Noto Sans JP"/>
      <w:i/>
    </w:rPr>
  </w:style>
  <w:style w:customStyle="1" w:styleId="TableCaption" w:type="paragraph">
    <w:name w:val="Table Caption"/>
    <w:basedOn w:val="Caption"/>
    <w:pPr>
      <w:keepNext/>
    </w:pPr>
    <w:rPr>
      <w:rFonts w:ascii="Noto Sans JP" w:hAnsi="Noto Sans JP" w:eastAsia="Noto Sans JP" w:cs="Noto Sans JP"/>
    </w:rPr>
  </w:style>
  <w:style w:customStyle="1" w:styleId="ImageCaption" w:type="paragraph">
    <w:name w:val="Image Caption"/>
    <w:basedOn w:val="Caption"/>
    <w:rPr>
      <w:rFonts w:ascii="Noto Sans JP" w:hAnsi="Noto Sans JP" w:eastAsia="Noto Sans JP" w:cs="Noto Sans JP"/>
    </w:rPr>
  </w:style>
  <w:style w:customStyle="1" w:styleId="Figure" w:type="paragraph">
    <w:name w:val="Figure"/>
    <w:basedOn w:val="Normal"/>
    <w:rPr>
      <w:rFonts w:ascii="Noto Sans JP" w:hAnsi="Noto Sans JP" w:eastAsia="Noto Sans JP" w:cs="Noto Sans JP"/>
    </w:rPr>
  </w:style>
  <w:style w:customStyle="1" w:styleId="CaptionedFigure" w:type="paragraph">
    <w:name w:val="Captioned Figure"/>
    <w:basedOn w:val="Figure"/>
    <w:pPr>
      <w:keepNext/>
    </w:pPr>
    <w:rPr>
      <w:rFonts w:ascii="Noto Sans JP" w:hAnsi="Noto Sans JP" w:eastAsia="Noto Sans JP" w:cs="Noto Sans JP"/>
    </w:rPr>
  </w:style>
  <w:style w:customStyle="1" w:styleId="BodyTextChar" w:type="character">
    <w:name w:val="Body Text Char"/>
    <w:basedOn w:val="DefaultParagraphFont"/>
    <w:link w:val="BodyText"/>
    <w:rPr>
      <w:rFonts w:ascii="Noto Sans JP" w:hAnsi="Noto Sans JP" w:eastAsia="Noto Sans JP" w:cs="Noto Sans JP"/>
    </w:rPr>
  </w:style>
  <w:style w:customStyle="1" w:styleId="VerbatimChar" w:type="character">
    <w:name w:val="Verbatim Char"/>
    <w:basedOn w:val="BodyTextChar"/>
    <w:rPr>
      <w:rFonts w:ascii="Noto Sans JP" w:hAnsi="Noto Sans JP" w:eastAsia="Noto Sans JP" w:cs="Noto Sans JP"/>
      <w:sz w:val="22"/>
    </w:rPr>
  </w:style>
  <w:style w:customStyle="1" w:styleId="SectionNumber" w:type="character">
    <w:name w:val="Section Number"/>
    <w:basedOn w:val="BodyTextChar"/>
    <w:rPr>
      <w:rFonts w:ascii="Noto Sans JP" w:hAnsi="Noto Sans JP" w:eastAsia="Noto Sans JP" w:cs="Noto Sans JP"/>
    </w:rPr>
  </w:style>
  <w:style w:styleId="FootnoteReference" w:type="character">
    <w:name w:val="Footnote Reference"/>
    <w:basedOn w:val="BodyTextChar"/>
    <w:rPr>
      <w:rFonts w:ascii="Noto Sans JP" w:hAnsi="Noto Sans JP" w:eastAsia="Noto Sans JP" w:cs="Noto Sans JP"/>
      <w:vertAlign w:val="superscript"/>
    </w:rPr>
  </w:style>
  <w:style w:styleId="Hyperlink" w:type="character">
    <w:name w:val="Hyperlink"/>
    <w:basedOn w:val="BodyTextChar"/>
    <w:rPr>
      <w:rFonts w:ascii="Noto Sans JP" w:hAnsi="Noto Sans JP" w:eastAsia="Noto Sans JP" w:cs="Noto Sans JP"/>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Noto Sans JP" w:hAnsi="Noto Sans JP" w:eastAsia="Noto Sans JP" w:cs="Noto Sans JP"/>
      <w:b w:val="0"/>
      <w:bCs w:val="0"/>
      <w:color w:themeColor="accent1" w:themeShade="BF" w:val="365F91"/>
    </w:rPr>
  </w:style>
  <w:style w:type="paragraph" w:customStyle="1" w:styleId="SourceCode">
    <w:name w:val="Source Code"/>
    <w:basedOn w:val="Normal"/>
    <w:link w:val="VerbatimChar"/>
    <w:pPr>
      <w:wordWrap w:val="off"/>
      <w:shd w:val="clear" w:fill="f1f3f5"/>
    </w:pPr>
    <w:rPr>
      <w:rFonts w:ascii="Noto Sans JP" w:hAnsi="Noto Sans JP" w:eastAsia="Noto Sans JP" w:cs="Noto Sans JP"/>
    </w:rPr>
  </w:style>
  <w:style w:type="character" w:customStyle="1" w:styleId="KeywordTok">
    <w:name w:val="KeywordTok"/>
    <w:basedOn w:val="VerbatimChar"/>
    <w:rPr>
      <w:rFonts w:ascii="Noto Sans JP" w:hAnsi="Noto Sans JP" w:eastAsia="Noto Sans JP" w:cs="Noto Sans JP"/>
      <w:b/>
      <w:color w:val="003b4f"/>
      <w:shd w:val="clear" w:fill="f1f3f5"/>
    </w:rPr>
  </w:style>
  <w:style w:type="character" w:customStyle="1" w:styleId="DataTypeTok">
    <w:name w:val="DataTypeTok"/>
    <w:basedOn w:val="VerbatimChar"/>
    <w:rPr>
      <w:rFonts w:ascii="Noto Sans JP" w:hAnsi="Noto Sans JP" w:eastAsia="Noto Sans JP" w:cs="Noto Sans JP"/>
      <w:color w:val="ad0000"/>
      <w:shd w:val="clear" w:fill="f1f3f5"/>
    </w:rPr>
  </w:style>
  <w:style w:type="character" w:customStyle="1" w:styleId="DecValTok">
    <w:name w:val="DecValTok"/>
    <w:basedOn w:val="VerbatimChar"/>
    <w:rPr>
      <w:rFonts w:ascii="Noto Sans JP" w:hAnsi="Noto Sans JP" w:eastAsia="Noto Sans JP" w:cs="Noto Sans JP"/>
      <w:color w:val="ad0000"/>
      <w:shd w:val="clear" w:fill="f1f3f5"/>
    </w:rPr>
  </w:style>
  <w:style w:type="character" w:customStyle="1" w:styleId="BaseNTok">
    <w:name w:val="BaseNTok"/>
    <w:basedOn w:val="VerbatimChar"/>
    <w:rPr>
      <w:rFonts w:ascii="Noto Sans JP" w:hAnsi="Noto Sans JP" w:eastAsia="Noto Sans JP" w:cs="Noto Sans JP"/>
      <w:color w:val="ad0000"/>
      <w:shd w:val="clear" w:fill="f1f3f5"/>
    </w:rPr>
  </w:style>
  <w:style w:type="character" w:customStyle="1" w:styleId="FloatTok">
    <w:name w:val="FloatTok"/>
    <w:basedOn w:val="VerbatimChar"/>
    <w:rPr>
      <w:rFonts w:ascii="Noto Sans JP" w:hAnsi="Noto Sans JP" w:eastAsia="Noto Sans JP" w:cs="Noto Sans JP"/>
      <w:color w:val="ad0000"/>
      <w:shd w:val="clear" w:fill="f1f3f5"/>
    </w:rPr>
  </w:style>
  <w:style w:type="character" w:customStyle="1" w:styleId="ConstantTok">
    <w:name w:val="ConstantTok"/>
    <w:basedOn w:val="VerbatimChar"/>
    <w:rPr>
      <w:rFonts w:ascii="Noto Sans JP" w:hAnsi="Noto Sans JP" w:eastAsia="Noto Sans JP" w:cs="Noto Sans JP"/>
      <w:color w:val="8f5902"/>
      <w:shd w:val="clear" w:fill="f1f3f5"/>
    </w:rPr>
  </w:style>
  <w:style w:type="character" w:customStyle="1" w:styleId="CharTok">
    <w:name w:val="CharTok"/>
    <w:basedOn w:val="VerbatimChar"/>
    <w:rPr>
      <w:rFonts w:ascii="Noto Sans JP" w:hAnsi="Noto Sans JP" w:eastAsia="Noto Sans JP" w:cs="Noto Sans JP"/>
      <w:color w:val="20794d"/>
      <w:shd w:val="clear" w:fill="f1f3f5"/>
    </w:rPr>
  </w:style>
  <w:style w:type="character" w:customStyle="1" w:styleId="SpecialCharTok">
    <w:name w:val="SpecialCharTok"/>
    <w:basedOn w:val="VerbatimChar"/>
    <w:rPr>
      <w:rFonts w:ascii="Noto Sans JP" w:hAnsi="Noto Sans JP" w:eastAsia="Noto Sans JP" w:cs="Noto Sans JP"/>
      <w:color w:val="5e5e5e"/>
      <w:shd w:val="clear" w:fill="f1f3f5"/>
    </w:rPr>
  </w:style>
  <w:style w:type="character" w:customStyle="1" w:styleId="StringTok">
    <w:name w:val="StringTok"/>
    <w:basedOn w:val="VerbatimChar"/>
    <w:rPr>
      <w:rFonts w:ascii="Noto Sans JP" w:hAnsi="Noto Sans JP" w:eastAsia="Noto Sans JP" w:cs="Noto Sans JP"/>
      <w:color w:val="20794d"/>
      <w:shd w:val="clear" w:fill="f1f3f5"/>
    </w:rPr>
  </w:style>
  <w:style w:type="character" w:customStyle="1" w:styleId="VerbatimStringTok">
    <w:name w:val="VerbatimStringTok"/>
    <w:basedOn w:val="VerbatimChar"/>
    <w:rPr>
      <w:rFonts w:ascii="Noto Sans JP" w:hAnsi="Noto Sans JP" w:eastAsia="Noto Sans JP" w:cs="Noto Sans JP"/>
      <w:color w:val="20794d"/>
      <w:shd w:val="clear" w:fill="f1f3f5"/>
    </w:rPr>
  </w:style>
  <w:style w:type="character" w:customStyle="1" w:styleId="SpecialStringTok">
    <w:name w:val="SpecialStringTok"/>
    <w:basedOn w:val="VerbatimChar"/>
    <w:rPr>
      <w:rFonts w:ascii="Noto Sans JP" w:hAnsi="Noto Sans JP" w:eastAsia="Noto Sans JP" w:cs="Noto Sans JP"/>
      <w:color w:val="20794d"/>
      <w:shd w:val="clear" w:fill="f1f3f5"/>
    </w:rPr>
  </w:style>
  <w:style w:type="character" w:customStyle="1" w:styleId="ImportTok">
    <w:name w:val="ImportTok"/>
    <w:basedOn w:val="VerbatimChar"/>
    <w:rPr>
      <w:rFonts w:ascii="Noto Sans JP" w:hAnsi="Noto Sans JP" w:eastAsia="Noto Sans JP" w:cs="Noto Sans JP"/>
      <w:color w:val="00769e"/>
      <w:shd w:val="clear" w:fill="f1f3f5"/>
    </w:rPr>
  </w:style>
  <w:style w:type="character" w:customStyle="1" w:styleId="CommentTok">
    <w:name w:val="CommentTok"/>
    <w:basedOn w:val="VerbatimChar"/>
    <w:rPr>
      <w:rFonts w:ascii="Noto Sans JP" w:hAnsi="Noto Sans JP" w:eastAsia="Noto Sans JP" w:cs="Noto Sans JP"/>
      <w:color w:val="5e5e5e"/>
      <w:shd w:val="clear" w:fill="f1f3f5"/>
    </w:rPr>
  </w:style>
  <w:style w:type="character" w:customStyle="1" w:styleId="DocumentationTok">
    <w:name w:val="DocumentationTok"/>
    <w:basedOn w:val="VerbatimChar"/>
    <w:rPr>
      <w:rFonts w:ascii="Noto Sans JP" w:hAnsi="Noto Sans JP" w:eastAsia="Noto Sans JP" w:cs="Noto Sans JP"/>
      <w:i/>
      <w:color w:val="5e5e5e"/>
      <w:shd w:val="clear" w:fill="f1f3f5"/>
    </w:rPr>
  </w:style>
  <w:style w:type="character" w:customStyle="1" w:styleId="AnnotationTok">
    <w:name w:val="AnnotationTok"/>
    <w:basedOn w:val="VerbatimChar"/>
    <w:rPr>
      <w:rFonts w:ascii="Noto Sans JP" w:hAnsi="Noto Sans JP" w:eastAsia="Noto Sans JP" w:cs="Noto Sans JP"/>
      <w:color w:val="5e5e5e"/>
      <w:shd w:val="clear" w:fill="f1f3f5"/>
    </w:rPr>
  </w:style>
  <w:style w:type="character" w:customStyle="1" w:styleId="CommentVarTok">
    <w:name w:val="CommentVarTok"/>
    <w:basedOn w:val="VerbatimChar"/>
    <w:rPr>
      <w:rFonts w:ascii="Noto Sans JP" w:hAnsi="Noto Sans JP" w:eastAsia="Noto Sans JP" w:cs="Noto Sans JP"/>
      <w:i/>
      <w:color w:val="5e5e5e"/>
      <w:shd w:val="clear" w:fill="f1f3f5"/>
    </w:rPr>
  </w:style>
  <w:style w:type="character" w:customStyle="1" w:styleId="OtherTok">
    <w:name w:val="OtherTok"/>
    <w:basedOn w:val="VerbatimChar"/>
    <w:rPr>
      <w:rFonts w:ascii="Noto Sans JP" w:hAnsi="Noto Sans JP" w:eastAsia="Noto Sans JP" w:cs="Noto Sans JP"/>
      <w:color w:val="003b4f"/>
      <w:shd w:val="clear" w:fill="f1f3f5"/>
    </w:rPr>
  </w:style>
  <w:style w:type="character" w:customStyle="1" w:styleId="FunctionTok">
    <w:name w:val="FunctionTok"/>
    <w:basedOn w:val="VerbatimChar"/>
    <w:rPr>
      <w:rFonts w:ascii="Noto Sans JP" w:hAnsi="Noto Sans JP" w:eastAsia="Noto Sans JP" w:cs="Noto Sans JP"/>
      <w:color w:val="4758ab"/>
      <w:shd w:val="clear" w:fill="f1f3f5"/>
    </w:rPr>
  </w:style>
  <w:style w:type="character" w:customStyle="1" w:styleId="VariableTok">
    <w:name w:val="VariableTok"/>
    <w:basedOn w:val="VerbatimChar"/>
    <w:rPr>
      <w:rFonts w:ascii="Noto Sans JP" w:hAnsi="Noto Sans JP" w:eastAsia="Noto Sans JP" w:cs="Noto Sans JP"/>
      <w:color w:val="111111"/>
      <w:shd w:val="clear" w:fill="f1f3f5"/>
    </w:rPr>
  </w:style>
  <w:style w:type="character" w:customStyle="1" w:styleId="ControlFlowTok">
    <w:name w:val="ControlFlowTok"/>
    <w:basedOn w:val="VerbatimChar"/>
    <w:rPr>
      <w:rFonts w:ascii="Noto Sans JP" w:hAnsi="Noto Sans JP" w:eastAsia="Noto Sans JP" w:cs="Noto Sans JP"/>
      <w:b/>
      <w:color w:val="003b4f"/>
      <w:shd w:val="clear" w:fill="f1f3f5"/>
    </w:rPr>
  </w:style>
  <w:style w:type="character" w:customStyle="1" w:styleId="OperatorTok">
    <w:name w:val="OperatorTok"/>
    <w:basedOn w:val="VerbatimChar"/>
    <w:rPr>
      <w:rFonts w:ascii="Noto Sans JP" w:hAnsi="Noto Sans JP" w:eastAsia="Noto Sans JP" w:cs="Noto Sans JP"/>
      <w:color w:val="5e5e5e"/>
      <w:shd w:val="clear" w:fill="f1f3f5"/>
    </w:rPr>
  </w:style>
  <w:style w:type="character" w:customStyle="1" w:styleId="BuiltInTok">
    <w:name w:val="BuiltInTok"/>
    <w:basedOn w:val="VerbatimChar"/>
    <w:rPr>
      <w:rFonts w:ascii="Noto Sans JP" w:hAnsi="Noto Sans JP" w:eastAsia="Noto Sans JP" w:cs="Noto Sans JP"/>
      <w:color w:val="003b4f"/>
      <w:shd w:val="clear" w:fill="f1f3f5"/>
    </w:rPr>
  </w:style>
  <w:style w:type="character" w:customStyle="1" w:styleId="ExtensionTok">
    <w:name w:val="ExtensionTok"/>
    <w:basedOn w:val="VerbatimChar"/>
    <w:rPr>
      <w:rFonts w:ascii="Noto Sans JP" w:hAnsi="Noto Sans JP" w:eastAsia="Noto Sans JP" w:cs="Noto Sans JP"/>
      <w:color w:val="003b4f"/>
      <w:shd w:val="clear" w:fill="f1f3f5"/>
    </w:rPr>
  </w:style>
  <w:style w:type="character" w:customStyle="1" w:styleId="PreprocessorTok">
    <w:name w:val="PreprocessorTok"/>
    <w:basedOn w:val="VerbatimChar"/>
    <w:rPr>
      <w:rFonts w:ascii="Noto Sans JP" w:hAnsi="Noto Sans JP" w:eastAsia="Noto Sans JP" w:cs="Noto Sans JP"/>
      <w:color w:val="ad0000"/>
      <w:shd w:val="clear" w:fill="f1f3f5"/>
    </w:rPr>
  </w:style>
  <w:style w:type="character" w:customStyle="1" w:styleId="AttributeTok">
    <w:name w:val="AttributeTok"/>
    <w:basedOn w:val="VerbatimChar"/>
    <w:rPr>
      <w:rFonts w:ascii="Noto Sans JP" w:hAnsi="Noto Sans JP" w:eastAsia="Noto Sans JP" w:cs="Noto Sans JP"/>
      <w:color w:val="657422"/>
      <w:shd w:val="clear" w:fill="f1f3f5"/>
    </w:rPr>
  </w:style>
  <w:style w:type="character" w:customStyle="1" w:styleId="RegionMarkerTok">
    <w:name w:val="RegionMarkerTok"/>
    <w:basedOn w:val="VerbatimChar"/>
    <w:rPr>
      <w:rFonts w:ascii="Noto Sans JP" w:hAnsi="Noto Sans JP" w:eastAsia="Noto Sans JP" w:cs="Noto Sans JP"/>
      <w:color w:val="003b4f"/>
      <w:shd w:val="clear" w:fill="f1f3f5"/>
    </w:rPr>
  </w:style>
  <w:style w:type="character" w:customStyle="1" w:styleId="InformationTok">
    <w:name w:val="InformationTok"/>
    <w:basedOn w:val="VerbatimChar"/>
    <w:rPr>
      <w:rFonts w:ascii="Noto Sans JP" w:hAnsi="Noto Sans JP" w:eastAsia="Noto Sans JP" w:cs="Noto Sans JP"/>
      <w:color w:val="5e5e5e"/>
      <w:shd w:val="clear" w:fill="f1f3f5"/>
    </w:rPr>
  </w:style>
  <w:style w:type="character" w:customStyle="1" w:styleId="WarningTok">
    <w:name w:val="WarningTok"/>
    <w:basedOn w:val="VerbatimChar"/>
    <w:rPr>
      <w:rFonts w:ascii="Noto Sans JP" w:hAnsi="Noto Sans JP" w:eastAsia="Noto Sans JP" w:cs="Noto Sans JP"/>
      <w:i/>
      <w:color w:val="5e5e5e"/>
      <w:shd w:val="clear" w:fill="f1f3f5"/>
    </w:rPr>
  </w:style>
  <w:style w:type="character" w:customStyle="1" w:styleId="AlertTok">
    <w:name w:val="AlertTok"/>
    <w:basedOn w:val="VerbatimChar"/>
    <w:rPr>
      <w:rFonts w:ascii="Noto Sans JP" w:hAnsi="Noto Sans JP" w:eastAsia="Noto Sans JP" w:cs="Noto Sans JP"/>
      <w:color w:val="ad0000"/>
      <w:shd w:val="clear" w:fill="f1f3f5"/>
    </w:rPr>
  </w:style>
  <w:style w:type="character" w:customStyle="1" w:styleId="ErrorTok">
    <w:name w:val="ErrorTok"/>
    <w:basedOn w:val="VerbatimChar"/>
    <w:rPr>
      <w:rFonts w:ascii="Noto Sans JP" w:hAnsi="Noto Sans JP" w:eastAsia="Noto Sans JP" w:cs="Noto Sans JP"/>
      <w:color w:val="ad0000"/>
      <w:shd w:val="clear" w:fill="f1f3f5"/>
    </w:rPr>
  </w:style>
  <w:style w:type="character" w:customStyle="1" w:styleId="NormalTok">
    <w:name w:val="NormalTok"/>
    <w:basedOn w:val="VerbatimChar"/>
    <w:rPr>
      <w:rFonts w:ascii="Noto Sans JP" w:hAnsi="Noto Sans JP" w:eastAsia="Noto Sans JP" w:cs="Noto Sans JP"/>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 Type="http://schemas.openxmlformats.org/officeDocument/2006/relationships/hyperlink" Target="https://www.yuhikaku.co.jp/book/b10190387.html" TargetMode="External"/><Relationship Id="rId29" Type="http://schemas.openxmlformats.org/officeDocument/2006/relationships/hyperlink" Target="https://www.yuhikaku.co.jp/book/b10190488.html"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28" Type="http://schemas.openxmlformats.org/officeDocument/2006/relationships/hyperlink" Target="https://www.yuhikaku.co.jp/book/b10190387.html" TargetMode="External"/><Relationship Id="rId29" Type="http://schemas.openxmlformats.org/officeDocument/2006/relationships/hyperlink" Target="https://www.yuhikaku.co.jp/book/b1019048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マクロ経済学B シラバス案</dc:title>
  <dc:creator>宮﨑憲治</dc:creator>
  <dc:language>ja</dc:language>
  <cp:keywords/>
  <dcterms:created xsi:type="dcterms:W3CDTF">2026-09-09T04:01:02Z</dcterms:created>
  <dcterms:modified xsi:type="dcterms:W3CDTF">2026-09-09T04:01:02Z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2026年度</vt:lpwstr>
  </property>
  <property fmtid="{D5CDD505-2E9C-101B-9397-08002B2CF9AE}" pid="6" name="date-format">
    <vt:lpwstr>YYYY年度</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マクロ経済学B</vt:lpwstr>
  </property>
  <property fmtid="{D5CDD505-2E9C-101B-9397-08002B2CF9AE}" pid="12" name="toc-title">
    <vt:lpwstr>目次</vt:lpwstr>
  </property>
</Properties>
</file>